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3DCC7" w14:textId="77777777" w:rsidR="00F714AC" w:rsidRPr="00F714AC" w:rsidRDefault="003A4815" w:rsidP="00F714AC">
      <w:pPr>
        <w:pageBreakBefore/>
        <w:pBdr>
          <w:top w:val="nil"/>
          <w:left w:val="nil"/>
          <w:bottom w:val="nil"/>
          <w:right w:val="nil"/>
          <w:between w:val="nil"/>
          <w:bar w:val="nil"/>
        </w:pBdr>
        <w:jc w:val="center"/>
        <w:rPr>
          <w:b/>
          <w:bdr w:val="nil"/>
          <w:lang w:val="en-US"/>
        </w:rPr>
      </w:pPr>
      <w:bookmarkStart w:id="0" w:name="RG_DOC_qo9csM5mJsp"/>
      <w:bookmarkStart w:id="1" w:name="RG_MARKER_22956"/>
      <w:bookmarkStart w:id="2" w:name="RG_MARKER_23183"/>
      <w:r w:rsidRPr="00F714AC">
        <w:rPr>
          <w:b/>
          <w:lang w:val="en-US"/>
        </w:rPr>
        <w:t>UNITED STATES</w:t>
      </w:r>
      <w:bookmarkEnd w:id="0"/>
      <w:bookmarkEnd w:id="1"/>
      <w:bookmarkEnd w:id="2"/>
    </w:p>
    <w:p w14:paraId="71F3DCC8" w14:textId="77777777" w:rsidR="00F714AC" w:rsidRPr="00F714AC" w:rsidRDefault="003A4815" w:rsidP="00F714AC">
      <w:pPr>
        <w:pBdr>
          <w:top w:val="nil"/>
          <w:left w:val="nil"/>
          <w:bottom w:val="nil"/>
          <w:right w:val="nil"/>
          <w:between w:val="nil"/>
          <w:bar w:val="nil"/>
        </w:pBdr>
        <w:jc w:val="center"/>
        <w:rPr>
          <w:b/>
          <w:bdr w:val="nil"/>
          <w:lang w:val="en-US"/>
        </w:rPr>
      </w:pPr>
      <w:r w:rsidRPr="00F714AC">
        <w:rPr>
          <w:b/>
          <w:lang w:val="en-US"/>
        </w:rPr>
        <w:t>SECURITIES AND EXCHANGE COMMISSION</w:t>
      </w:r>
    </w:p>
    <w:p w14:paraId="71F3DCC9" w14:textId="77777777" w:rsidR="00F714AC" w:rsidRPr="00F714AC" w:rsidRDefault="003A4815" w:rsidP="00F714AC">
      <w:pPr>
        <w:pBdr>
          <w:top w:val="nil"/>
          <w:left w:val="nil"/>
          <w:bottom w:val="nil"/>
          <w:right w:val="nil"/>
          <w:between w:val="nil"/>
          <w:bar w:val="nil"/>
        </w:pBdr>
        <w:jc w:val="center"/>
        <w:rPr>
          <w:b/>
          <w:bdr w:val="nil"/>
          <w:lang w:val="en-US"/>
        </w:rPr>
      </w:pPr>
      <w:r w:rsidRPr="00F714AC">
        <w:rPr>
          <w:b/>
          <w:lang w:val="en-US"/>
        </w:rPr>
        <w:t>WASHINGTON, D.C. 20549</w:t>
      </w:r>
    </w:p>
    <w:p w14:paraId="71F3DCCA" w14:textId="77777777" w:rsidR="00F714AC" w:rsidRDefault="00F714AC" w:rsidP="00F714AC">
      <w:pPr>
        <w:pBdr>
          <w:top w:val="nil"/>
          <w:left w:val="nil"/>
          <w:bottom w:val="nil"/>
          <w:right w:val="nil"/>
          <w:between w:val="nil"/>
          <w:bar w:val="nil"/>
        </w:pBdr>
        <w:jc w:val="center"/>
        <w:rPr>
          <w:bdr w:val="nil"/>
          <w:lang w:val="en-US"/>
        </w:rPr>
      </w:pPr>
    </w:p>
    <w:p w14:paraId="71F3DCCB" w14:textId="77777777" w:rsidR="00F714AC" w:rsidRPr="00F714AC" w:rsidRDefault="003A4815" w:rsidP="004157FB">
      <w:pPr>
        <w:pBdr>
          <w:top w:val="nil"/>
          <w:left w:val="nil"/>
          <w:bottom w:val="nil"/>
          <w:right w:val="nil"/>
          <w:between w:val="nil"/>
          <w:bar w:val="nil"/>
        </w:pBdr>
        <w:spacing w:after="200" w:line="276" w:lineRule="auto"/>
        <w:jc w:val="center"/>
        <w:rPr>
          <w:b/>
          <w:sz w:val="28"/>
          <w:bdr w:val="nil"/>
          <w:lang w:val="en-US"/>
        </w:rPr>
      </w:pPr>
      <w:r w:rsidRPr="00F714AC">
        <w:rPr>
          <w:b/>
          <w:sz w:val="28"/>
          <w:lang w:val="en-US"/>
        </w:rPr>
        <w:t xml:space="preserve">FORM </w:t>
      </w:r>
      <w:bookmarkStart w:id="3" w:name="XBRL_CS_13c9b75015024b65821e0f4b1f329d0c"/>
      <w:r w:rsidRPr="00F714AC">
        <w:rPr>
          <w:b/>
          <w:sz w:val="28"/>
          <w:lang w:val="en-US"/>
        </w:rPr>
        <w:t>20-F</w:t>
      </w:r>
      <w:bookmarkEnd w:id="3"/>
    </w:p>
    <w:p w14:paraId="71F3DCCC" w14:textId="77777777" w:rsidR="00F714AC" w:rsidRPr="00F714AC" w:rsidRDefault="003A4815" w:rsidP="004157FB">
      <w:pPr>
        <w:pBdr>
          <w:top w:val="nil"/>
          <w:left w:val="nil"/>
          <w:bottom w:val="nil"/>
          <w:right w:val="nil"/>
          <w:between w:val="nil"/>
          <w:bar w:val="nil"/>
        </w:pBdr>
        <w:spacing w:after="200" w:line="276" w:lineRule="auto"/>
        <w:rPr>
          <w:b/>
          <w:sz w:val="20"/>
          <w:bdr w:val="nil"/>
          <w:lang w:val="en-US"/>
        </w:rPr>
      </w:pPr>
      <w:r w:rsidRPr="00F714AC">
        <w:rPr>
          <w:b/>
          <w:sz w:val="20"/>
          <w:lang w:val="en-US"/>
        </w:rPr>
        <w:t xml:space="preserve">(Mark One) </w:t>
      </w:r>
    </w:p>
    <w:p w14:paraId="71F3DCCD" w14:textId="77777777" w:rsidR="00F714AC" w:rsidRPr="00F714AC" w:rsidRDefault="003A4815" w:rsidP="004157FB">
      <w:pPr>
        <w:pBdr>
          <w:top w:val="nil"/>
          <w:left w:val="nil"/>
          <w:bottom w:val="nil"/>
          <w:right w:val="nil"/>
          <w:between w:val="nil"/>
          <w:bar w:val="nil"/>
        </w:pBdr>
        <w:spacing w:after="200" w:line="276" w:lineRule="auto"/>
        <w:rPr>
          <w:b/>
          <w:bdr w:val="nil"/>
          <w:lang w:val="en-US"/>
        </w:rPr>
      </w:pPr>
      <w:bookmarkStart w:id="4" w:name="XBRL_CS_85ce3583bac94f57895248e218868add"/>
      <w:r>
        <w:rPr>
          <w:rFonts w:ascii="Segoe UI Symbol" w:hAnsi="Segoe UI Symbol" w:cs="Segoe UI Symbol"/>
          <w:b/>
          <w:lang w:val="en-US"/>
        </w:rPr>
        <w:t>☐</w:t>
      </w:r>
      <w:bookmarkEnd w:id="4"/>
      <w:r w:rsidR="00D34341" w:rsidRPr="00F714AC">
        <w:rPr>
          <w:b/>
          <w:lang w:val="en-US"/>
        </w:rPr>
        <w:t xml:space="preserve"> REGISTRATION STATEMENT PURSUANT TO SECTION 12(b) OR (g) OF THE SECURITIES EXCHANGE ACT OF 1934 </w:t>
      </w:r>
    </w:p>
    <w:p w14:paraId="71F3DCCE" w14:textId="77777777" w:rsidR="00F714AC" w:rsidRPr="00F714AC" w:rsidRDefault="003A4815" w:rsidP="004157FB">
      <w:pPr>
        <w:pBdr>
          <w:top w:val="nil"/>
          <w:left w:val="nil"/>
          <w:bottom w:val="nil"/>
          <w:right w:val="nil"/>
          <w:between w:val="nil"/>
          <w:bar w:val="nil"/>
        </w:pBdr>
        <w:spacing w:after="200" w:line="276" w:lineRule="auto"/>
        <w:jc w:val="center"/>
        <w:rPr>
          <w:b/>
          <w:bdr w:val="nil"/>
          <w:lang w:val="en-US"/>
        </w:rPr>
      </w:pPr>
      <w:r w:rsidRPr="00F714AC">
        <w:rPr>
          <w:b/>
          <w:lang w:val="en-US"/>
        </w:rPr>
        <w:t>OR</w:t>
      </w:r>
    </w:p>
    <w:p w14:paraId="71F3DCCF" w14:textId="77777777" w:rsidR="007D0C78" w:rsidRDefault="003A4815" w:rsidP="004157FB">
      <w:pPr>
        <w:pBdr>
          <w:top w:val="nil"/>
          <w:left w:val="nil"/>
          <w:bottom w:val="nil"/>
          <w:right w:val="nil"/>
          <w:between w:val="nil"/>
          <w:bar w:val="nil"/>
        </w:pBdr>
        <w:spacing w:after="200" w:line="276" w:lineRule="auto"/>
        <w:rPr>
          <w:b/>
          <w:bdr w:val="nil"/>
          <w:lang w:val="en-US"/>
        </w:rPr>
      </w:pPr>
      <w:bookmarkStart w:id="5" w:name="XBRL_CS_a4abbe94b15042b895e35de11516a220"/>
      <w:r>
        <w:rPr>
          <w:rFonts w:ascii="Segoe UI Symbol" w:hAnsi="Segoe UI Symbol" w:cs="Segoe UI Symbol"/>
          <w:b/>
          <w:lang w:val="en-US"/>
        </w:rPr>
        <w:t>☑</w:t>
      </w:r>
      <w:bookmarkEnd w:id="5"/>
      <w:r w:rsidR="00D34341" w:rsidRPr="00F714AC">
        <w:rPr>
          <w:b/>
          <w:lang w:val="en-US"/>
        </w:rPr>
        <w:t xml:space="preserve"> ANNUAL REPORT PURSUANT TO SECTION 13 OR 15(d) OF THE SECURITIES EXCHANGE ACT OF 1934 </w:t>
      </w:r>
    </w:p>
    <w:p w14:paraId="71F3DCD0" w14:textId="77777777" w:rsidR="00F714AC" w:rsidRPr="00F714AC" w:rsidRDefault="003A4815" w:rsidP="004157FB">
      <w:pPr>
        <w:pBdr>
          <w:top w:val="nil"/>
          <w:left w:val="nil"/>
          <w:bottom w:val="nil"/>
          <w:right w:val="nil"/>
          <w:between w:val="nil"/>
          <w:bar w:val="nil"/>
        </w:pBdr>
        <w:spacing w:after="200" w:line="276" w:lineRule="auto"/>
        <w:jc w:val="center"/>
        <w:rPr>
          <w:b/>
          <w:bdr w:val="nil"/>
          <w:lang w:val="en-US"/>
        </w:rPr>
      </w:pPr>
      <w:r w:rsidRPr="00F714AC">
        <w:rPr>
          <w:b/>
          <w:lang w:val="en-US"/>
        </w:rPr>
        <w:t>For the fiscal year ended</w:t>
      </w:r>
      <w:r w:rsidR="007D0C78">
        <w:rPr>
          <w:b/>
          <w:lang w:val="en-US"/>
        </w:rPr>
        <w:t xml:space="preserve"> </w:t>
      </w:r>
      <w:bookmarkStart w:id="6" w:name="XBRL_CS_a9ea7e0a5ac747de87d1c58ab2cbc0a9"/>
      <w:r w:rsidR="007D0C78">
        <w:rPr>
          <w:b/>
          <w:lang w:val="en-US"/>
        </w:rPr>
        <w:t xml:space="preserve">December 31, </w:t>
      </w:r>
      <w:bookmarkStart w:id="7" w:name="XBRL_CS_5a308f38c8cf42fa86e222823f8f071d"/>
      <w:r w:rsidR="007D0C78">
        <w:rPr>
          <w:b/>
          <w:lang w:val="en-US"/>
        </w:rPr>
        <w:t>2025</w:t>
      </w:r>
      <w:bookmarkEnd w:id="6"/>
      <w:bookmarkEnd w:id="7"/>
    </w:p>
    <w:p w14:paraId="71F3DCD1" w14:textId="77777777" w:rsidR="00F714AC" w:rsidRPr="00F714AC" w:rsidRDefault="003A4815" w:rsidP="004157FB">
      <w:pPr>
        <w:pBdr>
          <w:top w:val="nil"/>
          <w:left w:val="nil"/>
          <w:bottom w:val="nil"/>
          <w:right w:val="nil"/>
          <w:between w:val="nil"/>
          <w:bar w:val="nil"/>
        </w:pBdr>
        <w:spacing w:after="200" w:line="276" w:lineRule="auto"/>
        <w:jc w:val="center"/>
        <w:rPr>
          <w:b/>
          <w:bdr w:val="nil"/>
          <w:lang w:val="en-US"/>
        </w:rPr>
      </w:pPr>
      <w:r w:rsidRPr="00F714AC">
        <w:rPr>
          <w:b/>
          <w:lang w:val="en-US"/>
        </w:rPr>
        <w:t>OR</w:t>
      </w:r>
    </w:p>
    <w:p w14:paraId="71F3DCD2" w14:textId="77777777" w:rsidR="00F714AC" w:rsidRPr="00F714AC" w:rsidRDefault="003A4815" w:rsidP="004157FB">
      <w:pPr>
        <w:pBdr>
          <w:top w:val="nil"/>
          <w:left w:val="nil"/>
          <w:bottom w:val="nil"/>
          <w:right w:val="nil"/>
          <w:between w:val="nil"/>
          <w:bar w:val="nil"/>
        </w:pBdr>
        <w:spacing w:after="200" w:line="276" w:lineRule="auto"/>
        <w:rPr>
          <w:b/>
          <w:bdr w:val="nil"/>
          <w:lang w:val="en-US"/>
        </w:rPr>
      </w:pPr>
      <w:bookmarkStart w:id="8" w:name="XBRL_CS_4e6c14dec77e49af807863bc19c4e4cc"/>
      <w:r>
        <w:rPr>
          <w:rFonts w:ascii="Segoe UI Symbol" w:hAnsi="Segoe UI Symbol" w:cs="Segoe UI Symbol"/>
          <w:b/>
          <w:lang w:val="en-US"/>
        </w:rPr>
        <w:t>☐</w:t>
      </w:r>
      <w:bookmarkEnd w:id="8"/>
      <w:r>
        <w:rPr>
          <w:rFonts w:ascii="Segoe UI Symbol" w:hAnsi="Segoe UI Symbol" w:cs="Segoe UI Symbol"/>
          <w:b/>
          <w:lang w:val="en-US"/>
        </w:rPr>
        <w:t xml:space="preserve"> </w:t>
      </w:r>
      <w:r w:rsidRPr="00F714AC">
        <w:rPr>
          <w:b/>
          <w:lang w:val="en-US"/>
        </w:rPr>
        <w:t>TRANSITION REPORT PURSUANT TO SECTION 13 OR 15(d) OF THE SECURITIES EXCHANGE ACT OF 1934</w:t>
      </w:r>
    </w:p>
    <w:p w14:paraId="71F3DCD3" w14:textId="77777777" w:rsidR="00F714AC" w:rsidRPr="00F714AC" w:rsidRDefault="003A4815" w:rsidP="004157FB">
      <w:pPr>
        <w:pBdr>
          <w:top w:val="nil"/>
          <w:left w:val="nil"/>
          <w:bottom w:val="nil"/>
          <w:right w:val="nil"/>
          <w:between w:val="nil"/>
          <w:bar w:val="nil"/>
        </w:pBdr>
        <w:spacing w:after="200" w:line="276" w:lineRule="auto"/>
        <w:jc w:val="center"/>
        <w:rPr>
          <w:b/>
          <w:bdr w:val="nil"/>
          <w:lang w:val="en-US"/>
        </w:rPr>
      </w:pPr>
      <w:r w:rsidRPr="00F714AC">
        <w:rPr>
          <w:b/>
          <w:lang w:val="en-US"/>
        </w:rPr>
        <w:t>OR</w:t>
      </w:r>
    </w:p>
    <w:p w14:paraId="71F3DCD4" w14:textId="77777777" w:rsidR="00F714AC" w:rsidRPr="00F714AC" w:rsidRDefault="003A4815" w:rsidP="004157FB">
      <w:pPr>
        <w:pBdr>
          <w:top w:val="nil"/>
          <w:left w:val="nil"/>
          <w:bottom w:val="nil"/>
          <w:right w:val="nil"/>
          <w:between w:val="nil"/>
          <w:bar w:val="nil"/>
        </w:pBdr>
        <w:spacing w:after="200" w:line="276" w:lineRule="auto"/>
        <w:rPr>
          <w:b/>
          <w:bdr w:val="nil"/>
          <w:lang w:val="en-US"/>
        </w:rPr>
      </w:pPr>
      <w:bookmarkStart w:id="9" w:name="XBRL_CS_cc0cc0afafbd4f279601a4db6b002547"/>
      <w:r>
        <w:rPr>
          <w:rFonts w:ascii="Segoe UI Symbol" w:hAnsi="Segoe UI Symbol" w:cs="Segoe UI Symbol"/>
          <w:b/>
          <w:lang w:val="en-US"/>
        </w:rPr>
        <w:t>☐</w:t>
      </w:r>
      <w:bookmarkEnd w:id="9"/>
      <w:r>
        <w:rPr>
          <w:rFonts w:ascii="Segoe UI Symbol" w:hAnsi="Segoe UI Symbol" w:cs="Segoe UI Symbol"/>
          <w:b/>
          <w:lang w:val="en-US"/>
        </w:rPr>
        <w:t xml:space="preserve"> </w:t>
      </w:r>
      <w:r w:rsidRPr="00F714AC">
        <w:rPr>
          <w:b/>
          <w:lang w:val="en-US"/>
        </w:rPr>
        <w:t>SHELL COMPANY REPORT PURSUANT TO SECTION 13 OR 15(d) OF THE SECURITIES EXCHANGE ACT OF 1934 Date of event requ</w:t>
      </w:r>
      <w:r>
        <w:rPr>
          <w:b/>
          <w:lang w:val="en-US"/>
        </w:rPr>
        <w:t xml:space="preserve">iring this shell company report: </w:t>
      </w:r>
      <w:r w:rsidRPr="00F750B8">
        <w:rPr>
          <w:lang w:val="en-US"/>
        </w:rPr>
        <w:t>Not applicable</w:t>
      </w:r>
      <w:r w:rsidRPr="00F714AC">
        <w:rPr>
          <w:b/>
          <w:lang w:val="en-US"/>
        </w:rPr>
        <w:t xml:space="preserve"> </w:t>
      </w:r>
    </w:p>
    <w:p w14:paraId="71F3DCD5" w14:textId="77777777" w:rsidR="00F714AC" w:rsidRPr="00F714AC" w:rsidRDefault="003A4815" w:rsidP="004157FB">
      <w:pPr>
        <w:pBdr>
          <w:top w:val="nil"/>
          <w:left w:val="nil"/>
          <w:bottom w:val="nil"/>
          <w:right w:val="nil"/>
          <w:between w:val="nil"/>
          <w:bar w:val="nil"/>
        </w:pBdr>
        <w:spacing w:after="200" w:line="276" w:lineRule="auto"/>
        <w:rPr>
          <w:b/>
          <w:sz w:val="20"/>
          <w:bdr w:val="nil"/>
          <w:lang w:val="en-US"/>
        </w:rPr>
      </w:pPr>
      <w:r w:rsidRPr="00F714AC">
        <w:rPr>
          <w:b/>
          <w:sz w:val="20"/>
          <w:lang w:val="en-US"/>
        </w:rPr>
        <w:t xml:space="preserve">For the transition period from ___________________________ to ___________________________ </w:t>
      </w:r>
    </w:p>
    <w:p w14:paraId="71F3DCD6" w14:textId="77777777" w:rsidR="007D0C78" w:rsidRDefault="003A4815" w:rsidP="007D0C78">
      <w:pPr>
        <w:pBdr>
          <w:top w:val="nil"/>
          <w:left w:val="nil"/>
          <w:bottom w:val="nil"/>
          <w:right w:val="nil"/>
          <w:between w:val="nil"/>
          <w:bar w:val="nil"/>
        </w:pBdr>
        <w:rPr>
          <w:sz w:val="18"/>
          <w:bdr w:val="nil"/>
          <w:lang w:val="en-US"/>
        </w:rPr>
      </w:pPr>
      <w:r w:rsidRPr="007D0C78">
        <w:rPr>
          <w:sz w:val="18"/>
          <w:lang w:val="en-US"/>
        </w:rPr>
        <w:t>Commission file number</w:t>
      </w:r>
      <w:r>
        <w:rPr>
          <w:sz w:val="18"/>
          <w:lang w:val="en-US"/>
        </w:rPr>
        <w:t xml:space="preserve"> </w:t>
      </w:r>
      <w:bookmarkStart w:id="10" w:name="XBRL_CS_b926db13196c44feb9da6fe3f9ac50d4"/>
      <w:r>
        <w:rPr>
          <w:sz w:val="18"/>
          <w:lang w:val="en-US"/>
        </w:rPr>
        <w:t>001-32458</w:t>
      </w:r>
      <w:bookmarkEnd w:id="10"/>
    </w:p>
    <w:p w14:paraId="71F3DCD7" w14:textId="77777777" w:rsidR="007D0C78" w:rsidRDefault="007D0C78" w:rsidP="007D0C78">
      <w:pPr>
        <w:pBdr>
          <w:top w:val="nil"/>
          <w:left w:val="nil"/>
          <w:bottom w:val="nil"/>
          <w:right w:val="nil"/>
          <w:between w:val="nil"/>
          <w:bar w:val="nil"/>
        </w:pBdr>
        <w:jc w:val="center"/>
        <w:rPr>
          <w:bdr w:val="nil"/>
          <w:lang w:val="en-US"/>
        </w:rPr>
      </w:pPr>
    </w:p>
    <w:p w14:paraId="71F3DCD8" w14:textId="77777777" w:rsidR="00CA675C" w:rsidRDefault="003A4815" w:rsidP="00CA675C">
      <w:pPr>
        <w:pBdr>
          <w:top w:val="nil"/>
          <w:left w:val="nil"/>
          <w:bottom w:val="nil"/>
          <w:right w:val="nil"/>
          <w:between w:val="nil"/>
          <w:bar w:val="nil"/>
        </w:pBdr>
        <w:jc w:val="center"/>
        <w:rPr>
          <w:b/>
          <w:caps/>
          <w:bdr w:val="nil"/>
          <w:lang w:val="en-US"/>
        </w:rPr>
      </w:pPr>
      <w:bookmarkStart w:id="11" w:name="XBRL_CS_844be50fd1b14e8d9ca70a7d59de714c"/>
      <w:r w:rsidRPr="007D0C78">
        <w:rPr>
          <w:b/>
          <w:caps/>
          <w:lang w:val="en-US"/>
        </w:rPr>
        <w:t>Diana Shipping Inc.</w:t>
      </w:r>
      <w:bookmarkEnd w:id="11"/>
    </w:p>
    <w:p w14:paraId="71F3DCD9" w14:textId="77777777" w:rsidR="00CA675C" w:rsidRPr="007D0C78" w:rsidRDefault="003A4815" w:rsidP="00CA675C">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CDA" w14:textId="77777777" w:rsidR="007D0C78" w:rsidRDefault="003A4815" w:rsidP="00CA675C">
      <w:pPr>
        <w:pBdr>
          <w:top w:val="nil"/>
          <w:left w:val="nil"/>
          <w:bottom w:val="nil"/>
          <w:right w:val="nil"/>
          <w:between w:val="nil"/>
          <w:bar w:val="nil"/>
        </w:pBdr>
        <w:jc w:val="center"/>
        <w:rPr>
          <w:sz w:val="18"/>
          <w:bdr w:val="nil"/>
          <w:lang w:val="en-US"/>
        </w:rPr>
      </w:pPr>
      <w:r w:rsidRPr="00B12F1B">
        <w:rPr>
          <w:sz w:val="20"/>
          <w:lang w:val="en-US"/>
        </w:rPr>
        <w:t xml:space="preserve"> </w:t>
      </w:r>
      <w:r w:rsidR="00867B57" w:rsidRPr="00B12F1B">
        <w:rPr>
          <w:sz w:val="20"/>
          <w:lang w:val="en-US"/>
        </w:rPr>
        <w:t>(</w:t>
      </w:r>
      <w:r w:rsidR="00867B57" w:rsidRPr="00B12F1B">
        <w:rPr>
          <w:sz w:val="18"/>
          <w:lang w:val="en-US"/>
        </w:rPr>
        <w:t>Exact name of Registrant as specified in its charter)</w:t>
      </w:r>
    </w:p>
    <w:p w14:paraId="71F3DCDB" w14:textId="77777777" w:rsidR="007D0C78" w:rsidRDefault="003A4815" w:rsidP="007D0C78">
      <w:pPr>
        <w:pBdr>
          <w:top w:val="nil"/>
          <w:left w:val="nil"/>
          <w:bottom w:val="nil"/>
          <w:right w:val="nil"/>
          <w:between w:val="nil"/>
          <w:bar w:val="nil"/>
        </w:pBdr>
        <w:jc w:val="center"/>
        <w:rPr>
          <w:bdr w:val="nil"/>
          <w:lang w:val="en-US"/>
        </w:rPr>
      </w:pPr>
      <w:r>
        <w:rPr>
          <w:lang w:val="en-US"/>
        </w:rPr>
        <w:t>Diana Shipping Inc.</w:t>
      </w:r>
    </w:p>
    <w:p w14:paraId="71F3DCDC" w14:textId="77777777" w:rsidR="007D0C78" w:rsidRPr="007D0C78" w:rsidRDefault="003A4815" w:rsidP="007D0C78">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CDD" w14:textId="77777777" w:rsidR="007D0C78" w:rsidRDefault="003A4815" w:rsidP="007D0C78">
      <w:pPr>
        <w:pBdr>
          <w:top w:val="nil"/>
          <w:left w:val="nil"/>
          <w:bottom w:val="nil"/>
          <w:right w:val="nil"/>
          <w:between w:val="nil"/>
          <w:bar w:val="nil"/>
        </w:pBdr>
        <w:jc w:val="center"/>
        <w:rPr>
          <w:sz w:val="18"/>
          <w:bdr w:val="nil"/>
          <w:lang w:val="en-US"/>
        </w:rPr>
      </w:pPr>
      <w:r w:rsidRPr="00F714AC">
        <w:rPr>
          <w:lang w:val="en-US"/>
        </w:rPr>
        <w:t xml:space="preserve"> </w:t>
      </w:r>
      <w:r w:rsidRPr="00B12F1B">
        <w:rPr>
          <w:sz w:val="18"/>
          <w:lang w:val="en-US"/>
        </w:rPr>
        <w:t xml:space="preserve">(Translation of Registrant’s name into English) </w:t>
      </w:r>
    </w:p>
    <w:p w14:paraId="71F3DCDE" w14:textId="77777777" w:rsidR="007D0C78" w:rsidRDefault="007D0C78" w:rsidP="007D0C78">
      <w:pPr>
        <w:pBdr>
          <w:top w:val="nil"/>
          <w:left w:val="nil"/>
          <w:bottom w:val="nil"/>
          <w:right w:val="nil"/>
          <w:between w:val="nil"/>
          <w:bar w:val="nil"/>
        </w:pBdr>
        <w:jc w:val="center"/>
        <w:rPr>
          <w:color w:val="000000"/>
          <w:sz w:val="20"/>
          <w:szCs w:val="20"/>
          <w:bdr w:val="nil"/>
          <w:shd w:val="clear" w:color="auto" w:fill="FFFFFF"/>
          <w:lang w:val="en-US"/>
        </w:rPr>
      </w:pPr>
    </w:p>
    <w:p w14:paraId="71F3DCDF" w14:textId="77777777" w:rsidR="007D0C78" w:rsidRDefault="003A4815" w:rsidP="007D0C78">
      <w:pPr>
        <w:pBdr>
          <w:top w:val="nil"/>
          <w:left w:val="nil"/>
          <w:bottom w:val="nil"/>
          <w:right w:val="nil"/>
          <w:between w:val="nil"/>
          <w:bar w:val="nil"/>
        </w:pBdr>
        <w:jc w:val="center"/>
        <w:rPr>
          <w:color w:val="000000"/>
          <w:sz w:val="20"/>
          <w:szCs w:val="20"/>
          <w:bdr w:val="nil"/>
          <w:shd w:val="clear" w:color="auto" w:fill="FFFFFF"/>
          <w:lang w:val="en-US"/>
        </w:rPr>
      </w:pPr>
      <w:bookmarkStart w:id="12" w:name="XBRL_CS_bab15e1fb59a4ec9952ce2988e7c94b4"/>
      <w:r w:rsidRPr="007D0C78">
        <w:rPr>
          <w:color w:val="000000"/>
          <w:sz w:val="20"/>
          <w:szCs w:val="20"/>
          <w:shd w:val="clear" w:color="auto" w:fill="FFFFFF"/>
          <w:lang w:val="en-US"/>
        </w:rPr>
        <w:t>Republic of the Marshall Islands</w:t>
      </w:r>
      <w:bookmarkEnd w:id="12"/>
    </w:p>
    <w:p w14:paraId="71F3DCE0" w14:textId="77777777" w:rsidR="007D0C78" w:rsidRPr="007D0C78" w:rsidRDefault="003A4815" w:rsidP="007D0C78">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CE1" w14:textId="77777777" w:rsidR="007D0C78" w:rsidRDefault="003A4815" w:rsidP="007D0C78">
      <w:pPr>
        <w:pBdr>
          <w:top w:val="nil"/>
          <w:left w:val="nil"/>
          <w:bottom w:val="nil"/>
          <w:right w:val="nil"/>
          <w:between w:val="nil"/>
          <w:bar w:val="nil"/>
        </w:pBdr>
        <w:jc w:val="center"/>
        <w:rPr>
          <w:sz w:val="18"/>
          <w:bdr w:val="nil"/>
          <w:lang w:val="en-US"/>
        </w:rPr>
      </w:pPr>
      <w:r w:rsidRPr="00B12F1B">
        <w:rPr>
          <w:sz w:val="18"/>
          <w:lang w:val="en-US"/>
        </w:rPr>
        <w:t xml:space="preserve"> </w:t>
      </w:r>
      <w:r w:rsidR="00867B57" w:rsidRPr="00B12F1B">
        <w:rPr>
          <w:sz w:val="18"/>
          <w:lang w:val="en-US"/>
        </w:rPr>
        <w:t>(Jurisdiction of incorporation or organization)</w:t>
      </w:r>
    </w:p>
    <w:p w14:paraId="71F3DCE2" w14:textId="77777777" w:rsidR="007D0C78" w:rsidRDefault="007D0C78" w:rsidP="007D0C78">
      <w:pPr>
        <w:pBdr>
          <w:top w:val="nil"/>
          <w:left w:val="nil"/>
          <w:bottom w:val="nil"/>
          <w:right w:val="nil"/>
          <w:between w:val="nil"/>
          <w:bar w:val="nil"/>
        </w:pBdr>
        <w:jc w:val="center"/>
        <w:rPr>
          <w:sz w:val="18"/>
          <w:bdr w:val="nil"/>
          <w:lang w:val="en-US"/>
        </w:rPr>
      </w:pPr>
    </w:p>
    <w:p w14:paraId="71F3DCE3" w14:textId="77777777" w:rsidR="007D0C78" w:rsidRDefault="003A4815" w:rsidP="007D0C78">
      <w:pPr>
        <w:pBdr>
          <w:top w:val="nil"/>
          <w:left w:val="nil"/>
          <w:bottom w:val="nil"/>
          <w:right w:val="nil"/>
          <w:between w:val="nil"/>
          <w:bar w:val="nil"/>
        </w:pBdr>
        <w:jc w:val="center"/>
        <w:rPr>
          <w:sz w:val="18"/>
          <w:bdr w:val="nil"/>
          <w:lang w:val="en-US"/>
        </w:rPr>
      </w:pPr>
      <w:r w:rsidRPr="00B12F1B">
        <w:rPr>
          <w:sz w:val="18"/>
          <w:lang w:val="en-US"/>
        </w:rPr>
        <w:t xml:space="preserve"> </w:t>
      </w:r>
      <w:bookmarkStart w:id="13" w:name="XBRL_CS_c8a2e28067044d3ca6192bfec1c15337"/>
      <w:r w:rsidRPr="007D0C78">
        <w:rPr>
          <w:color w:val="000000"/>
          <w:sz w:val="20"/>
          <w:szCs w:val="20"/>
          <w:shd w:val="clear" w:color="auto" w:fill="FFFFFF"/>
          <w:lang w:val="en-US"/>
        </w:rPr>
        <w:t>Pendelis 16</w:t>
      </w:r>
      <w:bookmarkEnd w:id="13"/>
      <w:r w:rsidRPr="007D0C78">
        <w:rPr>
          <w:color w:val="000000"/>
          <w:sz w:val="20"/>
          <w:szCs w:val="20"/>
          <w:shd w:val="clear" w:color="auto" w:fill="FFFFFF"/>
          <w:lang w:val="en-US"/>
        </w:rPr>
        <w:t xml:space="preserve">, </w:t>
      </w:r>
      <w:bookmarkStart w:id="14" w:name="XBRL_CS_0d7230316d0d4eae8f94d58956d9e512"/>
      <w:r w:rsidRPr="007D0C78">
        <w:rPr>
          <w:color w:val="000000"/>
          <w:sz w:val="20"/>
          <w:szCs w:val="20"/>
          <w:shd w:val="clear" w:color="auto" w:fill="FFFFFF"/>
          <w:lang w:val="en-US"/>
        </w:rPr>
        <w:t>175 64 Palaio Faliro</w:t>
      </w:r>
      <w:bookmarkEnd w:id="14"/>
      <w:r w:rsidRPr="007D0C78">
        <w:rPr>
          <w:color w:val="000000"/>
          <w:sz w:val="20"/>
          <w:szCs w:val="20"/>
          <w:shd w:val="clear" w:color="auto" w:fill="FFFFFF"/>
          <w:lang w:val="en-US"/>
        </w:rPr>
        <w:t xml:space="preserve">, </w:t>
      </w:r>
      <w:bookmarkStart w:id="15" w:name="XBRL_CS_639a15e091bb44718b0526250bffedc1"/>
      <w:r w:rsidRPr="007D0C78">
        <w:rPr>
          <w:color w:val="000000"/>
          <w:sz w:val="20"/>
          <w:szCs w:val="20"/>
          <w:shd w:val="clear" w:color="auto" w:fill="FFFFFF"/>
          <w:lang w:val="en-US"/>
        </w:rPr>
        <w:t>Athens</w:t>
      </w:r>
      <w:bookmarkEnd w:id="15"/>
      <w:r w:rsidRPr="007D0C78">
        <w:rPr>
          <w:color w:val="000000"/>
          <w:sz w:val="20"/>
          <w:szCs w:val="20"/>
          <w:shd w:val="clear" w:color="auto" w:fill="FFFFFF"/>
          <w:lang w:val="en-US"/>
        </w:rPr>
        <w:t xml:space="preserve">, </w:t>
      </w:r>
      <w:bookmarkStart w:id="16" w:name="XBRL_CS_c8a92b67b1f74363a9c54bbd768438f1"/>
      <w:r w:rsidRPr="007D0C78">
        <w:rPr>
          <w:color w:val="000000"/>
          <w:sz w:val="20"/>
          <w:szCs w:val="20"/>
          <w:shd w:val="clear" w:color="auto" w:fill="FFFFFF"/>
          <w:lang w:val="en-US"/>
        </w:rPr>
        <w:t>Greece</w:t>
      </w:r>
      <w:bookmarkEnd w:id="16"/>
      <w:r w:rsidRPr="00B12F1B">
        <w:rPr>
          <w:sz w:val="18"/>
          <w:lang w:val="en-US"/>
        </w:rPr>
        <w:t xml:space="preserve"> </w:t>
      </w:r>
    </w:p>
    <w:p w14:paraId="71F3DCE4" w14:textId="77777777" w:rsidR="007D0C78" w:rsidRPr="007D0C78" w:rsidRDefault="003A4815" w:rsidP="007D0C78">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CE5" w14:textId="77777777" w:rsidR="00B12F1B" w:rsidRDefault="003A4815" w:rsidP="007D0C78">
      <w:pPr>
        <w:pBdr>
          <w:top w:val="nil"/>
          <w:left w:val="nil"/>
          <w:bottom w:val="nil"/>
          <w:right w:val="nil"/>
          <w:between w:val="nil"/>
          <w:bar w:val="nil"/>
        </w:pBdr>
        <w:jc w:val="center"/>
        <w:rPr>
          <w:sz w:val="18"/>
          <w:bdr w:val="nil"/>
          <w:lang w:val="en-US"/>
        </w:rPr>
      </w:pPr>
      <w:r w:rsidRPr="00B12F1B">
        <w:rPr>
          <w:sz w:val="18"/>
          <w:lang w:val="en-US"/>
        </w:rPr>
        <w:t xml:space="preserve"> </w:t>
      </w:r>
      <w:r w:rsidR="00867B57" w:rsidRPr="00B12F1B">
        <w:rPr>
          <w:sz w:val="18"/>
          <w:lang w:val="en-US"/>
        </w:rPr>
        <w:t>(Address of principal executive offices)</w:t>
      </w:r>
    </w:p>
    <w:p w14:paraId="71F3DCE6" w14:textId="77777777" w:rsidR="007D0C78" w:rsidRDefault="007D0C78" w:rsidP="007D0C78">
      <w:pPr>
        <w:pBdr>
          <w:top w:val="nil"/>
          <w:left w:val="nil"/>
          <w:bottom w:val="nil"/>
          <w:right w:val="nil"/>
          <w:between w:val="nil"/>
          <w:bar w:val="nil"/>
        </w:pBdr>
        <w:jc w:val="center"/>
        <w:rPr>
          <w:color w:val="000000"/>
          <w:sz w:val="20"/>
          <w:szCs w:val="20"/>
          <w:bdr w:val="nil"/>
          <w:shd w:val="clear" w:color="auto" w:fill="FFFFFF"/>
          <w:lang w:val="en-US"/>
        </w:rPr>
      </w:pPr>
    </w:p>
    <w:p w14:paraId="71F3DCE7" w14:textId="77777777" w:rsidR="00EE50C9" w:rsidRDefault="003A4815" w:rsidP="007D0C78">
      <w:pPr>
        <w:pBdr>
          <w:top w:val="nil"/>
          <w:left w:val="nil"/>
          <w:bottom w:val="nil"/>
          <w:right w:val="nil"/>
          <w:between w:val="nil"/>
          <w:bar w:val="nil"/>
        </w:pBdr>
        <w:jc w:val="center"/>
        <w:rPr>
          <w:color w:val="000000"/>
          <w:sz w:val="20"/>
          <w:szCs w:val="20"/>
          <w:bdr w:val="nil"/>
          <w:shd w:val="clear" w:color="auto" w:fill="FFFFFF"/>
          <w:lang w:val="en-US"/>
        </w:rPr>
      </w:pPr>
      <w:bookmarkStart w:id="17" w:name="XBRL_CS_a266e42b37b04ab6ad7f1b7882db7249"/>
      <w:bookmarkStart w:id="18" w:name="XBRL_CS_9c8c60fd31b240b2a8bd19aa3733cd92"/>
      <w:r w:rsidRPr="007D0C78">
        <w:rPr>
          <w:color w:val="000000"/>
          <w:sz w:val="20"/>
          <w:szCs w:val="20"/>
          <w:shd w:val="clear" w:color="auto" w:fill="FFFFFF"/>
          <w:lang w:val="en-US"/>
        </w:rPr>
        <w:t>M</w:t>
      </w:r>
      <w:r>
        <w:rPr>
          <w:color w:val="000000"/>
          <w:sz w:val="20"/>
          <w:szCs w:val="20"/>
          <w:shd w:val="clear" w:color="auto" w:fill="FFFFFF"/>
          <w:lang w:val="en-US"/>
        </w:rPr>
        <w:t>s</w:t>
      </w:r>
      <w:r w:rsidRPr="007D0C78">
        <w:rPr>
          <w:color w:val="000000"/>
          <w:sz w:val="20"/>
          <w:szCs w:val="20"/>
          <w:shd w:val="clear" w:color="auto" w:fill="FFFFFF"/>
          <w:lang w:val="en-US"/>
        </w:rPr>
        <w:t xml:space="preserve"> </w:t>
      </w:r>
      <w:r>
        <w:rPr>
          <w:color w:val="000000"/>
          <w:sz w:val="20"/>
          <w:szCs w:val="20"/>
          <w:shd w:val="clear" w:color="auto" w:fill="FFFFFF"/>
          <w:lang w:val="en-US"/>
        </w:rPr>
        <w:t>Maria Dede</w:t>
      </w:r>
      <w:bookmarkEnd w:id="17"/>
      <w:bookmarkEnd w:id="18"/>
    </w:p>
    <w:p w14:paraId="71F3DCE8" w14:textId="77777777" w:rsidR="00EE50C9" w:rsidRDefault="003A4815" w:rsidP="00EE50C9">
      <w:pPr>
        <w:pBdr>
          <w:top w:val="nil"/>
          <w:left w:val="nil"/>
          <w:bottom w:val="nil"/>
          <w:right w:val="nil"/>
          <w:between w:val="nil"/>
          <w:bar w:val="nil"/>
        </w:pBdr>
        <w:jc w:val="center"/>
        <w:rPr>
          <w:sz w:val="18"/>
          <w:bdr w:val="nil"/>
          <w:lang w:val="en-US"/>
        </w:rPr>
      </w:pPr>
      <w:bookmarkStart w:id="19" w:name="XBRL_CS_5f098cfd09124a9bbcff7d42c50dd90a"/>
      <w:r w:rsidRPr="007D0C78">
        <w:rPr>
          <w:color w:val="000000"/>
          <w:sz w:val="20"/>
          <w:szCs w:val="20"/>
          <w:shd w:val="clear" w:color="auto" w:fill="FFFFFF"/>
          <w:lang w:val="en-US"/>
        </w:rPr>
        <w:t>Pendelis 16</w:t>
      </w:r>
      <w:bookmarkEnd w:id="19"/>
      <w:r w:rsidRPr="007D0C78">
        <w:rPr>
          <w:color w:val="000000"/>
          <w:sz w:val="20"/>
          <w:szCs w:val="20"/>
          <w:shd w:val="clear" w:color="auto" w:fill="FFFFFF"/>
          <w:lang w:val="en-US"/>
        </w:rPr>
        <w:t xml:space="preserve">, </w:t>
      </w:r>
      <w:bookmarkStart w:id="20" w:name="XBRL_CS_ed5577a253ce4cbfb2655d9c795393f3"/>
      <w:r w:rsidRPr="007D0C78">
        <w:rPr>
          <w:color w:val="000000"/>
          <w:sz w:val="20"/>
          <w:szCs w:val="20"/>
          <w:shd w:val="clear" w:color="auto" w:fill="FFFFFF"/>
          <w:lang w:val="en-US"/>
        </w:rPr>
        <w:t>175 64 Palaio Faliro</w:t>
      </w:r>
      <w:bookmarkEnd w:id="20"/>
      <w:r w:rsidRPr="007D0C78">
        <w:rPr>
          <w:color w:val="000000"/>
          <w:sz w:val="20"/>
          <w:szCs w:val="20"/>
          <w:shd w:val="clear" w:color="auto" w:fill="FFFFFF"/>
          <w:lang w:val="en-US"/>
        </w:rPr>
        <w:t xml:space="preserve">, </w:t>
      </w:r>
      <w:bookmarkStart w:id="21" w:name="XBRL_CS_1760a23b196e4d6fa7469c1f247d6d39"/>
      <w:r w:rsidRPr="007D0C78">
        <w:rPr>
          <w:color w:val="000000"/>
          <w:sz w:val="20"/>
          <w:szCs w:val="20"/>
          <w:shd w:val="clear" w:color="auto" w:fill="FFFFFF"/>
          <w:lang w:val="en-US"/>
        </w:rPr>
        <w:t>Athens</w:t>
      </w:r>
      <w:bookmarkEnd w:id="21"/>
      <w:r w:rsidRPr="007D0C78">
        <w:rPr>
          <w:color w:val="000000"/>
          <w:sz w:val="20"/>
          <w:szCs w:val="20"/>
          <w:shd w:val="clear" w:color="auto" w:fill="FFFFFF"/>
          <w:lang w:val="en-US"/>
        </w:rPr>
        <w:t xml:space="preserve">, </w:t>
      </w:r>
      <w:bookmarkStart w:id="22" w:name="XBRL_CS_705e248038224bccadb8b5d913b4b3e4"/>
      <w:r w:rsidRPr="007D0C78">
        <w:rPr>
          <w:color w:val="000000"/>
          <w:sz w:val="20"/>
          <w:szCs w:val="20"/>
          <w:shd w:val="clear" w:color="auto" w:fill="FFFFFF"/>
          <w:lang w:val="en-US"/>
        </w:rPr>
        <w:t>Greece</w:t>
      </w:r>
      <w:bookmarkEnd w:id="22"/>
      <w:r w:rsidRPr="00B12F1B">
        <w:rPr>
          <w:sz w:val="18"/>
          <w:lang w:val="en-US"/>
        </w:rPr>
        <w:t xml:space="preserve"> </w:t>
      </w:r>
    </w:p>
    <w:p w14:paraId="71F3DCE9" w14:textId="77777777" w:rsidR="007D0C78" w:rsidRDefault="003A4815" w:rsidP="007D0C78">
      <w:pPr>
        <w:pBdr>
          <w:top w:val="nil"/>
          <w:left w:val="nil"/>
          <w:bottom w:val="nil"/>
          <w:right w:val="nil"/>
          <w:between w:val="nil"/>
          <w:bar w:val="nil"/>
        </w:pBdr>
        <w:jc w:val="center"/>
        <w:rPr>
          <w:color w:val="000000"/>
          <w:sz w:val="20"/>
          <w:szCs w:val="20"/>
          <w:bdr w:val="nil"/>
          <w:shd w:val="clear" w:color="auto" w:fill="FFFFFF"/>
          <w:lang w:val="en-US"/>
        </w:rPr>
      </w:pPr>
      <w:r w:rsidRPr="007D0C78">
        <w:rPr>
          <w:color w:val="000000"/>
          <w:sz w:val="20"/>
          <w:szCs w:val="20"/>
          <w:shd w:val="clear" w:color="auto" w:fill="FFFFFF"/>
          <w:lang w:val="en-US"/>
        </w:rPr>
        <w:t xml:space="preserve">Tel:  + </w:t>
      </w:r>
      <w:bookmarkStart w:id="23" w:name="XBRL_CS_7c6188a56db24152aa3e5db22ccab6a0"/>
      <w:r w:rsidRPr="007D0C78">
        <w:rPr>
          <w:color w:val="000000"/>
          <w:sz w:val="20"/>
          <w:szCs w:val="20"/>
          <w:shd w:val="clear" w:color="auto" w:fill="FFFFFF"/>
          <w:lang w:val="en-US"/>
        </w:rPr>
        <w:t>30</w:t>
      </w:r>
      <w:bookmarkEnd w:id="23"/>
      <w:r w:rsidRPr="007D0C78">
        <w:rPr>
          <w:color w:val="000000"/>
          <w:sz w:val="20"/>
          <w:szCs w:val="20"/>
          <w:shd w:val="clear" w:color="auto" w:fill="FFFFFF"/>
          <w:lang w:val="en-US"/>
        </w:rPr>
        <w:t>-</w:t>
      </w:r>
      <w:bookmarkStart w:id="24" w:name="XBRL_CS_a20c4980b45b48e4b2318aff2670dba3"/>
      <w:r w:rsidRPr="007D0C78">
        <w:rPr>
          <w:color w:val="000000"/>
          <w:sz w:val="20"/>
          <w:szCs w:val="20"/>
          <w:shd w:val="clear" w:color="auto" w:fill="FFFFFF"/>
          <w:lang w:val="en-US"/>
        </w:rPr>
        <w:t>210</w:t>
      </w:r>
      <w:bookmarkEnd w:id="24"/>
      <w:r w:rsidRPr="007D0C78">
        <w:rPr>
          <w:color w:val="000000"/>
          <w:sz w:val="20"/>
          <w:szCs w:val="20"/>
          <w:shd w:val="clear" w:color="auto" w:fill="FFFFFF"/>
          <w:lang w:val="en-US"/>
        </w:rPr>
        <w:t>-</w:t>
      </w:r>
      <w:bookmarkStart w:id="25" w:name="XBRL_CS_36f0e069acb54b3fbc5d294a2d4d8b8a"/>
      <w:r w:rsidRPr="007D0C78">
        <w:rPr>
          <w:color w:val="000000"/>
          <w:sz w:val="20"/>
          <w:szCs w:val="20"/>
          <w:shd w:val="clear" w:color="auto" w:fill="FFFFFF"/>
          <w:lang w:val="en-US"/>
        </w:rPr>
        <w:t>9470-100</w:t>
      </w:r>
      <w:bookmarkEnd w:id="25"/>
      <w:r w:rsidRPr="007D0C78">
        <w:rPr>
          <w:color w:val="000000"/>
          <w:sz w:val="20"/>
          <w:szCs w:val="20"/>
          <w:shd w:val="clear" w:color="auto" w:fill="FFFFFF"/>
          <w:lang w:val="en-US"/>
        </w:rPr>
        <w:t xml:space="preserve">, Fax: + </w:t>
      </w:r>
      <w:bookmarkStart w:id="26" w:name="XBRL_CS_9927ac280a16439bb6b3509dbc9a21e1"/>
      <w:r w:rsidRPr="007D0C78">
        <w:rPr>
          <w:color w:val="000000"/>
          <w:sz w:val="20"/>
          <w:szCs w:val="20"/>
          <w:shd w:val="clear" w:color="auto" w:fill="FFFFFF"/>
          <w:lang w:val="en-US"/>
        </w:rPr>
        <w:t>30-210-9470-101</w:t>
      </w:r>
      <w:bookmarkEnd w:id="26"/>
      <w:r w:rsidRPr="007D0C78">
        <w:rPr>
          <w:color w:val="000000"/>
          <w:sz w:val="20"/>
          <w:szCs w:val="20"/>
          <w:lang w:val="en-US"/>
        </w:rPr>
        <w:br/>
      </w:r>
      <w:r w:rsidRPr="007D0C78">
        <w:rPr>
          <w:color w:val="000000"/>
          <w:sz w:val="20"/>
          <w:szCs w:val="20"/>
          <w:shd w:val="clear" w:color="auto" w:fill="FFFFFF"/>
          <w:lang w:val="en-US"/>
        </w:rPr>
        <w:t xml:space="preserve">E-mail: </w:t>
      </w:r>
      <w:bookmarkStart w:id="27" w:name="XBRL_CS_142af2401b8b4e659ccb0ccb34921935"/>
      <w:r>
        <w:rPr>
          <w:rStyle w:val="Hyperlink"/>
          <w:color w:val="0000FF"/>
          <w:sz w:val="20"/>
          <w:szCs w:val="20"/>
          <w:shd w:val="clear" w:color="auto" w:fill="FFFFFF"/>
          <w:lang w:val="en-US"/>
        </w:rPr>
        <w:t>mdede</w:t>
      </w:r>
      <w:r w:rsidRPr="008F1ABB">
        <w:rPr>
          <w:rStyle w:val="Hyperlink"/>
          <w:color w:val="0000FF"/>
          <w:sz w:val="20"/>
          <w:szCs w:val="20"/>
          <w:shd w:val="clear" w:color="auto" w:fill="FFFFFF"/>
          <w:lang w:val="en-US"/>
        </w:rPr>
        <w:t>@dianashippinginc.com</w:t>
      </w:r>
      <w:bookmarkEnd w:id="27"/>
    </w:p>
    <w:p w14:paraId="71F3DCEA" w14:textId="77777777" w:rsidR="007D0C78" w:rsidRPr="007D0C78" w:rsidRDefault="003A4815" w:rsidP="007D0C78">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CEB" w14:textId="77777777" w:rsidR="00B12F1B" w:rsidRPr="00B12F1B" w:rsidRDefault="003A4815" w:rsidP="004157FB">
      <w:pPr>
        <w:pBdr>
          <w:top w:val="nil"/>
          <w:left w:val="nil"/>
          <w:bottom w:val="nil"/>
          <w:right w:val="nil"/>
          <w:between w:val="nil"/>
          <w:bar w:val="nil"/>
        </w:pBdr>
        <w:spacing w:after="200" w:line="276" w:lineRule="auto"/>
        <w:jc w:val="center"/>
        <w:rPr>
          <w:sz w:val="18"/>
          <w:bdr w:val="nil"/>
          <w:lang w:val="en-US"/>
        </w:rPr>
      </w:pPr>
      <w:r w:rsidRPr="00B12F1B">
        <w:rPr>
          <w:sz w:val="18"/>
          <w:lang w:val="en-US"/>
        </w:rPr>
        <w:t xml:space="preserve"> </w:t>
      </w:r>
      <w:r w:rsidR="00867B57" w:rsidRPr="00B12F1B">
        <w:rPr>
          <w:sz w:val="18"/>
          <w:lang w:val="en-US"/>
        </w:rPr>
        <w:t xml:space="preserve">(Name, Telephone, E-mail and/or Facsimile number and Address of Company Contact Person) </w:t>
      </w:r>
    </w:p>
    <w:p w14:paraId="71F3DCEC" w14:textId="77777777" w:rsidR="00B12F1B" w:rsidRDefault="003A4815" w:rsidP="00B12F1B">
      <w:pPr>
        <w:pBdr>
          <w:top w:val="nil"/>
          <w:left w:val="nil"/>
          <w:bottom w:val="nil"/>
          <w:right w:val="nil"/>
          <w:between w:val="nil"/>
          <w:bar w:val="nil"/>
        </w:pBdr>
        <w:rPr>
          <w:bdr w:val="nil"/>
          <w:lang w:val="en-US"/>
        </w:rPr>
      </w:pPr>
      <w:r w:rsidRPr="00B12F1B">
        <w:rPr>
          <w:sz w:val="20"/>
          <w:lang w:val="en-US"/>
        </w:rPr>
        <w:t xml:space="preserve">Securities registered or to be registered pursuant to Section 12(b) of the Act. </w:t>
      </w:r>
    </w:p>
    <w:tbl>
      <w:tblPr>
        <w:tblStyle w:val="TableGrid"/>
        <w:tblW w:w="10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7"/>
        <w:gridCol w:w="992"/>
        <w:gridCol w:w="2935"/>
      </w:tblGrid>
      <w:tr w:rsidR="00510CAA" w:rsidRPr="00043969" w14:paraId="71F3DCF0" w14:textId="77777777" w:rsidTr="00AB2A2F">
        <w:trPr>
          <w:cantSplit/>
        </w:trPr>
        <w:tc>
          <w:tcPr>
            <w:tcW w:w="6487" w:type="dxa"/>
            <w:tcBorders>
              <w:bottom w:val="single" w:sz="4" w:space="0" w:color="auto"/>
              <w:right w:val="single" w:sz="4" w:space="0" w:color="auto"/>
            </w:tcBorders>
            <w:vAlign w:val="bottom"/>
          </w:tcPr>
          <w:p w14:paraId="71F3DCED" w14:textId="77777777" w:rsidR="00B12F1B" w:rsidRPr="00B12F1B" w:rsidRDefault="003A4815" w:rsidP="00636E9D">
            <w:pPr>
              <w:keepNext/>
              <w:pBdr>
                <w:top w:val="nil"/>
                <w:left w:val="nil"/>
                <w:bottom w:val="nil"/>
                <w:right w:val="nil"/>
                <w:between w:val="nil"/>
                <w:bar w:val="nil"/>
              </w:pBdr>
              <w:rPr>
                <w:sz w:val="18"/>
                <w:bdr w:val="nil"/>
                <w:lang w:val="en-US"/>
              </w:rPr>
            </w:pPr>
            <w:r w:rsidRPr="00B12F1B">
              <w:rPr>
                <w:sz w:val="18"/>
                <w:lang w:val="en-US"/>
              </w:rPr>
              <w:lastRenderedPageBreak/>
              <w:t>Title of each class</w:t>
            </w:r>
          </w:p>
        </w:tc>
        <w:tc>
          <w:tcPr>
            <w:tcW w:w="992" w:type="dxa"/>
            <w:tcBorders>
              <w:left w:val="single" w:sz="4" w:space="0" w:color="auto"/>
              <w:bottom w:val="single" w:sz="4" w:space="0" w:color="auto"/>
              <w:right w:val="single" w:sz="4" w:space="0" w:color="auto"/>
            </w:tcBorders>
            <w:vAlign w:val="bottom"/>
          </w:tcPr>
          <w:p w14:paraId="71F3DCEE" w14:textId="77777777" w:rsidR="00B12F1B" w:rsidRPr="00B12F1B" w:rsidRDefault="003A4815" w:rsidP="00B12F1B">
            <w:pPr>
              <w:keepNext/>
              <w:pBdr>
                <w:top w:val="nil"/>
                <w:left w:val="nil"/>
                <w:bottom w:val="nil"/>
                <w:right w:val="nil"/>
                <w:between w:val="nil"/>
                <w:bar w:val="nil"/>
              </w:pBdr>
              <w:jc w:val="center"/>
              <w:rPr>
                <w:sz w:val="18"/>
                <w:bdr w:val="nil"/>
                <w:lang w:val="en-US"/>
              </w:rPr>
            </w:pPr>
            <w:r w:rsidRPr="00B12F1B">
              <w:rPr>
                <w:sz w:val="18"/>
                <w:lang w:val="en-US"/>
              </w:rPr>
              <w:t>Trading Symbol(s)</w:t>
            </w:r>
          </w:p>
        </w:tc>
        <w:tc>
          <w:tcPr>
            <w:tcW w:w="2935" w:type="dxa"/>
            <w:tcBorders>
              <w:left w:val="single" w:sz="4" w:space="0" w:color="auto"/>
              <w:bottom w:val="single" w:sz="4" w:space="0" w:color="auto"/>
            </w:tcBorders>
            <w:vAlign w:val="bottom"/>
          </w:tcPr>
          <w:p w14:paraId="71F3DCEF" w14:textId="77777777" w:rsidR="00B12F1B" w:rsidRPr="00B12F1B" w:rsidRDefault="003A4815" w:rsidP="00636E9D">
            <w:pPr>
              <w:keepNext/>
              <w:pBdr>
                <w:top w:val="nil"/>
                <w:left w:val="nil"/>
                <w:bottom w:val="nil"/>
                <w:right w:val="nil"/>
                <w:between w:val="nil"/>
                <w:bar w:val="nil"/>
              </w:pBdr>
              <w:rPr>
                <w:sz w:val="18"/>
                <w:bdr w:val="nil"/>
                <w:lang w:val="en-US"/>
              </w:rPr>
            </w:pPr>
            <w:r w:rsidRPr="00B12F1B">
              <w:rPr>
                <w:sz w:val="18"/>
                <w:lang w:val="en-US"/>
              </w:rPr>
              <w:t>Name of each exchange on which registered</w:t>
            </w:r>
          </w:p>
        </w:tc>
      </w:tr>
      <w:tr w:rsidR="00510CAA" w14:paraId="71F3DCF4" w14:textId="77777777" w:rsidTr="00AB2A2F">
        <w:trPr>
          <w:cantSplit/>
        </w:trPr>
        <w:tc>
          <w:tcPr>
            <w:tcW w:w="6487" w:type="dxa"/>
            <w:tcBorders>
              <w:top w:val="single" w:sz="4" w:space="0" w:color="auto"/>
              <w:right w:val="single" w:sz="4" w:space="0" w:color="auto"/>
            </w:tcBorders>
            <w:vAlign w:val="bottom"/>
          </w:tcPr>
          <w:p w14:paraId="71F3DCF1" w14:textId="77777777" w:rsidR="00B12F1B" w:rsidRPr="007D0C78" w:rsidRDefault="003A4815" w:rsidP="00B12F1B">
            <w:pPr>
              <w:keepNext/>
              <w:pBdr>
                <w:top w:val="nil"/>
                <w:left w:val="nil"/>
                <w:bottom w:val="nil"/>
                <w:right w:val="nil"/>
                <w:between w:val="nil"/>
                <w:bar w:val="nil"/>
              </w:pBdr>
              <w:rPr>
                <w:sz w:val="18"/>
                <w:bdr w:val="nil"/>
                <w:lang w:val="en-US"/>
              </w:rPr>
            </w:pPr>
            <w:bookmarkStart w:id="28" w:name="XBRL_CS_2a1bdbdb2fa746ae904ab52df6b1a469"/>
            <w:r w:rsidRPr="007D0C78">
              <w:rPr>
                <w:color w:val="000000"/>
                <w:sz w:val="18"/>
                <w:szCs w:val="20"/>
                <w:shd w:val="clear" w:color="auto" w:fill="FFFFFF"/>
                <w:lang w:val="en-US"/>
              </w:rPr>
              <w:t>Common Stock, $0.01 par value including the Preferred Stock Purchase Rights</w:t>
            </w:r>
            <w:bookmarkEnd w:id="28"/>
          </w:p>
        </w:tc>
        <w:tc>
          <w:tcPr>
            <w:tcW w:w="992" w:type="dxa"/>
            <w:tcBorders>
              <w:top w:val="single" w:sz="4" w:space="0" w:color="auto"/>
              <w:left w:val="single" w:sz="4" w:space="0" w:color="auto"/>
              <w:right w:val="single" w:sz="4" w:space="0" w:color="auto"/>
            </w:tcBorders>
            <w:vAlign w:val="bottom"/>
          </w:tcPr>
          <w:p w14:paraId="71F3DCF2" w14:textId="77777777" w:rsidR="00B12F1B" w:rsidRPr="007D0C78" w:rsidRDefault="003A4815" w:rsidP="007D0C78">
            <w:pPr>
              <w:keepNext/>
              <w:pBdr>
                <w:top w:val="nil"/>
                <w:left w:val="nil"/>
                <w:bottom w:val="nil"/>
                <w:right w:val="nil"/>
                <w:between w:val="nil"/>
                <w:bar w:val="nil"/>
              </w:pBdr>
              <w:jc w:val="center"/>
              <w:rPr>
                <w:sz w:val="18"/>
                <w:bdr w:val="nil"/>
                <w:lang w:val="en-US"/>
              </w:rPr>
            </w:pPr>
            <w:bookmarkStart w:id="29" w:name="XBRL_CS_8f348a0aaa184f15819dbf4a3227cf52"/>
            <w:r w:rsidRPr="007D0C78">
              <w:rPr>
                <w:color w:val="000000"/>
                <w:sz w:val="18"/>
                <w:szCs w:val="20"/>
                <w:shd w:val="clear" w:color="auto" w:fill="FFFFFF"/>
              </w:rPr>
              <w:t>DSX</w:t>
            </w:r>
            <w:bookmarkEnd w:id="29"/>
          </w:p>
        </w:tc>
        <w:tc>
          <w:tcPr>
            <w:tcW w:w="2935" w:type="dxa"/>
            <w:tcBorders>
              <w:top w:val="single" w:sz="4" w:space="0" w:color="auto"/>
              <w:left w:val="single" w:sz="4" w:space="0" w:color="auto"/>
            </w:tcBorders>
            <w:vAlign w:val="bottom"/>
          </w:tcPr>
          <w:p w14:paraId="71F3DCF3" w14:textId="77777777" w:rsidR="00B12F1B" w:rsidRPr="007D0C78" w:rsidRDefault="003A4815" w:rsidP="00B12F1B">
            <w:pPr>
              <w:keepNext/>
              <w:pBdr>
                <w:top w:val="nil"/>
                <w:left w:val="nil"/>
                <w:bottom w:val="nil"/>
                <w:right w:val="nil"/>
                <w:between w:val="nil"/>
                <w:bar w:val="nil"/>
              </w:pBdr>
              <w:rPr>
                <w:sz w:val="18"/>
                <w:bdr w:val="nil"/>
                <w:lang w:val="en-US"/>
              </w:rPr>
            </w:pPr>
            <w:bookmarkStart w:id="30" w:name="XBRL_CS_0df98c2444114a39ab30b284036f44d4"/>
            <w:r w:rsidRPr="007D0C78">
              <w:rPr>
                <w:color w:val="000000"/>
                <w:sz w:val="18"/>
                <w:szCs w:val="20"/>
                <w:shd w:val="clear" w:color="auto" w:fill="FFFFFF"/>
              </w:rPr>
              <w:t>New York Stock Exchange</w:t>
            </w:r>
            <w:bookmarkEnd w:id="30"/>
          </w:p>
        </w:tc>
      </w:tr>
      <w:tr w:rsidR="00510CAA" w14:paraId="71F3DCF8" w14:textId="77777777" w:rsidTr="00AB2A2F">
        <w:trPr>
          <w:cantSplit/>
        </w:trPr>
        <w:tc>
          <w:tcPr>
            <w:tcW w:w="6487" w:type="dxa"/>
            <w:tcBorders>
              <w:right w:val="single" w:sz="4" w:space="0" w:color="auto"/>
            </w:tcBorders>
            <w:vAlign w:val="bottom"/>
          </w:tcPr>
          <w:p w14:paraId="71F3DCF5" w14:textId="77777777" w:rsidR="00B12F1B" w:rsidRPr="007D0C78" w:rsidRDefault="003A4815" w:rsidP="00B12F1B">
            <w:pPr>
              <w:keepNext/>
              <w:pBdr>
                <w:top w:val="nil"/>
                <w:left w:val="nil"/>
                <w:bottom w:val="nil"/>
                <w:right w:val="nil"/>
                <w:between w:val="nil"/>
                <w:bar w:val="nil"/>
              </w:pBdr>
              <w:rPr>
                <w:sz w:val="18"/>
                <w:bdr w:val="nil"/>
                <w:lang w:val="en-US"/>
              </w:rPr>
            </w:pPr>
            <w:bookmarkStart w:id="31" w:name="XBRL_CS_624b5363275e461280f15120c67c1798"/>
            <w:r w:rsidRPr="007D0C78">
              <w:rPr>
                <w:color w:val="000000"/>
                <w:sz w:val="18"/>
                <w:szCs w:val="20"/>
                <w:shd w:val="clear" w:color="auto" w:fill="FFFFFF"/>
                <w:lang w:val="en-US"/>
              </w:rPr>
              <w:t>8.875% Series B Cumulative Redeemable Perpetual Preferred Shares, $0.01 par value</w:t>
            </w:r>
            <w:bookmarkEnd w:id="31"/>
          </w:p>
        </w:tc>
        <w:tc>
          <w:tcPr>
            <w:tcW w:w="992" w:type="dxa"/>
            <w:tcBorders>
              <w:left w:val="single" w:sz="4" w:space="0" w:color="auto"/>
              <w:right w:val="single" w:sz="4" w:space="0" w:color="auto"/>
            </w:tcBorders>
            <w:vAlign w:val="bottom"/>
          </w:tcPr>
          <w:p w14:paraId="71F3DCF6" w14:textId="77777777" w:rsidR="00B12F1B" w:rsidRPr="007D0C78" w:rsidRDefault="003A4815" w:rsidP="007D0C78">
            <w:pPr>
              <w:keepNext/>
              <w:pBdr>
                <w:top w:val="nil"/>
                <w:left w:val="nil"/>
                <w:bottom w:val="nil"/>
                <w:right w:val="nil"/>
                <w:between w:val="nil"/>
                <w:bar w:val="nil"/>
              </w:pBdr>
              <w:jc w:val="center"/>
              <w:rPr>
                <w:sz w:val="18"/>
                <w:bdr w:val="nil"/>
                <w:lang w:val="en-US"/>
              </w:rPr>
            </w:pPr>
            <w:bookmarkStart w:id="32" w:name="XBRL_CS_4d9dad1a0eee4844959e08f2a0910b7a"/>
            <w:r w:rsidRPr="007D0C78">
              <w:rPr>
                <w:color w:val="000000"/>
                <w:sz w:val="18"/>
                <w:szCs w:val="20"/>
                <w:shd w:val="clear" w:color="auto" w:fill="FFFFFF"/>
              </w:rPr>
              <w:t>DSXPRB</w:t>
            </w:r>
            <w:bookmarkEnd w:id="32"/>
          </w:p>
        </w:tc>
        <w:tc>
          <w:tcPr>
            <w:tcW w:w="2935" w:type="dxa"/>
            <w:tcBorders>
              <w:left w:val="single" w:sz="4" w:space="0" w:color="auto"/>
            </w:tcBorders>
            <w:vAlign w:val="bottom"/>
          </w:tcPr>
          <w:p w14:paraId="71F3DCF7" w14:textId="77777777" w:rsidR="00B12F1B" w:rsidRPr="007D0C78" w:rsidRDefault="003A4815" w:rsidP="00B12F1B">
            <w:pPr>
              <w:keepNext/>
              <w:pBdr>
                <w:top w:val="nil"/>
                <w:left w:val="nil"/>
                <w:bottom w:val="nil"/>
                <w:right w:val="nil"/>
                <w:between w:val="nil"/>
                <w:bar w:val="nil"/>
              </w:pBdr>
              <w:rPr>
                <w:sz w:val="18"/>
                <w:bdr w:val="nil"/>
                <w:lang w:val="en-US"/>
              </w:rPr>
            </w:pPr>
            <w:bookmarkStart w:id="33" w:name="XBRL_CS_8932b27ecb4549dab414be0a0c3876c3"/>
            <w:r w:rsidRPr="007D0C78">
              <w:rPr>
                <w:color w:val="000000"/>
                <w:sz w:val="18"/>
                <w:szCs w:val="20"/>
                <w:shd w:val="clear" w:color="auto" w:fill="FFFFFF"/>
              </w:rPr>
              <w:t>New York Stock Exchange</w:t>
            </w:r>
            <w:bookmarkEnd w:id="33"/>
          </w:p>
        </w:tc>
      </w:tr>
      <w:tr w:rsidR="00510CAA" w14:paraId="71F3DCFC" w14:textId="77777777" w:rsidTr="00AB2A2F">
        <w:trPr>
          <w:cantSplit/>
        </w:trPr>
        <w:tc>
          <w:tcPr>
            <w:tcW w:w="6487" w:type="dxa"/>
            <w:tcBorders>
              <w:top w:val="nil"/>
              <w:left w:val="nil"/>
              <w:bottom w:val="nil"/>
              <w:right w:val="single" w:sz="4" w:space="0" w:color="auto"/>
            </w:tcBorders>
            <w:vAlign w:val="bottom"/>
            <w:hideMark/>
          </w:tcPr>
          <w:p w14:paraId="71F3DCF9" w14:textId="77777777" w:rsidR="00AB2A2F" w:rsidRDefault="003A4815">
            <w:pPr>
              <w:keepNext/>
              <w:pBdr>
                <w:top w:val="nil"/>
                <w:left w:val="nil"/>
                <w:bottom w:val="nil"/>
                <w:right w:val="nil"/>
                <w:between w:val="nil"/>
                <w:bar w:val="nil"/>
              </w:pBdr>
              <w:rPr>
                <w:color w:val="000000"/>
                <w:sz w:val="18"/>
                <w:szCs w:val="20"/>
                <w:bdr w:val="nil"/>
                <w:shd w:val="clear" w:color="auto" w:fill="FFFFFF"/>
                <w:lang w:val="en-US"/>
              </w:rPr>
            </w:pPr>
            <w:bookmarkStart w:id="34" w:name="XBRL_CS_b8454fe4a89e445aace0fa8379682c40"/>
            <w:r>
              <w:rPr>
                <w:color w:val="000000"/>
                <w:sz w:val="18"/>
                <w:szCs w:val="20"/>
                <w:shd w:val="clear" w:color="auto" w:fill="FFFFFF"/>
                <w:lang w:val="en-US"/>
              </w:rPr>
              <w:t>Warrants to Purchase Common Stock, Expiring on or about December 14, 2026</w:t>
            </w:r>
            <w:bookmarkEnd w:id="34"/>
          </w:p>
        </w:tc>
        <w:tc>
          <w:tcPr>
            <w:tcW w:w="992" w:type="dxa"/>
            <w:tcBorders>
              <w:top w:val="nil"/>
              <w:left w:val="single" w:sz="4" w:space="0" w:color="auto"/>
              <w:bottom w:val="nil"/>
              <w:right w:val="single" w:sz="4" w:space="0" w:color="auto"/>
            </w:tcBorders>
            <w:vAlign w:val="bottom"/>
            <w:hideMark/>
          </w:tcPr>
          <w:p w14:paraId="71F3DCFA" w14:textId="77777777" w:rsidR="00AB2A2F" w:rsidRDefault="003A4815">
            <w:pPr>
              <w:keepNext/>
              <w:pBdr>
                <w:top w:val="nil"/>
                <w:left w:val="nil"/>
                <w:bottom w:val="nil"/>
                <w:right w:val="nil"/>
                <w:between w:val="nil"/>
                <w:bar w:val="nil"/>
              </w:pBdr>
              <w:jc w:val="center"/>
              <w:rPr>
                <w:color w:val="000000"/>
                <w:sz w:val="18"/>
                <w:szCs w:val="20"/>
                <w:bdr w:val="nil"/>
                <w:shd w:val="clear" w:color="auto" w:fill="FFFFFF"/>
                <w:lang w:val="en-US"/>
              </w:rPr>
            </w:pPr>
            <w:bookmarkStart w:id="35" w:name="XBRL_CS_a431b75801e24e54a6243ddef3244740"/>
            <w:r>
              <w:rPr>
                <w:color w:val="000000"/>
                <w:sz w:val="18"/>
                <w:szCs w:val="20"/>
                <w:shd w:val="clear" w:color="auto" w:fill="FFFFFF"/>
                <w:lang w:val="en-US"/>
              </w:rPr>
              <w:t>DSX WS</w:t>
            </w:r>
            <w:bookmarkEnd w:id="35"/>
          </w:p>
        </w:tc>
        <w:tc>
          <w:tcPr>
            <w:tcW w:w="2935" w:type="dxa"/>
            <w:tcBorders>
              <w:top w:val="nil"/>
              <w:left w:val="single" w:sz="4" w:space="0" w:color="auto"/>
              <w:bottom w:val="nil"/>
              <w:right w:val="nil"/>
            </w:tcBorders>
            <w:vAlign w:val="bottom"/>
            <w:hideMark/>
          </w:tcPr>
          <w:p w14:paraId="71F3DCFB" w14:textId="77777777" w:rsidR="00AB2A2F" w:rsidRDefault="003A4815">
            <w:pPr>
              <w:keepNext/>
              <w:pBdr>
                <w:top w:val="nil"/>
                <w:left w:val="nil"/>
                <w:bottom w:val="nil"/>
                <w:right w:val="nil"/>
                <w:between w:val="nil"/>
                <w:bar w:val="nil"/>
              </w:pBdr>
              <w:rPr>
                <w:color w:val="000000"/>
                <w:sz w:val="18"/>
                <w:szCs w:val="20"/>
                <w:bdr w:val="nil"/>
                <w:shd w:val="clear" w:color="auto" w:fill="FFFFFF"/>
                <w:lang w:val="en-US"/>
              </w:rPr>
            </w:pPr>
            <w:bookmarkStart w:id="36" w:name="XBRL_CS_2c9ea3949a6e4da8aa719bcb3963d467"/>
            <w:r>
              <w:rPr>
                <w:color w:val="000000"/>
                <w:sz w:val="18"/>
                <w:szCs w:val="20"/>
                <w:shd w:val="clear" w:color="auto" w:fill="FFFFFF"/>
                <w:lang w:val="en-US"/>
              </w:rPr>
              <w:t xml:space="preserve">New York Stock Exchange </w:t>
            </w:r>
            <w:bookmarkEnd w:id="36"/>
          </w:p>
        </w:tc>
      </w:tr>
      <w:tr w:rsidR="00510CAA" w14:paraId="71F3DD00" w14:textId="77777777" w:rsidTr="00AB2A2F">
        <w:trPr>
          <w:cantSplit/>
        </w:trPr>
        <w:tc>
          <w:tcPr>
            <w:tcW w:w="6487" w:type="dxa"/>
            <w:tcBorders>
              <w:right w:val="single" w:sz="4" w:space="0" w:color="auto"/>
            </w:tcBorders>
          </w:tcPr>
          <w:p w14:paraId="71F3DCFD" w14:textId="77777777" w:rsidR="00B12F1B" w:rsidRPr="00B12F1B" w:rsidRDefault="00B12F1B" w:rsidP="00B12F1B">
            <w:pPr>
              <w:keepNext/>
              <w:rPr>
                <w:sz w:val="18"/>
                <w:bdr w:val="nil"/>
                <w:lang w:val="en-US"/>
              </w:rPr>
            </w:pPr>
          </w:p>
        </w:tc>
        <w:tc>
          <w:tcPr>
            <w:tcW w:w="992" w:type="dxa"/>
            <w:tcBorders>
              <w:left w:val="single" w:sz="4" w:space="0" w:color="auto"/>
              <w:right w:val="single" w:sz="4" w:space="0" w:color="auto"/>
            </w:tcBorders>
          </w:tcPr>
          <w:p w14:paraId="71F3DCFE" w14:textId="77777777" w:rsidR="00B12F1B" w:rsidRPr="00B12F1B" w:rsidRDefault="00B12F1B" w:rsidP="00B12F1B">
            <w:pPr>
              <w:keepNext/>
              <w:rPr>
                <w:sz w:val="18"/>
                <w:bdr w:val="nil"/>
                <w:lang w:val="en-US"/>
              </w:rPr>
            </w:pPr>
          </w:p>
        </w:tc>
        <w:tc>
          <w:tcPr>
            <w:tcW w:w="2935" w:type="dxa"/>
            <w:tcBorders>
              <w:left w:val="single" w:sz="4" w:space="0" w:color="auto"/>
            </w:tcBorders>
          </w:tcPr>
          <w:p w14:paraId="71F3DCFF" w14:textId="77777777" w:rsidR="00B12F1B" w:rsidRPr="00B12F1B" w:rsidRDefault="00B12F1B" w:rsidP="00B12F1B">
            <w:pPr>
              <w:keepNext/>
              <w:rPr>
                <w:sz w:val="18"/>
                <w:bdr w:val="nil"/>
                <w:lang w:val="en-US"/>
              </w:rPr>
            </w:pPr>
          </w:p>
        </w:tc>
      </w:tr>
    </w:tbl>
    <w:p w14:paraId="71F3DD01" w14:textId="77777777" w:rsidR="00B12F1B" w:rsidRDefault="003A4815" w:rsidP="00D05842">
      <w:pPr>
        <w:pBdr>
          <w:top w:val="nil"/>
          <w:left w:val="nil"/>
          <w:bottom w:val="nil"/>
          <w:right w:val="nil"/>
          <w:between w:val="nil"/>
          <w:bar w:val="nil"/>
        </w:pBdr>
        <w:rPr>
          <w:sz w:val="18"/>
          <w:bdr w:val="nil"/>
          <w:lang w:val="en-US"/>
        </w:rPr>
      </w:pPr>
      <w:r w:rsidRPr="00724A69">
        <w:rPr>
          <w:sz w:val="18"/>
          <w:lang w:val="en-US"/>
        </w:rPr>
        <w:t xml:space="preserve">Securities registered or to be registered pursuant to Section 12(g) of the Act. </w:t>
      </w:r>
    </w:p>
    <w:p w14:paraId="71F3DD02" w14:textId="77777777" w:rsidR="00D05842" w:rsidRPr="00724A69" w:rsidRDefault="003A4815" w:rsidP="00D05842">
      <w:pPr>
        <w:pBdr>
          <w:top w:val="nil"/>
          <w:left w:val="nil"/>
          <w:bottom w:val="nil"/>
          <w:right w:val="nil"/>
          <w:between w:val="nil"/>
          <w:bar w:val="nil"/>
        </w:pBdr>
        <w:jc w:val="center"/>
        <w:rPr>
          <w:sz w:val="20"/>
          <w:bdr w:val="nil"/>
          <w:lang w:val="en-US"/>
        </w:rPr>
      </w:pPr>
      <w:r>
        <w:rPr>
          <w:sz w:val="18"/>
          <w:lang w:val="en-US"/>
        </w:rPr>
        <w:t>None</w:t>
      </w:r>
    </w:p>
    <w:p w14:paraId="71F3DD03" w14:textId="77777777" w:rsidR="00D05842" w:rsidRPr="007D0C78" w:rsidRDefault="003A4815" w:rsidP="00D05842">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D04" w14:textId="77777777" w:rsidR="00673395" w:rsidRPr="00673395" w:rsidRDefault="003A4815" w:rsidP="004157FB">
      <w:pPr>
        <w:pBdr>
          <w:top w:val="nil"/>
          <w:left w:val="nil"/>
          <w:bottom w:val="nil"/>
          <w:right w:val="nil"/>
          <w:between w:val="nil"/>
          <w:bar w:val="nil"/>
        </w:pBdr>
        <w:spacing w:after="200" w:line="276" w:lineRule="auto"/>
        <w:jc w:val="center"/>
        <w:rPr>
          <w:sz w:val="18"/>
          <w:bdr w:val="nil"/>
          <w:lang w:val="en-US"/>
        </w:rPr>
      </w:pPr>
      <w:r w:rsidRPr="00673395">
        <w:rPr>
          <w:sz w:val="18"/>
          <w:lang w:val="en-US"/>
        </w:rPr>
        <w:t xml:space="preserve"> (Title of Class)</w:t>
      </w:r>
    </w:p>
    <w:p w14:paraId="71F3DD05" w14:textId="77777777" w:rsidR="00673395" w:rsidRDefault="003A4815" w:rsidP="00D05842">
      <w:pPr>
        <w:pBdr>
          <w:top w:val="nil"/>
          <w:left w:val="nil"/>
          <w:bottom w:val="nil"/>
          <w:right w:val="nil"/>
          <w:between w:val="nil"/>
          <w:bar w:val="nil"/>
        </w:pBdr>
        <w:rPr>
          <w:sz w:val="18"/>
          <w:bdr w:val="nil"/>
          <w:lang w:val="en-US"/>
        </w:rPr>
      </w:pPr>
      <w:r w:rsidRPr="00673395">
        <w:rPr>
          <w:sz w:val="18"/>
          <w:lang w:val="en-US"/>
        </w:rPr>
        <w:t xml:space="preserve">Securities for which there is a reporting obligation pursuant to Section 15(d) of the Act. </w:t>
      </w:r>
    </w:p>
    <w:p w14:paraId="71F3DD06" w14:textId="77777777" w:rsidR="00D05842" w:rsidRPr="00724A69" w:rsidRDefault="003A4815" w:rsidP="00D05842">
      <w:pPr>
        <w:pBdr>
          <w:top w:val="nil"/>
          <w:left w:val="nil"/>
          <w:bottom w:val="nil"/>
          <w:right w:val="nil"/>
          <w:between w:val="nil"/>
          <w:bar w:val="nil"/>
        </w:pBdr>
        <w:jc w:val="center"/>
        <w:rPr>
          <w:sz w:val="20"/>
          <w:bdr w:val="nil"/>
          <w:lang w:val="en-US"/>
        </w:rPr>
      </w:pPr>
      <w:r>
        <w:rPr>
          <w:sz w:val="18"/>
          <w:lang w:val="en-US"/>
        </w:rPr>
        <w:t>None</w:t>
      </w:r>
    </w:p>
    <w:p w14:paraId="71F3DD07" w14:textId="77777777" w:rsidR="00D05842" w:rsidRPr="007D0C78" w:rsidRDefault="003A4815" w:rsidP="00D05842">
      <w:pPr>
        <w:pBdr>
          <w:top w:val="nil"/>
          <w:left w:val="nil"/>
          <w:bottom w:val="nil"/>
          <w:right w:val="nil"/>
          <w:between w:val="nil"/>
          <w:bar w:val="nil"/>
        </w:pBdr>
        <w:jc w:val="center"/>
        <w:rPr>
          <w:sz w:val="10"/>
          <w:bdr w:val="nil"/>
          <w:lang w:val="en-US"/>
        </w:rPr>
      </w:pPr>
      <w:r w:rsidRPr="007D0C78">
        <w:rPr>
          <w:sz w:val="10"/>
          <w:lang w:val="en-US"/>
        </w:rPr>
        <w:t>_____________________________________________________________________________________________</w:t>
      </w:r>
      <w:r>
        <w:rPr>
          <w:sz w:val="10"/>
          <w:lang w:val="en-US"/>
        </w:rPr>
        <w:t>_______________________________________________________________________________________________________________</w:t>
      </w:r>
      <w:r w:rsidRPr="007D0C78">
        <w:rPr>
          <w:sz w:val="10"/>
          <w:lang w:val="en-US"/>
        </w:rPr>
        <w:t xml:space="preserve">  </w:t>
      </w:r>
    </w:p>
    <w:p w14:paraId="71F3DD08" w14:textId="77777777" w:rsidR="00673395" w:rsidRPr="00673395" w:rsidRDefault="003A4815" w:rsidP="004157FB">
      <w:pPr>
        <w:pBdr>
          <w:top w:val="nil"/>
          <w:left w:val="nil"/>
          <w:bottom w:val="nil"/>
          <w:right w:val="nil"/>
          <w:between w:val="nil"/>
          <w:bar w:val="nil"/>
        </w:pBdr>
        <w:spacing w:after="200" w:line="276" w:lineRule="auto"/>
        <w:jc w:val="center"/>
        <w:rPr>
          <w:sz w:val="18"/>
          <w:bdr w:val="nil"/>
          <w:lang w:val="en-US"/>
        </w:rPr>
      </w:pPr>
      <w:r w:rsidRPr="00673395">
        <w:rPr>
          <w:sz w:val="18"/>
          <w:lang w:val="en-US"/>
        </w:rPr>
        <w:t xml:space="preserve"> (Title of Class)</w:t>
      </w:r>
    </w:p>
    <w:p w14:paraId="71F3DD09" w14:textId="77777777" w:rsidR="00C21D1E" w:rsidRDefault="003A4815" w:rsidP="004157FB">
      <w:pPr>
        <w:pBdr>
          <w:top w:val="nil"/>
          <w:left w:val="nil"/>
          <w:bottom w:val="nil"/>
          <w:right w:val="nil"/>
          <w:between w:val="nil"/>
          <w:bar w:val="nil"/>
        </w:pBdr>
        <w:spacing w:after="200" w:line="276" w:lineRule="auto"/>
        <w:rPr>
          <w:sz w:val="18"/>
          <w:bdr w:val="nil"/>
          <w:lang w:val="en-US"/>
        </w:rPr>
      </w:pPr>
      <w:r w:rsidRPr="00673395">
        <w:rPr>
          <w:sz w:val="18"/>
          <w:lang w:val="en-US"/>
        </w:rPr>
        <w:t xml:space="preserve">Indicate the number of outstanding shares of each of the issuer’s classes of capital or common stock as of the close of the period covered by the annual report. </w:t>
      </w:r>
    </w:p>
    <w:p w14:paraId="71F3DD0A" w14:textId="77777777" w:rsidR="00636E9D" w:rsidRPr="00636E9D" w:rsidRDefault="003A4815" w:rsidP="004157FB">
      <w:pPr>
        <w:pBdr>
          <w:top w:val="nil"/>
          <w:left w:val="nil"/>
          <w:bottom w:val="nil"/>
          <w:right w:val="nil"/>
          <w:between w:val="nil"/>
          <w:bar w:val="nil"/>
        </w:pBdr>
        <w:spacing w:after="200" w:line="276" w:lineRule="auto"/>
        <w:jc w:val="center"/>
        <w:rPr>
          <w:sz w:val="18"/>
          <w:bdr w:val="nil"/>
          <w:lang w:val="en-US"/>
        </w:rPr>
      </w:pPr>
      <w:r w:rsidRPr="00636E9D">
        <w:rPr>
          <w:color w:val="000000"/>
          <w:sz w:val="20"/>
          <w:szCs w:val="20"/>
          <w:u w:val="single"/>
          <w:shd w:val="clear" w:color="auto" w:fill="FFFFFF"/>
          <w:lang w:val="en-US"/>
        </w:rPr>
        <w:t xml:space="preserve">As of December 31, </w:t>
      </w:r>
      <w:r>
        <w:rPr>
          <w:color w:val="000000"/>
          <w:sz w:val="20"/>
          <w:szCs w:val="20"/>
          <w:u w:val="single"/>
          <w:shd w:val="clear" w:color="auto" w:fill="FFFFFF"/>
          <w:lang w:val="en-US"/>
        </w:rPr>
        <w:t>2025</w:t>
      </w:r>
      <w:r w:rsidRPr="00636E9D">
        <w:rPr>
          <w:color w:val="000000"/>
          <w:sz w:val="20"/>
          <w:szCs w:val="20"/>
          <w:u w:val="single"/>
          <w:shd w:val="clear" w:color="auto" w:fill="FFFFFF"/>
          <w:lang w:val="en-US"/>
        </w:rPr>
        <w:t xml:space="preserve">, there were </w:t>
      </w:r>
      <w:bookmarkStart w:id="37" w:name="XBRL_CS_a96f317acb43452692f0881c291cd6d9"/>
      <w:r>
        <w:rPr>
          <w:color w:val="000000"/>
          <w:sz w:val="20"/>
          <w:szCs w:val="20"/>
          <w:u w:val="single"/>
          <w:shd w:val="clear" w:color="auto" w:fill="FFFFFF"/>
          <w:lang w:val="en-US"/>
        </w:rPr>
        <w:t>115,787,434</w:t>
      </w:r>
      <w:bookmarkEnd w:id="37"/>
      <w:r>
        <w:rPr>
          <w:color w:val="000000"/>
          <w:sz w:val="20"/>
          <w:szCs w:val="20"/>
          <w:u w:val="single"/>
          <w:shd w:val="clear" w:color="auto" w:fill="FFFFFF"/>
          <w:lang w:val="en-US"/>
        </w:rPr>
        <w:t xml:space="preserve"> </w:t>
      </w:r>
      <w:r w:rsidRPr="00636E9D">
        <w:rPr>
          <w:color w:val="000000"/>
          <w:sz w:val="20"/>
          <w:szCs w:val="20"/>
          <w:u w:val="single"/>
          <w:shd w:val="clear" w:color="auto" w:fill="FFFFFF"/>
          <w:lang w:val="en-US"/>
        </w:rPr>
        <w:t>shares of the registrant’s common stock outstanding</w:t>
      </w:r>
    </w:p>
    <w:p w14:paraId="71F3DD0B"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Indicate by check mark if the registrant is a well-known seasoned issuer, as defined in Rule 405 of the Securities Act.</w:t>
      </w:r>
    </w:p>
    <w:p w14:paraId="71F3DD0C" w14:textId="77777777" w:rsidR="00C21D1E" w:rsidRDefault="003A4815" w:rsidP="00C21D1E">
      <w:pPr>
        <w:pBdr>
          <w:top w:val="nil"/>
          <w:left w:val="nil"/>
          <w:bottom w:val="nil"/>
          <w:right w:val="nil"/>
          <w:between w:val="nil"/>
          <w:bar w:val="nil"/>
        </w:pBdr>
        <w:jc w:val="right"/>
        <w:rPr>
          <w:sz w:val="18"/>
          <w:bdr w:val="nil"/>
          <w:lang w:val="en-US"/>
        </w:rPr>
      </w:pPr>
      <w:r w:rsidRPr="00673395">
        <w:rPr>
          <w:sz w:val="18"/>
          <w:lang w:val="en-US"/>
        </w:rPr>
        <w:t xml:space="preserve"> </w:t>
      </w:r>
      <w:r w:rsidRPr="006602E8">
        <w:rPr>
          <w:rFonts w:ascii="Segoe UI Symbol" w:hAnsi="Segoe UI Symbol" w:cs="Segoe UI Symbol"/>
          <w:lang w:val="en-US"/>
        </w:rPr>
        <w:t>☐</w:t>
      </w:r>
      <w:r w:rsidRPr="00673395">
        <w:rPr>
          <w:sz w:val="18"/>
          <w:lang w:val="en-US"/>
        </w:rPr>
        <w:t xml:space="preserve"> Yes</w:t>
      </w:r>
      <w:r>
        <w:rPr>
          <w:sz w:val="18"/>
          <w:lang w:val="en-US"/>
        </w:rPr>
        <w:t xml:space="preserve"> </w:t>
      </w:r>
      <w:r w:rsidR="00A16F79" w:rsidRPr="00A16F79">
        <w:rPr>
          <w:rFonts w:ascii="Segoe UI Symbol" w:hAnsi="Segoe UI Symbol" w:cs="Segoe UI Symbol"/>
          <w:b/>
          <w:sz w:val="20"/>
          <w:lang w:val="en-US"/>
        </w:rPr>
        <w:t>☑</w:t>
      </w:r>
      <w:r>
        <w:rPr>
          <w:rFonts w:ascii="Arial" w:hAnsi="Arial" w:cs="Arial"/>
          <w:b/>
          <w:lang w:val="en-US"/>
        </w:rPr>
        <w:t xml:space="preserve"> </w:t>
      </w:r>
      <w:bookmarkStart w:id="38" w:name="XBRL_CS_46fa88910c0f4997af344ba7d4ffdb94"/>
      <w:r w:rsidRPr="00673395">
        <w:rPr>
          <w:sz w:val="18"/>
          <w:lang w:val="en-US"/>
        </w:rPr>
        <w:t>No</w:t>
      </w:r>
      <w:bookmarkEnd w:id="38"/>
    </w:p>
    <w:p w14:paraId="71F3DD0D" w14:textId="77777777" w:rsidR="00C21D1E" w:rsidRDefault="00C21D1E" w:rsidP="00C21D1E">
      <w:pPr>
        <w:pBdr>
          <w:top w:val="nil"/>
          <w:left w:val="nil"/>
          <w:bottom w:val="nil"/>
          <w:right w:val="nil"/>
          <w:between w:val="nil"/>
          <w:bar w:val="nil"/>
        </w:pBdr>
        <w:rPr>
          <w:sz w:val="18"/>
          <w:bdr w:val="nil"/>
          <w:lang w:val="en-US"/>
        </w:rPr>
      </w:pPr>
    </w:p>
    <w:p w14:paraId="71F3DD0E"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If this report is an annual or transition report, indicate by check mark if the registrant is not required to file reports pursuant to Section 13 or 15(d) of the Securities Exchange Act of 1934.</w:t>
      </w:r>
    </w:p>
    <w:p w14:paraId="71F3DD0F" w14:textId="77777777" w:rsidR="00C21D1E" w:rsidRDefault="003A4815" w:rsidP="00C21D1E">
      <w:pPr>
        <w:pBdr>
          <w:top w:val="nil"/>
          <w:left w:val="nil"/>
          <w:bottom w:val="nil"/>
          <w:right w:val="nil"/>
          <w:between w:val="nil"/>
          <w:bar w:val="nil"/>
        </w:pBdr>
        <w:jc w:val="right"/>
        <w:rPr>
          <w:sz w:val="18"/>
          <w:bdr w:val="nil"/>
          <w:lang w:val="en-US"/>
        </w:rPr>
      </w:pPr>
      <w:r w:rsidRPr="00673395">
        <w:rPr>
          <w:sz w:val="18"/>
          <w:lang w:val="en-US"/>
        </w:rPr>
        <w:t xml:space="preserve"> </w:t>
      </w:r>
      <w:r w:rsidRPr="006602E8">
        <w:rPr>
          <w:rFonts w:ascii="Segoe UI Symbol" w:hAnsi="Segoe UI Symbol" w:cs="Segoe UI Symbol"/>
          <w:lang w:val="en-US"/>
        </w:rPr>
        <w:t>☐</w:t>
      </w:r>
      <w:r w:rsidRPr="00673395">
        <w:rPr>
          <w:sz w:val="18"/>
          <w:lang w:val="en-US"/>
        </w:rPr>
        <w:t xml:space="preserve"> Yes </w:t>
      </w:r>
      <w:r w:rsidR="00A16F79">
        <w:rPr>
          <w:rFonts w:ascii="Segoe UI Symbol" w:hAnsi="Segoe UI Symbol" w:cs="Segoe UI Symbol"/>
          <w:b/>
          <w:lang w:val="en-US"/>
        </w:rPr>
        <w:t>☑</w:t>
      </w:r>
      <w:r>
        <w:rPr>
          <w:rFonts w:ascii="Arial" w:hAnsi="Arial" w:cs="Arial"/>
          <w:b/>
          <w:lang w:val="en-US"/>
        </w:rPr>
        <w:t xml:space="preserve"> </w:t>
      </w:r>
      <w:bookmarkStart w:id="39" w:name="XBRL_CS_f06ccd03796144ca8e2829f09863f941"/>
      <w:r w:rsidRPr="00673395">
        <w:rPr>
          <w:sz w:val="18"/>
          <w:lang w:val="en-US"/>
        </w:rPr>
        <w:t>No</w:t>
      </w:r>
      <w:bookmarkEnd w:id="39"/>
      <w:r w:rsidRPr="00673395">
        <w:rPr>
          <w:sz w:val="18"/>
          <w:lang w:val="en-US"/>
        </w:rPr>
        <w:t xml:space="preserve"> </w:t>
      </w:r>
    </w:p>
    <w:p w14:paraId="71F3DD10"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Note – Checking the box above will not relieve any registrant required to file reports pursuant to Section 13 or 15(d) of the Securities Exchange Act of 1934 from their obligations under those Sections.</w:t>
      </w:r>
    </w:p>
    <w:p w14:paraId="71F3DD11" w14:textId="77777777" w:rsidR="00C21D1E" w:rsidRDefault="00C21D1E" w:rsidP="00C21D1E">
      <w:pPr>
        <w:pBdr>
          <w:top w:val="nil"/>
          <w:left w:val="nil"/>
          <w:bottom w:val="nil"/>
          <w:right w:val="nil"/>
          <w:between w:val="nil"/>
          <w:bar w:val="nil"/>
        </w:pBdr>
        <w:rPr>
          <w:sz w:val="18"/>
          <w:bdr w:val="nil"/>
          <w:lang w:val="en-US"/>
        </w:rPr>
      </w:pPr>
    </w:p>
    <w:p w14:paraId="71F3DD12"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 xml:space="preserve">Indicate by check mark whether the registrant (1) has filed all reports required to be filed by Section 13 or 15(d) of the Securities Exchange Act of 1934 during the preceding 12 months (or for such shorter period that the registrant was required to file such reports), and (2) has been subject to such filing requirements for the past 90 days. </w:t>
      </w:r>
    </w:p>
    <w:p w14:paraId="71F3DD13" w14:textId="77777777" w:rsidR="00C21D1E" w:rsidRDefault="003A4815" w:rsidP="00C21D1E">
      <w:pPr>
        <w:pBdr>
          <w:top w:val="nil"/>
          <w:left w:val="nil"/>
          <w:bottom w:val="nil"/>
          <w:right w:val="nil"/>
          <w:between w:val="nil"/>
          <w:bar w:val="nil"/>
        </w:pBdr>
        <w:jc w:val="right"/>
        <w:rPr>
          <w:sz w:val="18"/>
          <w:bdr w:val="nil"/>
          <w:lang w:val="en-US"/>
        </w:rPr>
      </w:pPr>
      <w:r>
        <w:rPr>
          <w:rFonts w:ascii="Segoe UI Symbol" w:hAnsi="Segoe UI Symbol" w:cs="Segoe UI Symbol"/>
          <w:b/>
          <w:lang w:val="en-US"/>
        </w:rPr>
        <w:t>☑</w:t>
      </w:r>
      <w:r>
        <w:rPr>
          <w:rFonts w:ascii="Arial" w:hAnsi="Arial" w:cs="Arial"/>
          <w:b/>
          <w:lang w:val="en-US"/>
        </w:rPr>
        <w:t xml:space="preserve"> </w:t>
      </w:r>
      <w:bookmarkStart w:id="40" w:name="XBRL_CS_530fd731e9f34e58963e8fb807dc5448"/>
      <w:r w:rsidRPr="00673395">
        <w:rPr>
          <w:sz w:val="18"/>
          <w:lang w:val="en-US"/>
        </w:rPr>
        <w:t>Yes</w:t>
      </w:r>
      <w:bookmarkEnd w:id="40"/>
      <w:r w:rsidRPr="00673395">
        <w:rPr>
          <w:sz w:val="18"/>
          <w:lang w:val="en-US"/>
        </w:rPr>
        <w:t xml:space="preserve"> </w:t>
      </w:r>
      <w:r w:rsidRPr="006602E8">
        <w:rPr>
          <w:rFonts w:ascii="Segoe UI Symbol" w:hAnsi="Segoe UI Symbol" w:cs="Segoe UI Symbol"/>
          <w:lang w:val="en-US"/>
        </w:rPr>
        <w:t>☐</w:t>
      </w:r>
      <w:r w:rsidRPr="00673395">
        <w:rPr>
          <w:sz w:val="18"/>
          <w:lang w:val="en-US"/>
        </w:rPr>
        <w:t xml:space="preserve"> No </w:t>
      </w:r>
    </w:p>
    <w:p w14:paraId="71F3DD14"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Indicate by check mark whether the registrant has submitted electronically every Interactive Data File required to be submitted pursuant to Rule 405 of Regulation S-T (§232.405 of this chapter) during the preceding 12 months (or for such shorter period that the registrant was required to submit such files).</w:t>
      </w:r>
    </w:p>
    <w:p w14:paraId="71F3DD15" w14:textId="77777777" w:rsidR="00C21D1E" w:rsidRDefault="003A4815" w:rsidP="00C21D1E">
      <w:pPr>
        <w:pBdr>
          <w:top w:val="nil"/>
          <w:left w:val="nil"/>
          <w:bottom w:val="nil"/>
          <w:right w:val="nil"/>
          <w:between w:val="nil"/>
          <w:bar w:val="nil"/>
        </w:pBdr>
        <w:jc w:val="right"/>
        <w:rPr>
          <w:sz w:val="18"/>
          <w:bdr w:val="nil"/>
          <w:lang w:val="en-US"/>
        </w:rPr>
      </w:pPr>
      <w:r w:rsidRPr="00673395">
        <w:rPr>
          <w:sz w:val="18"/>
          <w:lang w:val="en-US"/>
        </w:rPr>
        <w:t xml:space="preserve"> </w:t>
      </w:r>
      <w:r>
        <w:rPr>
          <w:rFonts w:ascii="Segoe UI Symbol" w:hAnsi="Segoe UI Symbol" w:cs="Segoe UI Symbol"/>
          <w:b/>
          <w:lang w:val="en-US"/>
        </w:rPr>
        <w:t>☑</w:t>
      </w:r>
      <w:r>
        <w:rPr>
          <w:rFonts w:ascii="Arial" w:hAnsi="Arial" w:cs="Arial"/>
          <w:b/>
          <w:lang w:val="en-US"/>
        </w:rPr>
        <w:t xml:space="preserve"> </w:t>
      </w:r>
      <w:bookmarkStart w:id="41" w:name="XBRL_CS_99a004ad39ee40fea74905c7f129e545"/>
      <w:r w:rsidRPr="00673395">
        <w:rPr>
          <w:sz w:val="18"/>
          <w:lang w:val="en-US"/>
        </w:rPr>
        <w:t>Yes</w:t>
      </w:r>
      <w:bookmarkEnd w:id="41"/>
      <w:r w:rsidRPr="00673395">
        <w:rPr>
          <w:sz w:val="18"/>
          <w:lang w:val="en-US"/>
        </w:rPr>
        <w:t xml:space="preserve"> </w:t>
      </w:r>
      <w:r w:rsidRPr="006602E8">
        <w:rPr>
          <w:rFonts w:ascii="Segoe UI Symbol" w:hAnsi="Segoe UI Symbol" w:cs="Segoe UI Symbol"/>
          <w:lang w:val="en-US"/>
        </w:rPr>
        <w:t>☐</w:t>
      </w:r>
      <w:r w:rsidRPr="00673395">
        <w:rPr>
          <w:sz w:val="18"/>
          <w:lang w:val="en-US"/>
        </w:rPr>
        <w:t xml:space="preserve"> No</w:t>
      </w:r>
    </w:p>
    <w:p w14:paraId="71F3DD16" w14:textId="77777777" w:rsidR="00C21D1E" w:rsidRDefault="003A4815" w:rsidP="00C21D1E">
      <w:pPr>
        <w:pBdr>
          <w:top w:val="nil"/>
          <w:left w:val="nil"/>
          <w:bottom w:val="nil"/>
          <w:right w:val="nil"/>
          <w:between w:val="nil"/>
          <w:bar w:val="nil"/>
        </w:pBdr>
        <w:rPr>
          <w:sz w:val="18"/>
          <w:bdr w:val="nil"/>
          <w:lang w:val="en-US"/>
        </w:rPr>
      </w:pPr>
      <w:r w:rsidRPr="00673395">
        <w:rPr>
          <w:sz w:val="18"/>
          <w:lang w:val="en-US"/>
        </w:rPr>
        <w:t>Indicate by check mark whether the registrant is a large accelerated filer, an accelera</w:t>
      </w:r>
      <w:r>
        <w:rPr>
          <w:sz w:val="18"/>
          <w:lang w:val="en-US"/>
        </w:rPr>
        <w:t>ted filer, a non-accelerated fi</w:t>
      </w:r>
      <w:r w:rsidRPr="00673395">
        <w:rPr>
          <w:sz w:val="18"/>
          <w:lang w:val="en-US"/>
        </w:rPr>
        <w:t>ler, or an emerging growth company. See definition of “large accelerated filer</w:t>
      </w:r>
      <w:r>
        <w:rPr>
          <w:sz w:val="18"/>
          <w:lang w:val="en-US"/>
        </w:rPr>
        <w:t>”</w:t>
      </w:r>
      <w:r w:rsidRPr="00673395">
        <w:rPr>
          <w:sz w:val="18"/>
          <w:lang w:val="en-US"/>
        </w:rPr>
        <w:t>,</w:t>
      </w:r>
      <w:r>
        <w:rPr>
          <w:sz w:val="18"/>
          <w:lang w:val="en-US"/>
        </w:rPr>
        <w:t xml:space="preserve"> “</w:t>
      </w:r>
      <w:r w:rsidRPr="00673395">
        <w:rPr>
          <w:sz w:val="18"/>
          <w:lang w:val="en-US"/>
        </w:rPr>
        <w:t xml:space="preserve">accelerated filer” and "emerging growth company" in Rule 12b-2 of the Exchange Act. </w:t>
      </w:r>
    </w:p>
    <w:p w14:paraId="71F3DD17" w14:textId="77777777" w:rsidR="00C21D1E" w:rsidRDefault="00C21D1E" w:rsidP="00C21D1E">
      <w:pPr>
        <w:pBdr>
          <w:top w:val="nil"/>
          <w:left w:val="nil"/>
          <w:bottom w:val="nil"/>
          <w:right w:val="nil"/>
          <w:between w:val="nil"/>
          <w:bar w:val="nil"/>
        </w:pBdr>
        <w:rPr>
          <w:sz w:val="18"/>
          <w:bdr w:val="nil"/>
          <w:lang w:val="en-US"/>
        </w:rPr>
      </w:pPr>
    </w:p>
    <w:p w14:paraId="71F3DD18" w14:textId="77777777" w:rsidR="00C21D1E" w:rsidRDefault="003A4815" w:rsidP="00C21D1E">
      <w:pPr>
        <w:pBdr>
          <w:top w:val="nil"/>
          <w:left w:val="nil"/>
          <w:bottom w:val="nil"/>
          <w:right w:val="nil"/>
          <w:between w:val="nil"/>
          <w:bar w:val="nil"/>
        </w:pBdr>
        <w:tabs>
          <w:tab w:val="left" w:pos="3261"/>
          <w:tab w:val="right" w:pos="9923"/>
        </w:tabs>
        <w:rPr>
          <w:sz w:val="18"/>
          <w:bdr w:val="nil"/>
          <w:lang w:val="en-US"/>
        </w:rPr>
      </w:pPr>
      <w:r w:rsidRPr="00673395">
        <w:rPr>
          <w:sz w:val="18"/>
          <w:lang w:val="en-US"/>
        </w:rPr>
        <w:t xml:space="preserve">Large accelerated filer </w:t>
      </w:r>
      <w:r w:rsidRPr="006602E8">
        <w:rPr>
          <w:rFonts w:ascii="Segoe UI Symbol" w:hAnsi="Segoe UI Symbol" w:cs="Segoe UI Symbol"/>
          <w:lang w:val="en-US"/>
        </w:rPr>
        <w:t>☐</w:t>
      </w:r>
      <w:r>
        <w:rPr>
          <w:sz w:val="18"/>
          <w:lang w:val="en-US"/>
        </w:rPr>
        <w:tab/>
      </w:r>
      <w:bookmarkStart w:id="42" w:name="XBRL_CS_edb43dbf30314eefa0175f1d040aed46"/>
      <w:r w:rsidRPr="00673395">
        <w:rPr>
          <w:sz w:val="18"/>
          <w:lang w:val="en-US"/>
        </w:rPr>
        <w:t>Accelerated filer</w:t>
      </w:r>
      <w:bookmarkEnd w:id="42"/>
      <w:r w:rsidRPr="00673395">
        <w:rPr>
          <w:sz w:val="18"/>
          <w:lang w:val="en-US"/>
        </w:rPr>
        <w:t xml:space="preserve"> </w:t>
      </w:r>
      <w:r>
        <w:rPr>
          <w:rFonts w:ascii="Segoe UI Symbol" w:hAnsi="Segoe UI Symbol" w:cs="Segoe UI Symbol"/>
          <w:b/>
          <w:lang w:val="en-US"/>
        </w:rPr>
        <w:t>☑</w:t>
      </w:r>
      <w:r>
        <w:rPr>
          <w:sz w:val="18"/>
          <w:lang w:val="en-US"/>
        </w:rPr>
        <w:tab/>
      </w:r>
      <w:r w:rsidRPr="00673395">
        <w:rPr>
          <w:sz w:val="18"/>
          <w:lang w:val="en-US"/>
        </w:rPr>
        <w:t xml:space="preserve">Non-accelerated filer </w:t>
      </w:r>
      <w:r w:rsidRPr="006602E8">
        <w:rPr>
          <w:rFonts w:ascii="Segoe UI Symbol" w:hAnsi="Segoe UI Symbol" w:cs="Segoe UI Symbol"/>
          <w:lang w:val="en-US"/>
        </w:rPr>
        <w:t>☐</w:t>
      </w:r>
      <w:r w:rsidRPr="00673395">
        <w:rPr>
          <w:sz w:val="18"/>
          <w:lang w:val="en-US"/>
        </w:rPr>
        <w:t xml:space="preserve"> </w:t>
      </w:r>
    </w:p>
    <w:p w14:paraId="71F3DD19" w14:textId="77777777" w:rsidR="00C21D1E" w:rsidRDefault="003A4815" w:rsidP="00C21D1E">
      <w:pPr>
        <w:pBdr>
          <w:top w:val="nil"/>
          <w:left w:val="nil"/>
          <w:bottom w:val="nil"/>
          <w:right w:val="nil"/>
          <w:between w:val="nil"/>
          <w:bar w:val="nil"/>
        </w:pBdr>
        <w:tabs>
          <w:tab w:val="left" w:pos="3261"/>
          <w:tab w:val="right" w:pos="9923"/>
        </w:tabs>
        <w:rPr>
          <w:sz w:val="18"/>
          <w:bdr w:val="nil"/>
          <w:lang w:val="en-US"/>
        </w:rPr>
      </w:pPr>
      <w:r>
        <w:rPr>
          <w:sz w:val="18"/>
          <w:lang w:val="en-US"/>
        </w:rPr>
        <w:tab/>
      </w:r>
      <w:r>
        <w:rPr>
          <w:sz w:val="18"/>
          <w:lang w:val="en-US"/>
        </w:rPr>
        <w:tab/>
      </w:r>
      <w:r w:rsidR="00F714AC" w:rsidRPr="00673395">
        <w:rPr>
          <w:sz w:val="18"/>
          <w:lang w:val="en-US"/>
        </w:rPr>
        <w:t xml:space="preserve">Emerging growth company </w:t>
      </w:r>
      <w:bookmarkStart w:id="43" w:name="XBRL_CS_8b591f107307473f972d804fa2f670e6"/>
      <w:r w:rsidRPr="006602E8">
        <w:rPr>
          <w:rFonts w:ascii="Segoe UI Symbol" w:hAnsi="Segoe UI Symbol" w:cs="Segoe UI Symbol"/>
          <w:lang w:val="en-US"/>
        </w:rPr>
        <w:t>☐</w:t>
      </w:r>
      <w:bookmarkEnd w:id="43"/>
      <w:r w:rsidR="00F714AC" w:rsidRPr="00673395">
        <w:rPr>
          <w:sz w:val="18"/>
          <w:lang w:val="en-US"/>
        </w:rPr>
        <w:t xml:space="preserve"> </w:t>
      </w:r>
    </w:p>
    <w:p w14:paraId="71F3DD1A" w14:textId="77777777" w:rsidR="00C21D1E" w:rsidRDefault="00C21D1E" w:rsidP="00C21D1E">
      <w:pPr>
        <w:pBdr>
          <w:top w:val="nil"/>
          <w:left w:val="nil"/>
          <w:bottom w:val="nil"/>
          <w:right w:val="nil"/>
          <w:between w:val="nil"/>
          <w:bar w:val="nil"/>
        </w:pBdr>
        <w:ind w:firstLine="720"/>
        <w:rPr>
          <w:sz w:val="18"/>
          <w:bdr w:val="nil"/>
          <w:lang w:val="en-US"/>
        </w:rPr>
      </w:pPr>
    </w:p>
    <w:p w14:paraId="71F3DD1B" w14:textId="77777777" w:rsidR="00C21D1E" w:rsidRDefault="003A4815" w:rsidP="00C21D1E">
      <w:pPr>
        <w:pBdr>
          <w:top w:val="nil"/>
          <w:left w:val="nil"/>
          <w:bottom w:val="nil"/>
          <w:right w:val="nil"/>
          <w:between w:val="nil"/>
          <w:bar w:val="nil"/>
        </w:pBdr>
        <w:ind w:firstLine="720"/>
        <w:rPr>
          <w:sz w:val="18"/>
          <w:bdr w:val="nil"/>
          <w:lang w:val="en-US"/>
        </w:rPr>
      </w:pPr>
      <w:r w:rsidRPr="00673395">
        <w:rPr>
          <w:sz w:val="18"/>
          <w:lang w:val="en-US"/>
        </w:rPr>
        <w:t xml:space="preserve">If an emerging growth company that prepares its financial statements in accordance with U.S. GAAP, indicate by check mark if the registrant has elected not to use the extended transition period for complying with any new or revised financial accounting standards† provided pursuant to Section 13(a) of the Exchange Act. □ </w:t>
      </w:r>
    </w:p>
    <w:p w14:paraId="71F3DD1C" w14:textId="77777777" w:rsidR="00C21D1E" w:rsidRDefault="00C21D1E" w:rsidP="00C21D1E">
      <w:pPr>
        <w:pBdr>
          <w:top w:val="nil"/>
          <w:left w:val="nil"/>
          <w:bottom w:val="nil"/>
          <w:right w:val="nil"/>
          <w:between w:val="nil"/>
          <w:bar w:val="nil"/>
        </w:pBdr>
        <w:ind w:firstLine="720"/>
        <w:rPr>
          <w:sz w:val="18"/>
          <w:bdr w:val="nil"/>
          <w:lang w:val="en-US"/>
        </w:rPr>
      </w:pPr>
    </w:p>
    <w:p w14:paraId="71F3DD1D" w14:textId="77777777" w:rsidR="00C21D1E" w:rsidRDefault="003A4815" w:rsidP="00C21D1E">
      <w:pPr>
        <w:pBdr>
          <w:top w:val="nil"/>
          <w:left w:val="nil"/>
          <w:bottom w:val="nil"/>
          <w:right w:val="nil"/>
          <w:between w:val="nil"/>
          <w:bar w:val="nil"/>
        </w:pBdr>
        <w:ind w:firstLine="720"/>
        <w:rPr>
          <w:sz w:val="18"/>
          <w:bdr w:val="nil"/>
          <w:lang w:val="en-US"/>
        </w:rPr>
      </w:pPr>
      <w:r w:rsidRPr="00673395">
        <w:rPr>
          <w:sz w:val="18"/>
          <w:lang w:val="en-US"/>
        </w:rPr>
        <w:t xml:space="preserve">† The term “new or revised financial accounting standard” refers to any update issued by the Financial Accounting Standards Board to its Accounting Standards Codification after April 5, 2012. </w:t>
      </w:r>
    </w:p>
    <w:p w14:paraId="71F3DD1E" w14:textId="77777777" w:rsidR="00C21D1E" w:rsidRDefault="00C21D1E" w:rsidP="00C21D1E">
      <w:pPr>
        <w:pBdr>
          <w:top w:val="nil"/>
          <w:left w:val="nil"/>
          <w:bottom w:val="nil"/>
          <w:right w:val="nil"/>
          <w:between w:val="nil"/>
          <w:bar w:val="nil"/>
        </w:pBdr>
        <w:ind w:firstLine="720"/>
        <w:rPr>
          <w:sz w:val="18"/>
          <w:bdr w:val="nil"/>
          <w:lang w:val="en-US"/>
        </w:rPr>
      </w:pPr>
    </w:p>
    <w:p w14:paraId="71F3DD1F" w14:textId="77777777" w:rsidR="00C21D1E" w:rsidRDefault="003A4815" w:rsidP="0005738A">
      <w:pPr>
        <w:pBdr>
          <w:top w:val="nil"/>
          <w:left w:val="nil"/>
          <w:bottom w:val="nil"/>
          <w:right w:val="nil"/>
          <w:between w:val="nil"/>
          <w:bar w:val="nil"/>
        </w:pBdr>
        <w:tabs>
          <w:tab w:val="right" w:pos="10065"/>
        </w:tabs>
        <w:ind w:firstLine="720"/>
        <w:rPr>
          <w:sz w:val="18"/>
          <w:bdr w:val="nil"/>
          <w:lang w:val="en-US"/>
        </w:rPr>
      </w:pPr>
      <w:r w:rsidRPr="00673395">
        <w:rPr>
          <w:sz w:val="18"/>
          <w:lang w:val="en-US"/>
        </w:rPr>
        <w:t>Indicate by check mark whether the regis</w:t>
      </w:r>
      <w:r w:rsidR="009F0583">
        <w:rPr>
          <w:sz w:val="18"/>
          <w:lang w:val="en-US"/>
        </w:rPr>
        <w:t>trant has fi</w:t>
      </w:r>
      <w:r w:rsidRPr="00673395">
        <w:rPr>
          <w:sz w:val="18"/>
          <w:lang w:val="en-US"/>
        </w:rPr>
        <w:t>led a report on and attestation to its management’s assessment of the effectiveness of its internal control over financial reporting under Section 404(b) of the Sarbanes-Oxley Act (15 U.S.C. 7262(b)) by the registered public accounting firm that prepared or issued its audit report.</w:t>
      </w:r>
      <w:r w:rsidR="0005738A">
        <w:rPr>
          <w:sz w:val="18"/>
          <w:lang w:val="en-US"/>
        </w:rPr>
        <w:tab/>
      </w:r>
      <w:bookmarkStart w:id="44" w:name="XBRL_CS_9c2d4a7deb994584b25290318179ff2f"/>
      <w:r>
        <w:rPr>
          <w:rFonts w:ascii="Segoe UI Symbol" w:hAnsi="Segoe UI Symbol" w:cs="Segoe UI Symbol"/>
          <w:b/>
          <w:lang w:val="en-US"/>
        </w:rPr>
        <w:t>☑</w:t>
      </w:r>
      <w:bookmarkEnd w:id="44"/>
      <w:r>
        <w:rPr>
          <w:rFonts w:ascii="Arial" w:hAnsi="Arial" w:cs="Arial"/>
          <w:b/>
          <w:lang w:val="en-US"/>
        </w:rPr>
        <w:t xml:space="preserve"> </w:t>
      </w:r>
    </w:p>
    <w:p w14:paraId="71F3DD20" w14:textId="77777777" w:rsidR="0005738A" w:rsidRDefault="0005738A" w:rsidP="00C21D1E">
      <w:pPr>
        <w:pBdr>
          <w:top w:val="nil"/>
          <w:left w:val="nil"/>
          <w:bottom w:val="nil"/>
          <w:right w:val="nil"/>
          <w:between w:val="nil"/>
          <w:bar w:val="nil"/>
        </w:pBdr>
        <w:ind w:firstLine="720"/>
        <w:rPr>
          <w:sz w:val="18"/>
          <w:bdr w:val="nil"/>
          <w:lang w:val="en-US"/>
        </w:rPr>
      </w:pPr>
    </w:p>
    <w:p w14:paraId="71F3DD21" w14:textId="77777777" w:rsidR="000F7915" w:rsidRDefault="003A4815" w:rsidP="000F7915">
      <w:pPr>
        <w:pBdr>
          <w:top w:val="nil"/>
          <w:left w:val="nil"/>
          <w:bottom w:val="nil"/>
          <w:right w:val="nil"/>
          <w:between w:val="nil"/>
          <w:bar w:val="nil"/>
        </w:pBdr>
        <w:tabs>
          <w:tab w:val="right" w:pos="10065"/>
        </w:tabs>
        <w:ind w:firstLine="720"/>
        <w:rPr>
          <w:sz w:val="18"/>
          <w:bdr w:val="nil"/>
          <w:lang w:val="en-US"/>
        </w:rPr>
      </w:pPr>
      <w:r>
        <w:rPr>
          <w:sz w:val="18"/>
          <w:lang w:val="en-US"/>
        </w:rPr>
        <w:t xml:space="preserve">If securities are registered pursuant to Section 12(b) of the Act, indicate by check mark whether the financial statements of the registrant included in the filing reflect the correction of an error to previously issued financial statements.                                                     </w:t>
      </w:r>
      <w:bookmarkStart w:id="45" w:name="XBRL_CS_3a9ae25d7a59458ca623188782c8629a"/>
      <w:r>
        <w:rPr>
          <w:rFonts w:ascii="Segoe UI Symbol" w:hAnsi="Segoe UI Symbol" w:cs="Segoe UI Symbol"/>
          <w:lang w:val="en-US"/>
        </w:rPr>
        <w:t>☐</w:t>
      </w:r>
      <w:bookmarkEnd w:id="45"/>
    </w:p>
    <w:p w14:paraId="71F3DD22" w14:textId="77777777" w:rsidR="000F7915" w:rsidRDefault="000F7915" w:rsidP="000F7915">
      <w:pPr>
        <w:pBdr>
          <w:top w:val="nil"/>
          <w:left w:val="nil"/>
          <w:bottom w:val="nil"/>
          <w:right w:val="nil"/>
          <w:between w:val="nil"/>
          <w:bar w:val="nil"/>
        </w:pBdr>
        <w:tabs>
          <w:tab w:val="right" w:pos="10065"/>
        </w:tabs>
        <w:ind w:firstLine="720"/>
        <w:rPr>
          <w:sz w:val="18"/>
          <w:bdr w:val="nil"/>
          <w:lang w:val="en-US"/>
        </w:rPr>
      </w:pPr>
    </w:p>
    <w:p w14:paraId="71F3DD23" w14:textId="77777777" w:rsidR="000F7915" w:rsidRDefault="003A4815" w:rsidP="000F7915">
      <w:pPr>
        <w:pBdr>
          <w:top w:val="nil"/>
          <w:left w:val="nil"/>
          <w:bottom w:val="nil"/>
          <w:right w:val="nil"/>
          <w:between w:val="nil"/>
          <w:bar w:val="nil"/>
        </w:pBdr>
        <w:tabs>
          <w:tab w:val="right" w:pos="10065"/>
        </w:tabs>
        <w:ind w:firstLine="720"/>
        <w:rPr>
          <w:sz w:val="18"/>
          <w:bdr w:val="nil"/>
          <w:lang w:val="en-US"/>
        </w:rPr>
      </w:pPr>
      <w:r>
        <w:rPr>
          <w:sz w:val="18"/>
          <w:lang w:val="en-US"/>
        </w:rPr>
        <w:lastRenderedPageBreak/>
        <w:t xml:space="preserve">Indicate by check mark whether any of those error corrections are restatements that required a recovery analysis of incentive-based compensation received by any of the registrant’s executive officers during the relevant recovery period pursuant to §240.10D-1(b).                                                                                                                                                                                                                                         </w:t>
      </w:r>
      <w:r>
        <w:rPr>
          <w:rFonts w:ascii="Segoe UI Symbol" w:hAnsi="Segoe UI Symbol" w:cs="Segoe UI Symbol"/>
          <w:lang w:val="en-US"/>
        </w:rPr>
        <w:t>☐</w:t>
      </w:r>
    </w:p>
    <w:p w14:paraId="71F3DD24" w14:textId="77777777" w:rsidR="00553530" w:rsidRDefault="003A4815" w:rsidP="00C21D1E">
      <w:pPr>
        <w:pBdr>
          <w:top w:val="nil"/>
          <w:left w:val="nil"/>
          <w:bottom w:val="nil"/>
          <w:right w:val="nil"/>
          <w:between w:val="nil"/>
          <w:bar w:val="nil"/>
        </w:pBdr>
        <w:ind w:firstLine="720"/>
        <w:rPr>
          <w:sz w:val="18"/>
          <w:bdr w:val="nil"/>
          <w:lang w:val="en-US"/>
        </w:rPr>
      </w:pPr>
      <w:r w:rsidRPr="00673395">
        <w:rPr>
          <w:sz w:val="18"/>
          <w:lang w:val="en-US"/>
        </w:rPr>
        <w:t xml:space="preserve">Indicate by check mark which basis of accounting the registrant has used to prepare the financial statements included in this filing: </w:t>
      </w:r>
    </w:p>
    <w:p w14:paraId="71F3DD25" w14:textId="77777777" w:rsidR="00553530" w:rsidRDefault="003A4815" w:rsidP="00553530">
      <w:pPr>
        <w:pBdr>
          <w:top w:val="nil"/>
          <w:left w:val="nil"/>
          <w:bottom w:val="nil"/>
          <w:right w:val="nil"/>
          <w:between w:val="nil"/>
          <w:bar w:val="nil"/>
        </w:pBdr>
        <w:tabs>
          <w:tab w:val="left" w:pos="3261"/>
        </w:tabs>
        <w:rPr>
          <w:sz w:val="18"/>
          <w:bdr w:val="nil"/>
          <w:lang w:val="en-US"/>
        </w:rPr>
      </w:pPr>
      <w:bookmarkStart w:id="46" w:name="XBRL_CS_5e61fa3691144193a32618baa23098e1"/>
      <w:r>
        <w:rPr>
          <w:sz w:val="18"/>
          <w:lang w:val="en-US"/>
        </w:rPr>
        <w:t>U.S. GAAP</w:t>
      </w:r>
      <w:bookmarkEnd w:id="46"/>
      <w:r>
        <w:rPr>
          <w:sz w:val="18"/>
          <w:lang w:val="en-US"/>
        </w:rPr>
        <w:t xml:space="preserve">  </w:t>
      </w:r>
      <w:r w:rsidR="00D34341">
        <w:rPr>
          <w:rFonts w:ascii="Segoe UI Symbol" w:hAnsi="Segoe UI Symbol" w:cs="Segoe UI Symbol"/>
          <w:b/>
          <w:lang w:val="en-US"/>
        </w:rPr>
        <w:t>☑</w:t>
      </w:r>
      <w:r w:rsidR="00D34341">
        <w:rPr>
          <w:sz w:val="18"/>
          <w:lang w:val="en-US"/>
        </w:rPr>
        <w:tab/>
      </w:r>
      <w:r w:rsidR="00D34341" w:rsidRPr="00673395">
        <w:rPr>
          <w:sz w:val="18"/>
          <w:lang w:val="en-US"/>
        </w:rPr>
        <w:t>International Financial Reporting Standards as issued</w:t>
      </w:r>
      <w:r w:rsidR="00D34341">
        <w:rPr>
          <w:sz w:val="18"/>
          <w:lang w:val="en-US"/>
        </w:rPr>
        <w:tab/>
      </w:r>
      <w:r w:rsidR="00D34341" w:rsidRPr="00673395">
        <w:rPr>
          <w:sz w:val="18"/>
          <w:lang w:val="en-US"/>
        </w:rPr>
        <w:t xml:space="preserve"> </w:t>
      </w:r>
      <w:r w:rsidR="00D34341">
        <w:rPr>
          <w:sz w:val="18"/>
          <w:lang w:val="en-US"/>
        </w:rPr>
        <w:tab/>
      </w:r>
      <w:r w:rsidR="00D34341">
        <w:rPr>
          <w:sz w:val="18"/>
          <w:lang w:val="en-US"/>
        </w:rPr>
        <w:tab/>
      </w:r>
      <w:r w:rsidR="00D34341" w:rsidRPr="00673395">
        <w:rPr>
          <w:sz w:val="18"/>
          <w:lang w:val="en-US"/>
        </w:rPr>
        <w:t xml:space="preserve">Other  </w:t>
      </w:r>
      <w:r w:rsidR="00D34341" w:rsidRPr="006602E8">
        <w:rPr>
          <w:rFonts w:ascii="Segoe UI Symbol" w:hAnsi="Segoe UI Symbol" w:cs="Segoe UI Symbol"/>
          <w:lang w:val="en-US"/>
        </w:rPr>
        <w:t>☐</w:t>
      </w:r>
    </w:p>
    <w:p w14:paraId="71F3DD26" w14:textId="77777777" w:rsidR="00553530" w:rsidRDefault="003A4815" w:rsidP="00553530">
      <w:pPr>
        <w:pBdr>
          <w:top w:val="nil"/>
          <w:left w:val="nil"/>
          <w:bottom w:val="nil"/>
          <w:right w:val="nil"/>
          <w:between w:val="nil"/>
          <w:bar w:val="nil"/>
        </w:pBdr>
        <w:tabs>
          <w:tab w:val="left" w:pos="3261"/>
        </w:tabs>
        <w:rPr>
          <w:sz w:val="18"/>
          <w:bdr w:val="nil"/>
          <w:lang w:val="en-US"/>
        </w:rPr>
      </w:pPr>
      <w:r>
        <w:rPr>
          <w:sz w:val="18"/>
          <w:lang w:val="en-US"/>
        </w:rPr>
        <w:tab/>
      </w:r>
      <w:r w:rsidR="00F714AC" w:rsidRPr="00673395">
        <w:rPr>
          <w:sz w:val="18"/>
          <w:lang w:val="en-US"/>
        </w:rPr>
        <w:t xml:space="preserve">by the International Accounting Standards Board □ </w:t>
      </w:r>
    </w:p>
    <w:p w14:paraId="71F3DD27" w14:textId="77777777" w:rsidR="00553530" w:rsidRDefault="00553530" w:rsidP="00553530">
      <w:pPr>
        <w:pBdr>
          <w:top w:val="nil"/>
          <w:left w:val="nil"/>
          <w:bottom w:val="nil"/>
          <w:right w:val="nil"/>
          <w:between w:val="nil"/>
          <w:bar w:val="nil"/>
        </w:pBdr>
        <w:tabs>
          <w:tab w:val="left" w:pos="3261"/>
        </w:tabs>
        <w:rPr>
          <w:sz w:val="18"/>
          <w:bdr w:val="nil"/>
          <w:lang w:val="en-US"/>
        </w:rPr>
      </w:pPr>
    </w:p>
    <w:p w14:paraId="71F3DD28" w14:textId="77777777" w:rsidR="00724A69" w:rsidRDefault="003A4815" w:rsidP="00553530">
      <w:pPr>
        <w:pBdr>
          <w:top w:val="nil"/>
          <w:left w:val="nil"/>
          <w:bottom w:val="nil"/>
          <w:right w:val="nil"/>
          <w:between w:val="nil"/>
          <w:bar w:val="nil"/>
        </w:pBdr>
        <w:tabs>
          <w:tab w:val="left" w:pos="3261"/>
        </w:tabs>
        <w:rPr>
          <w:sz w:val="18"/>
          <w:bdr w:val="nil"/>
          <w:lang w:val="en-US"/>
        </w:rPr>
      </w:pPr>
      <w:r w:rsidRPr="00673395">
        <w:rPr>
          <w:sz w:val="18"/>
          <w:lang w:val="en-US"/>
        </w:rPr>
        <w:t>If “Other” has been checked in response to the previous question, indicate by check mark which financial statement item the registrant has elected to follow.</w:t>
      </w:r>
    </w:p>
    <w:p w14:paraId="71F3DD29" w14:textId="77777777" w:rsidR="00724A69" w:rsidRDefault="003A4815" w:rsidP="00724A69">
      <w:pPr>
        <w:pBdr>
          <w:top w:val="nil"/>
          <w:left w:val="nil"/>
          <w:bottom w:val="nil"/>
          <w:right w:val="nil"/>
          <w:between w:val="nil"/>
          <w:bar w:val="nil"/>
        </w:pBdr>
        <w:tabs>
          <w:tab w:val="left" w:pos="3261"/>
        </w:tabs>
        <w:jc w:val="right"/>
        <w:rPr>
          <w:sz w:val="18"/>
          <w:bdr w:val="nil"/>
          <w:lang w:val="en-US"/>
        </w:rPr>
      </w:pPr>
      <w:r w:rsidRPr="006602E8">
        <w:rPr>
          <w:rFonts w:ascii="Segoe UI Symbol" w:hAnsi="Segoe UI Symbol" w:cs="Segoe UI Symbol"/>
          <w:lang w:val="en-US"/>
        </w:rPr>
        <w:t>☐</w:t>
      </w:r>
      <w:r w:rsidRPr="00673395">
        <w:rPr>
          <w:sz w:val="18"/>
          <w:lang w:val="en-US"/>
        </w:rPr>
        <w:t xml:space="preserve"> Item 17 </w:t>
      </w:r>
      <w:r w:rsidRPr="006602E8">
        <w:rPr>
          <w:rFonts w:ascii="Segoe UI Symbol" w:hAnsi="Segoe UI Symbol" w:cs="Segoe UI Symbol"/>
          <w:lang w:val="en-US"/>
        </w:rPr>
        <w:t>☐</w:t>
      </w:r>
      <w:r w:rsidRPr="00673395">
        <w:rPr>
          <w:sz w:val="18"/>
          <w:lang w:val="en-US"/>
        </w:rPr>
        <w:t xml:space="preserve"> Item 18 </w:t>
      </w:r>
    </w:p>
    <w:p w14:paraId="71F3DD2A" w14:textId="77777777" w:rsidR="00724A69" w:rsidRDefault="003A4815" w:rsidP="00724A69">
      <w:pPr>
        <w:pBdr>
          <w:top w:val="nil"/>
          <w:left w:val="nil"/>
          <w:bottom w:val="nil"/>
          <w:right w:val="nil"/>
          <w:between w:val="nil"/>
          <w:bar w:val="nil"/>
        </w:pBdr>
        <w:tabs>
          <w:tab w:val="left" w:pos="3261"/>
        </w:tabs>
        <w:rPr>
          <w:sz w:val="18"/>
          <w:bdr w:val="nil"/>
          <w:lang w:val="en-US"/>
        </w:rPr>
      </w:pPr>
      <w:r w:rsidRPr="00673395">
        <w:rPr>
          <w:sz w:val="18"/>
          <w:lang w:val="en-US"/>
        </w:rPr>
        <w:t>If this is an annual report, indicate by check mark whether the registrant is a shell company (as defined in Rule 12b-2 of the Exchange Act).</w:t>
      </w:r>
    </w:p>
    <w:p w14:paraId="71F3DD2B" w14:textId="77777777" w:rsidR="00724A69" w:rsidRDefault="003A4815" w:rsidP="00724A69">
      <w:pPr>
        <w:pBdr>
          <w:top w:val="nil"/>
          <w:left w:val="nil"/>
          <w:bottom w:val="nil"/>
          <w:right w:val="nil"/>
          <w:between w:val="nil"/>
          <w:bar w:val="nil"/>
        </w:pBdr>
        <w:tabs>
          <w:tab w:val="left" w:pos="3261"/>
        </w:tabs>
        <w:jc w:val="right"/>
        <w:rPr>
          <w:sz w:val="18"/>
          <w:bdr w:val="nil"/>
          <w:lang w:val="en-US"/>
        </w:rPr>
      </w:pPr>
      <w:r w:rsidRPr="006602E8">
        <w:rPr>
          <w:rFonts w:ascii="Segoe UI Symbol" w:hAnsi="Segoe UI Symbol" w:cs="Segoe UI Symbol"/>
          <w:lang w:val="en-US"/>
        </w:rPr>
        <w:t>☐</w:t>
      </w:r>
      <w:r w:rsidRPr="00673395">
        <w:rPr>
          <w:sz w:val="18"/>
          <w:lang w:val="en-US"/>
        </w:rPr>
        <w:t xml:space="preserve"> Yes </w:t>
      </w:r>
      <w:r>
        <w:rPr>
          <w:rFonts w:ascii="Segoe UI Symbol" w:hAnsi="Segoe UI Symbol" w:cs="Segoe UI Symbol"/>
          <w:b/>
          <w:lang w:val="en-US"/>
        </w:rPr>
        <w:t>☑</w:t>
      </w:r>
      <w:r>
        <w:rPr>
          <w:rFonts w:ascii="Arial" w:hAnsi="Arial" w:cs="Arial"/>
          <w:b/>
          <w:lang w:val="en-US"/>
        </w:rPr>
        <w:t xml:space="preserve"> </w:t>
      </w:r>
      <w:bookmarkStart w:id="47" w:name="XBRL_CS_593f62c6b44449b6acc07a8e18cdcef1"/>
      <w:r w:rsidRPr="00673395">
        <w:rPr>
          <w:sz w:val="18"/>
          <w:lang w:val="en-US"/>
        </w:rPr>
        <w:t>No</w:t>
      </w:r>
      <w:bookmarkEnd w:id="47"/>
      <w:r w:rsidRPr="00673395">
        <w:rPr>
          <w:sz w:val="18"/>
          <w:lang w:val="en-US"/>
        </w:rPr>
        <w:t xml:space="preserve"> </w:t>
      </w:r>
    </w:p>
    <w:p w14:paraId="71F3DD2C" w14:textId="77777777" w:rsidR="00724A69" w:rsidRDefault="003A4815" w:rsidP="00553530">
      <w:pPr>
        <w:pBdr>
          <w:top w:val="nil"/>
          <w:left w:val="nil"/>
          <w:bottom w:val="nil"/>
          <w:right w:val="nil"/>
          <w:between w:val="nil"/>
          <w:bar w:val="nil"/>
        </w:pBdr>
        <w:tabs>
          <w:tab w:val="left" w:pos="3261"/>
        </w:tabs>
        <w:rPr>
          <w:sz w:val="18"/>
          <w:bdr w:val="nil"/>
          <w:lang w:val="en-US"/>
        </w:rPr>
      </w:pPr>
      <w:r w:rsidRPr="00673395">
        <w:rPr>
          <w:sz w:val="18"/>
          <w:lang w:val="en-US"/>
        </w:rPr>
        <w:t xml:space="preserve">(APPLICABLE ONLY TO ISSUERS INVOLVED IN BANKRUPTCY PROCEEDINGS DURING THE PAST FIVE YEARS) </w:t>
      </w:r>
    </w:p>
    <w:p w14:paraId="71F3DD2D" w14:textId="77777777" w:rsidR="00724A69" w:rsidRDefault="00724A69" w:rsidP="00553530">
      <w:pPr>
        <w:pBdr>
          <w:top w:val="nil"/>
          <w:left w:val="nil"/>
          <w:bottom w:val="nil"/>
          <w:right w:val="nil"/>
          <w:between w:val="nil"/>
          <w:bar w:val="nil"/>
        </w:pBdr>
        <w:tabs>
          <w:tab w:val="left" w:pos="3261"/>
        </w:tabs>
        <w:rPr>
          <w:sz w:val="18"/>
          <w:bdr w:val="nil"/>
          <w:lang w:val="en-US"/>
        </w:rPr>
      </w:pPr>
    </w:p>
    <w:p w14:paraId="71F3DD2E" w14:textId="77777777" w:rsidR="00724A69" w:rsidRDefault="003A4815" w:rsidP="00553530">
      <w:pPr>
        <w:pBdr>
          <w:top w:val="nil"/>
          <w:left w:val="nil"/>
          <w:bottom w:val="nil"/>
          <w:right w:val="nil"/>
          <w:between w:val="nil"/>
          <w:bar w:val="nil"/>
        </w:pBdr>
        <w:tabs>
          <w:tab w:val="left" w:pos="3261"/>
        </w:tabs>
        <w:rPr>
          <w:sz w:val="18"/>
          <w:bdr w:val="nil"/>
          <w:lang w:val="en-US"/>
        </w:rPr>
      </w:pPr>
      <w:r w:rsidRPr="00673395">
        <w:rPr>
          <w:sz w:val="18"/>
          <w:lang w:val="en-US"/>
        </w:rPr>
        <w:t>Indicate by check mark whether the registrant has filed all documents and reports required to be filed by Sections 12, 13 or 15(d) of the Securities Exchange Act of 1934 subsequent to the distribution of securities under a plan confirmed by a court.</w:t>
      </w:r>
    </w:p>
    <w:p w14:paraId="71F3DD2F" w14:textId="77777777" w:rsidR="004C710C" w:rsidRPr="00724A69" w:rsidRDefault="003A4815" w:rsidP="00724A69">
      <w:pPr>
        <w:pBdr>
          <w:top w:val="nil"/>
          <w:left w:val="nil"/>
          <w:bottom w:val="nil"/>
          <w:right w:val="nil"/>
          <w:between w:val="nil"/>
          <w:bar w:val="nil"/>
        </w:pBdr>
        <w:tabs>
          <w:tab w:val="left" w:pos="3261"/>
        </w:tabs>
        <w:jc w:val="right"/>
        <w:rPr>
          <w:sz w:val="18"/>
          <w:bdr w:val="nil"/>
          <w:lang w:val="en-US"/>
        </w:rPr>
        <w:sectPr w:rsidR="004C710C" w:rsidRPr="00724A69" w:rsidSect="003E2BEF">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134" w:right="1134" w:bottom="1134" w:left="851" w:header="720" w:footer="720" w:gutter="0"/>
          <w:pgBorders>
            <w:top w:val="nil"/>
            <w:left w:val="nil"/>
            <w:bottom w:val="nil"/>
            <w:right w:val="nil"/>
          </w:pgBorders>
          <w:cols w:space="720"/>
          <w:docGrid w:linePitch="360"/>
        </w:sectPr>
      </w:pPr>
      <w:r w:rsidRPr="006602E8">
        <w:rPr>
          <w:rFonts w:ascii="Segoe UI Symbol" w:hAnsi="Segoe UI Symbol" w:cs="Segoe UI Symbol"/>
          <w:lang w:val="en-US"/>
        </w:rPr>
        <w:t>☐</w:t>
      </w:r>
      <w:r w:rsidRPr="00724A69">
        <w:rPr>
          <w:sz w:val="18"/>
          <w:lang w:val="en-US"/>
        </w:rPr>
        <w:t xml:space="preserve"> Yes </w:t>
      </w:r>
      <w:r w:rsidRPr="006602E8">
        <w:rPr>
          <w:rFonts w:ascii="Segoe UI Symbol" w:hAnsi="Segoe UI Symbol" w:cs="Segoe UI Symbol"/>
          <w:lang w:val="en-US"/>
        </w:rPr>
        <w:t>☐</w:t>
      </w:r>
      <w:r w:rsidRPr="00724A69">
        <w:rPr>
          <w:sz w:val="18"/>
          <w:lang w:val="en-US"/>
        </w:rPr>
        <w:t xml:space="preserve"> No</w:t>
      </w:r>
    </w:p>
    <w:p w14:paraId="71F3DD30" w14:textId="77777777" w:rsidR="006B5B54" w:rsidRPr="00157DBF" w:rsidRDefault="003A4815" w:rsidP="00157DBF">
      <w:pPr>
        <w:pStyle w:val="Title"/>
        <w:pageBreakBefore/>
        <w:pBdr>
          <w:top w:val="nil"/>
          <w:left w:val="nil"/>
          <w:bottom w:val="nil"/>
          <w:right w:val="nil"/>
          <w:between w:val="nil"/>
          <w:bar w:val="nil"/>
        </w:pBdr>
        <w:spacing w:before="0" w:after="0" w:line="240" w:lineRule="auto"/>
        <w:rPr>
          <w:rFonts w:ascii="Arial" w:eastAsia="Arial" w:hAnsi="Arial" w:cs="Arial"/>
          <w:sz w:val="24"/>
          <w:szCs w:val="24"/>
          <w:bdr w:val="nil"/>
        </w:rPr>
      </w:pPr>
      <w:bookmarkStart w:id="48" w:name="RG_MARKER_22971"/>
      <w:bookmarkStart w:id="49" w:name="RG_MARKER_23184"/>
      <w:bookmarkStart w:id="50" w:name="DTPMulti_tableofcontents_title_9f3b2497e"/>
      <w:r w:rsidRPr="00157DBF">
        <w:rPr>
          <w:rFonts w:ascii="Arial" w:eastAsia="Arial" w:hAnsi="Arial" w:cs="Arial"/>
          <w:sz w:val="24"/>
          <w:szCs w:val="24"/>
        </w:rPr>
        <w:t>TABLE OF CONTENTS</w:t>
      </w:r>
      <w:bookmarkEnd w:id="48"/>
      <w:bookmarkEnd w:id="49"/>
      <w:bookmarkEnd w:id="50"/>
    </w:p>
    <w:p w14:paraId="71F3DD31" w14:textId="77777777" w:rsidR="008F030D" w:rsidRPr="00157DBF" w:rsidRDefault="008F030D" w:rsidP="00157DBF">
      <w:pPr>
        <w:pStyle w:val="Normal0"/>
        <w:pBdr>
          <w:top w:val="nil"/>
          <w:left w:val="nil"/>
          <w:bottom w:val="nil"/>
          <w:right w:val="nil"/>
          <w:between w:val="nil"/>
          <w:bar w:val="nil"/>
        </w:pBdr>
        <w:spacing w:after="0"/>
        <w:rPr>
          <w:rFonts w:ascii="Arial" w:eastAsia="Arial" w:hAnsi="Arial" w:cs="Arial"/>
          <w:bdr w:val="nil"/>
        </w:rPr>
      </w:pPr>
    </w:p>
    <w:tbl>
      <w:tblPr>
        <w:tblStyle w:val="TableGrid"/>
        <w:tblW w:w="507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7715"/>
        <w:gridCol w:w="1360"/>
      </w:tblGrid>
      <w:tr w:rsidR="00510CAA" w14:paraId="71F3DD34" w14:textId="77777777" w:rsidTr="00CE23BA">
        <w:trPr>
          <w:cantSplit/>
          <w:trHeight w:val="272"/>
          <w:jc w:val="center"/>
        </w:trPr>
        <w:tc>
          <w:tcPr>
            <w:tcW w:w="4346" w:type="pct"/>
            <w:gridSpan w:val="2"/>
            <w:hideMark/>
          </w:tcPr>
          <w:p w14:paraId="71F3DD3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forward_looking_statement" w:history="1">
              <w:r w:rsidRPr="00E13835">
                <w:rPr>
                  <w:rStyle w:val="Hyperlink"/>
                  <w:rFonts w:ascii="Arial" w:eastAsia="Arial" w:hAnsi="Arial" w:cs="Arial"/>
                  <w:b/>
                  <w:color w:val="0000FF"/>
                </w:rPr>
                <w:t>FORWARD-LOOKING STATEMENTS</w:t>
              </w:r>
            </w:hyperlink>
          </w:p>
        </w:tc>
        <w:tc>
          <w:tcPr>
            <w:tcW w:w="654" w:type="pct"/>
            <w:hideMark/>
          </w:tcPr>
          <w:p w14:paraId="71F3DD3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b/>
                <w:color w:val="000000"/>
              </w:rPr>
              <w:t>5</w:t>
            </w:r>
          </w:p>
        </w:tc>
      </w:tr>
      <w:tr w:rsidR="00510CAA" w14:paraId="71F3DD38" w14:textId="77777777" w:rsidTr="00CE23BA">
        <w:trPr>
          <w:cantSplit/>
          <w:trHeight w:val="272"/>
          <w:jc w:val="center"/>
        </w:trPr>
        <w:tc>
          <w:tcPr>
            <w:tcW w:w="637" w:type="pct"/>
          </w:tcPr>
          <w:p w14:paraId="71F3DD35" w14:textId="77777777" w:rsidR="008F030D" w:rsidRPr="00157DBF" w:rsidRDefault="008F030D" w:rsidP="00157DBF">
            <w:pPr>
              <w:pStyle w:val="Normal0"/>
              <w:keepNext/>
              <w:spacing w:after="0" w:line="240" w:lineRule="auto"/>
              <w:rPr>
                <w:rFonts w:ascii="Arial" w:eastAsia="Arial" w:hAnsi="Arial" w:cs="Arial"/>
                <w:bdr w:val="nil"/>
              </w:rPr>
            </w:pPr>
          </w:p>
        </w:tc>
        <w:tc>
          <w:tcPr>
            <w:tcW w:w="3709" w:type="pct"/>
          </w:tcPr>
          <w:p w14:paraId="71F3DD36" w14:textId="77777777" w:rsidR="008F030D" w:rsidRPr="00157DBF" w:rsidRDefault="008F030D" w:rsidP="00157DBF">
            <w:pPr>
              <w:pStyle w:val="Normal0"/>
              <w:keepNext/>
              <w:spacing w:after="0" w:line="240" w:lineRule="auto"/>
              <w:rPr>
                <w:rFonts w:ascii="Arial" w:eastAsia="Arial" w:hAnsi="Arial" w:cs="Arial"/>
                <w:bdr w:val="nil"/>
              </w:rPr>
            </w:pPr>
          </w:p>
        </w:tc>
        <w:tc>
          <w:tcPr>
            <w:tcW w:w="654" w:type="pct"/>
          </w:tcPr>
          <w:p w14:paraId="71F3DD37" w14:textId="77777777" w:rsidR="008F030D" w:rsidRPr="00157DBF" w:rsidRDefault="008F030D" w:rsidP="00157DBF">
            <w:pPr>
              <w:pStyle w:val="Normal0"/>
              <w:keepNext/>
              <w:spacing w:after="0" w:line="240" w:lineRule="auto"/>
              <w:jc w:val="right"/>
              <w:rPr>
                <w:rFonts w:ascii="Arial" w:eastAsia="Arial" w:hAnsi="Arial" w:cs="Arial"/>
                <w:bdr w:val="nil"/>
              </w:rPr>
            </w:pPr>
          </w:p>
        </w:tc>
      </w:tr>
      <w:tr w:rsidR="00510CAA" w14:paraId="71F3DD3C" w14:textId="77777777" w:rsidTr="00CE23BA">
        <w:trPr>
          <w:cantSplit/>
          <w:trHeight w:val="272"/>
          <w:jc w:val="center"/>
        </w:trPr>
        <w:tc>
          <w:tcPr>
            <w:tcW w:w="637" w:type="pct"/>
            <w:hideMark/>
          </w:tcPr>
          <w:p w14:paraId="71F3DD3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
                <w:bdr w:val="nil"/>
              </w:rPr>
            </w:pPr>
            <w:hyperlink w:anchor="part_1" w:history="1">
              <w:r w:rsidRPr="00E13835">
                <w:rPr>
                  <w:rStyle w:val="Hyperlink"/>
                  <w:rFonts w:ascii="Arial" w:eastAsia="Arial" w:hAnsi="Arial" w:cs="Arial"/>
                  <w:b/>
                  <w:color w:val="0000FF"/>
                </w:rPr>
                <w:t>PART I</w:t>
              </w:r>
            </w:hyperlink>
          </w:p>
        </w:tc>
        <w:tc>
          <w:tcPr>
            <w:tcW w:w="3709" w:type="pct"/>
          </w:tcPr>
          <w:p w14:paraId="71F3DD3A" w14:textId="77777777" w:rsidR="008F030D" w:rsidRPr="00157DBF" w:rsidRDefault="008F030D" w:rsidP="00157DBF">
            <w:pPr>
              <w:pStyle w:val="Normal0"/>
              <w:keepNext/>
              <w:spacing w:after="0" w:line="240" w:lineRule="auto"/>
              <w:rPr>
                <w:rFonts w:ascii="Arial" w:eastAsia="Arial" w:hAnsi="Arial" w:cs="Arial"/>
                <w:bdr w:val="nil"/>
              </w:rPr>
            </w:pPr>
          </w:p>
        </w:tc>
        <w:tc>
          <w:tcPr>
            <w:tcW w:w="654" w:type="pct"/>
          </w:tcPr>
          <w:p w14:paraId="71F3DD3B" w14:textId="77777777" w:rsidR="008F030D" w:rsidRPr="00157DBF" w:rsidRDefault="008F030D" w:rsidP="00157DBF">
            <w:pPr>
              <w:pStyle w:val="Normal0"/>
              <w:keepNext/>
              <w:spacing w:after="0" w:line="240" w:lineRule="auto"/>
              <w:jc w:val="right"/>
              <w:rPr>
                <w:rFonts w:ascii="Arial" w:eastAsia="Arial" w:hAnsi="Arial" w:cs="Arial"/>
                <w:bdr w:val="nil"/>
              </w:rPr>
            </w:pPr>
          </w:p>
        </w:tc>
      </w:tr>
      <w:tr w:rsidR="00510CAA" w14:paraId="71F3DD40" w14:textId="77777777" w:rsidTr="00CE23BA">
        <w:trPr>
          <w:cantSplit/>
          <w:trHeight w:val="256"/>
          <w:jc w:val="center"/>
        </w:trPr>
        <w:tc>
          <w:tcPr>
            <w:tcW w:w="637" w:type="pct"/>
            <w:hideMark/>
          </w:tcPr>
          <w:p w14:paraId="71F3DD3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 w:history="1">
              <w:r w:rsidRPr="00E13835">
                <w:rPr>
                  <w:rStyle w:val="Hyperlink"/>
                  <w:rFonts w:ascii="Arial" w:eastAsia="Arial" w:hAnsi="Arial" w:cs="Arial"/>
                  <w:color w:val="0000FF"/>
                </w:rPr>
                <w:t>Item 1.</w:t>
              </w:r>
            </w:hyperlink>
          </w:p>
        </w:tc>
        <w:tc>
          <w:tcPr>
            <w:tcW w:w="3709" w:type="pct"/>
            <w:hideMark/>
          </w:tcPr>
          <w:p w14:paraId="71F3DD3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 w:history="1">
              <w:r w:rsidRPr="00E13835">
                <w:rPr>
                  <w:rStyle w:val="Hyperlink"/>
                  <w:rFonts w:ascii="Arial" w:eastAsia="Arial" w:hAnsi="Arial" w:cs="Arial"/>
                  <w:color w:val="0000FF"/>
                </w:rPr>
                <w:t>Identity of Directors, Senior Management and Advisers</w:t>
              </w:r>
            </w:hyperlink>
          </w:p>
        </w:tc>
        <w:tc>
          <w:tcPr>
            <w:tcW w:w="654" w:type="pct"/>
            <w:hideMark/>
          </w:tcPr>
          <w:p w14:paraId="71F3DD3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7</w:t>
            </w:r>
          </w:p>
        </w:tc>
      </w:tr>
      <w:tr w:rsidR="00510CAA" w14:paraId="71F3DD44" w14:textId="77777777" w:rsidTr="00CE23BA">
        <w:trPr>
          <w:cantSplit/>
          <w:trHeight w:val="272"/>
          <w:jc w:val="center"/>
        </w:trPr>
        <w:tc>
          <w:tcPr>
            <w:tcW w:w="637" w:type="pct"/>
            <w:hideMark/>
          </w:tcPr>
          <w:p w14:paraId="71F3DD4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2" w:history="1">
              <w:r w:rsidRPr="00E13835">
                <w:rPr>
                  <w:rStyle w:val="Hyperlink"/>
                  <w:rFonts w:ascii="Arial" w:eastAsia="Arial" w:hAnsi="Arial" w:cs="Arial"/>
                  <w:color w:val="0000FF"/>
                </w:rPr>
                <w:t>Item 2.</w:t>
              </w:r>
            </w:hyperlink>
          </w:p>
        </w:tc>
        <w:tc>
          <w:tcPr>
            <w:tcW w:w="3709" w:type="pct"/>
            <w:hideMark/>
          </w:tcPr>
          <w:p w14:paraId="71F3DD4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2" w:history="1">
              <w:r w:rsidRPr="00E13835">
                <w:rPr>
                  <w:rStyle w:val="Hyperlink"/>
                  <w:rFonts w:ascii="Arial" w:eastAsia="Arial" w:hAnsi="Arial" w:cs="Arial"/>
                  <w:color w:val="0000FF"/>
                </w:rPr>
                <w:t>Offer Statistics and Expected Timetable</w:t>
              </w:r>
            </w:hyperlink>
          </w:p>
        </w:tc>
        <w:tc>
          <w:tcPr>
            <w:tcW w:w="654" w:type="pct"/>
            <w:hideMark/>
          </w:tcPr>
          <w:p w14:paraId="71F3DD4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7</w:t>
            </w:r>
          </w:p>
        </w:tc>
      </w:tr>
      <w:tr w:rsidR="00510CAA" w14:paraId="71F3DD48" w14:textId="77777777" w:rsidTr="00CE23BA">
        <w:trPr>
          <w:cantSplit/>
          <w:trHeight w:val="272"/>
          <w:jc w:val="center"/>
        </w:trPr>
        <w:tc>
          <w:tcPr>
            <w:tcW w:w="637" w:type="pct"/>
            <w:hideMark/>
          </w:tcPr>
          <w:p w14:paraId="71F3DD4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3" w:history="1">
              <w:r w:rsidRPr="00E13835">
                <w:rPr>
                  <w:rStyle w:val="Hyperlink"/>
                  <w:rFonts w:ascii="Arial" w:eastAsia="Arial" w:hAnsi="Arial" w:cs="Arial"/>
                  <w:color w:val="0000FF"/>
                </w:rPr>
                <w:t>Item 3.</w:t>
              </w:r>
            </w:hyperlink>
          </w:p>
        </w:tc>
        <w:tc>
          <w:tcPr>
            <w:tcW w:w="3709" w:type="pct"/>
            <w:hideMark/>
          </w:tcPr>
          <w:p w14:paraId="71F3DD46"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3" w:history="1">
              <w:r w:rsidRPr="00E13835">
                <w:rPr>
                  <w:rStyle w:val="Hyperlink"/>
                  <w:rFonts w:ascii="Arial" w:eastAsia="Arial" w:hAnsi="Arial" w:cs="Arial"/>
                  <w:color w:val="0000FF"/>
                </w:rPr>
                <w:t>Key Information</w:t>
              </w:r>
            </w:hyperlink>
          </w:p>
        </w:tc>
        <w:tc>
          <w:tcPr>
            <w:tcW w:w="654" w:type="pct"/>
            <w:hideMark/>
          </w:tcPr>
          <w:p w14:paraId="71F3DD47"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7</w:t>
            </w:r>
          </w:p>
        </w:tc>
      </w:tr>
      <w:tr w:rsidR="00510CAA" w14:paraId="71F3DD4C" w14:textId="77777777" w:rsidTr="00CE23BA">
        <w:trPr>
          <w:cantSplit/>
          <w:trHeight w:val="272"/>
          <w:jc w:val="center"/>
        </w:trPr>
        <w:tc>
          <w:tcPr>
            <w:tcW w:w="637" w:type="pct"/>
            <w:hideMark/>
          </w:tcPr>
          <w:p w14:paraId="71F3DD4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4" w:history="1">
              <w:r w:rsidRPr="00E13835">
                <w:rPr>
                  <w:rStyle w:val="Hyperlink"/>
                  <w:rFonts w:ascii="Arial" w:eastAsia="Arial" w:hAnsi="Arial" w:cs="Arial"/>
                  <w:color w:val="0000FF"/>
                </w:rPr>
                <w:t>Item 4.</w:t>
              </w:r>
            </w:hyperlink>
          </w:p>
        </w:tc>
        <w:tc>
          <w:tcPr>
            <w:tcW w:w="3709" w:type="pct"/>
            <w:hideMark/>
          </w:tcPr>
          <w:p w14:paraId="71F3DD4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4" w:history="1">
              <w:r w:rsidRPr="00E13835">
                <w:rPr>
                  <w:rStyle w:val="Hyperlink"/>
                  <w:rFonts w:ascii="Arial" w:eastAsia="Arial" w:hAnsi="Arial" w:cs="Arial"/>
                  <w:color w:val="0000FF"/>
                </w:rPr>
                <w:t>Information on the Company</w:t>
              </w:r>
            </w:hyperlink>
          </w:p>
        </w:tc>
        <w:tc>
          <w:tcPr>
            <w:tcW w:w="654" w:type="pct"/>
            <w:hideMark/>
          </w:tcPr>
          <w:p w14:paraId="71F3DD4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41</w:t>
            </w:r>
          </w:p>
        </w:tc>
      </w:tr>
      <w:tr w:rsidR="00510CAA" w14:paraId="71F3DD50" w14:textId="77777777" w:rsidTr="00CE23BA">
        <w:trPr>
          <w:cantSplit/>
          <w:trHeight w:val="272"/>
          <w:jc w:val="center"/>
        </w:trPr>
        <w:tc>
          <w:tcPr>
            <w:tcW w:w="637" w:type="pct"/>
            <w:hideMark/>
          </w:tcPr>
          <w:p w14:paraId="71F3DD4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4a" w:history="1">
              <w:r w:rsidRPr="00E13835">
                <w:rPr>
                  <w:rStyle w:val="Hyperlink"/>
                  <w:rFonts w:ascii="Arial" w:eastAsia="Arial" w:hAnsi="Arial" w:cs="Arial"/>
                  <w:color w:val="0000FF"/>
                </w:rPr>
                <w:t>Item 4A.</w:t>
              </w:r>
            </w:hyperlink>
          </w:p>
        </w:tc>
        <w:tc>
          <w:tcPr>
            <w:tcW w:w="3709" w:type="pct"/>
            <w:hideMark/>
          </w:tcPr>
          <w:p w14:paraId="71F3DD4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4a" w:history="1">
              <w:r w:rsidRPr="00E13835">
                <w:rPr>
                  <w:rStyle w:val="Hyperlink"/>
                  <w:rFonts w:ascii="Arial" w:eastAsia="Arial" w:hAnsi="Arial" w:cs="Arial"/>
                  <w:color w:val="0000FF"/>
                </w:rPr>
                <w:t>Unresolved Staff Comments</w:t>
              </w:r>
            </w:hyperlink>
          </w:p>
        </w:tc>
        <w:tc>
          <w:tcPr>
            <w:tcW w:w="654" w:type="pct"/>
            <w:hideMark/>
          </w:tcPr>
          <w:p w14:paraId="71F3DD4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67</w:t>
            </w:r>
          </w:p>
        </w:tc>
      </w:tr>
      <w:tr w:rsidR="00510CAA" w14:paraId="71F3DD54" w14:textId="77777777" w:rsidTr="00CE23BA">
        <w:trPr>
          <w:cantSplit/>
          <w:trHeight w:val="272"/>
          <w:jc w:val="center"/>
        </w:trPr>
        <w:tc>
          <w:tcPr>
            <w:tcW w:w="637" w:type="pct"/>
            <w:hideMark/>
          </w:tcPr>
          <w:p w14:paraId="71F3DD5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5" w:history="1">
              <w:r w:rsidRPr="00E13835">
                <w:rPr>
                  <w:rStyle w:val="Hyperlink"/>
                  <w:rFonts w:ascii="Arial" w:eastAsia="Arial" w:hAnsi="Arial" w:cs="Arial"/>
                  <w:color w:val="0000FF"/>
                </w:rPr>
                <w:t>Item 5.</w:t>
              </w:r>
            </w:hyperlink>
          </w:p>
        </w:tc>
        <w:tc>
          <w:tcPr>
            <w:tcW w:w="3709" w:type="pct"/>
            <w:hideMark/>
          </w:tcPr>
          <w:p w14:paraId="71F3DD5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5" w:history="1">
              <w:r w:rsidRPr="00E13835">
                <w:rPr>
                  <w:rStyle w:val="Hyperlink"/>
                  <w:rFonts w:ascii="Arial" w:eastAsia="Arial" w:hAnsi="Arial" w:cs="Arial"/>
                  <w:color w:val="0000FF"/>
                </w:rPr>
                <w:t>Operating and Financial Review and Prospects</w:t>
              </w:r>
            </w:hyperlink>
          </w:p>
        </w:tc>
        <w:tc>
          <w:tcPr>
            <w:tcW w:w="654" w:type="pct"/>
            <w:hideMark/>
          </w:tcPr>
          <w:p w14:paraId="71F3DD5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67</w:t>
            </w:r>
          </w:p>
        </w:tc>
      </w:tr>
      <w:tr w:rsidR="00510CAA" w14:paraId="71F3DD58" w14:textId="77777777" w:rsidTr="00CE23BA">
        <w:trPr>
          <w:cantSplit/>
          <w:trHeight w:val="272"/>
          <w:jc w:val="center"/>
        </w:trPr>
        <w:tc>
          <w:tcPr>
            <w:tcW w:w="637" w:type="pct"/>
            <w:hideMark/>
          </w:tcPr>
          <w:p w14:paraId="71F3DD5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6" w:history="1">
              <w:r w:rsidRPr="00E13835">
                <w:rPr>
                  <w:rStyle w:val="Hyperlink"/>
                  <w:rFonts w:ascii="Arial" w:eastAsia="Arial" w:hAnsi="Arial" w:cs="Arial"/>
                  <w:color w:val="0000FF"/>
                </w:rPr>
                <w:t>Item 6.</w:t>
              </w:r>
            </w:hyperlink>
          </w:p>
        </w:tc>
        <w:tc>
          <w:tcPr>
            <w:tcW w:w="3709" w:type="pct"/>
            <w:hideMark/>
          </w:tcPr>
          <w:p w14:paraId="71F3DD56"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6" w:history="1">
              <w:r w:rsidRPr="00E13835">
                <w:rPr>
                  <w:rStyle w:val="Hyperlink"/>
                  <w:rFonts w:ascii="Arial" w:eastAsia="Arial" w:hAnsi="Arial" w:cs="Arial"/>
                  <w:color w:val="0000FF"/>
                </w:rPr>
                <w:t>Directors, Senior Management and Employees</w:t>
              </w:r>
            </w:hyperlink>
          </w:p>
        </w:tc>
        <w:tc>
          <w:tcPr>
            <w:tcW w:w="654" w:type="pct"/>
            <w:hideMark/>
          </w:tcPr>
          <w:p w14:paraId="71F3DD57"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83</w:t>
            </w:r>
          </w:p>
        </w:tc>
      </w:tr>
      <w:tr w:rsidR="00510CAA" w14:paraId="71F3DD5C" w14:textId="77777777" w:rsidTr="00CE23BA">
        <w:trPr>
          <w:cantSplit/>
          <w:trHeight w:val="272"/>
          <w:jc w:val="center"/>
        </w:trPr>
        <w:tc>
          <w:tcPr>
            <w:tcW w:w="637" w:type="pct"/>
            <w:hideMark/>
          </w:tcPr>
          <w:p w14:paraId="71F3DD5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7" w:history="1">
              <w:r w:rsidRPr="00E13835">
                <w:rPr>
                  <w:rStyle w:val="Hyperlink"/>
                  <w:rFonts w:ascii="Arial" w:eastAsia="Arial" w:hAnsi="Arial" w:cs="Arial"/>
                  <w:color w:val="0000FF"/>
                </w:rPr>
                <w:t>Item 7.</w:t>
              </w:r>
            </w:hyperlink>
          </w:p>
        </w:tc>
        <w:tc>
          <w:tcPr>
            <w:tcW w:w="3709" w:type="pct"/>
            <w:hideMark/>
          </w:tcPr>
          <w:p w14:paraId="71F3DD5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7" w:history="1">
              <w:r w:rsidRPr="00E13835">
                <w:rPr>
                  <w:rStyle w:val="Hyperlink"/>
                  <w:rFonts w:ascii="Arial" w:eastAsia="Arial" w:hAnsi="Arial" w:cs="Arial"/>
                  <w:color w:val="0000FF"/>
                </w:rPr>
                <w:t>Major Shareholders and Related Party Transactions</w:t>
              </w:r>
            </w:hyperlink>
          </w:p>
        </w:tc>
        <w:tc>
          <w:tcPr>
            <w:tcW w:w="654" w:type="pct"/>
            <w:hideMark/>
          </w:tcPr>
          <w:p w14:paraId="71F3DD5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91</w:t>
            </w:r>
          </w:p>
        </w:tc>
      </w:tr>
      <w:tr w:rsidR="00510CAA" w14:paraId="71F3DD60" w14:textId="77777777" w:rsidTr="00CE23BA">
        <w:trPr>
          <w:cantSplit/>
          <w:trHeight w:val="256"/>
          <w:jc w:val="center"/>
        </w:trPr>
        <w:tc>
          <w:tcPr>
            <w:tcW w:w="637" w:type="pct"/>
            <w:hideMark/>
          </w:tcPr>
          <w:p w14:paraId="71F3DD5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8" w:history="1">
              <w:r w:rsidRPr="00E13835">
                <w:rPr>
                  <w:rStyle w:val="Hyperlink"/>
                  <w:rFonts w:ascii="Arial" w:eastAsia="Arial" w:hAnsi="Arial" w:cs="Arial"/>
                  <w:color w:val="0000FF"/>
                </w:rPr>
                <w:t>Item 8.</w:t>
              </w:r>
            </w:hyperlink>
          </w:p>
        </w:tc>
        <w:tc>
          <w:tcPr>
            <w:tcW w:w="3709" w:type="pct"/>
            <w:hideMark/>
          </w:tcPr>
          <w:p w14:paraId="71F3DD5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8" w:history="1">
              <w:r w:rsidRPr="00E13835">
                <w:rPr>
                  <w:rStyle w:val="Hyperlink"/>
                  <w:rFonts w:ascii="Arial" w:eastAsia="Arial" w:hAnsi="Arial" w:cs="Arial"/>
                  <w:color w:val="0000FF"/>
                </w:rPr>
                <w:t>Financial Information</w:t>
              </w:r>
            </w:hyperlink>
          </w:p>
        </w:tc>
        <w:tc>
          <w:tcPr>
            <w:tcW w:w="654" w:type="pct"/>
            <w:hideMark/>
          </w:tcPr>
          <w:p w14:paraId="71F3DD5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96</w:t>
            </w:r>
          </w:p>
        </w:tc>
      </w:tr>
      <w:tr w:rsidR="00510CAA" w14:paraId="71F3DD64" w14:textId="77777777" w:rsidTr="00CE23BA">
        <w:trPr>
          <w:cantSplit/>
          <w:trHeight w:val="272"/>
          <w:jc w:val="center"/>
        </w:trPr>
        <w:tc>
          <w:tcPr>
            <w:tcW w:w="637" w:type="pct"/>
            <w:hideMark/>
          </w:tcPr>
          <w:p w14:paraId="71F3DD6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9" w:history="1">
              <w:r w:rsidRPr="0048403C">
                <w:rPr>
                  <w:rStyle w:val="Hyperlink"/>
                  <w:rFonts w:ascii="Arial" w:eastAsia="Arial" w:hAnsi="Arial" w:cs="Arial"/>
                  <w:color w:val="0000FF"/>
                </w:rPr>
                <w:t>Item 9.</w:t>
              </w:r>
            </w:hyperlink>
          </w:p>
        </w:tc>
        <w:tc>
          <w:tcPr>
            <w:tcW w:w="3709" w:type="pct"/>
            <w:hideMark/>
          </w:tcPr>
          <w:p w14:paraId="71F3DD6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9" w:history="1">
              <w:r w:rsidRPr="0048403C">
                <w:rPr>
                  <w:rStyle w:val="Hyperlink"/>
                  <w:rFonts w:ascii="Arial" w:eastAsia="Arial" w:hAnsi="Arial" w:cs="Arial"/>
                  <w:color w:val="0000FF"/>
                </w:rPr>
                <w:t>The Offer and Listing</w:t>
              </w:r>
            </w:hyperlink>
          </w:p>
        </w:tc>
        <w:tc>
          <w:tcPr>
            <w:tcW w:w="654" w:type="pct"/>
            <w:hideMark/>
          </w:tcPr>
          <w:p w14:paraId="71F3DD6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97</w:t>
            </w:r>
          </w:p>
        </w:tc>
      </w:tr>
      <w:tr w:rsidR="00510CAA" w14:paraId="71F3DD68" w14:textId="77777777" w:rsidTr="00CE23BA">
        <w:trPr>
          <w:cantSplit/>
          <w:trHeight w:val="272"/>
          <w:jc w:val="center"/>
        </w:trPr>
        <w:tc>
          <w:tcPr>
            <w:tcW w:w="637" w:type="pct"/>
            <w:hideMark/>
          </w:tcPr>
          <w:p w14:paraId="71F3DD6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0" w:history="1">
              <w:r w:rsidRPr="0048403C">
                <w:rPr>
                  <w:rStyle w:val="Hyperlink"/>
                  <w:rFonts w:ascii="Arial" w:eastAsia="Arial" w:hAnsi="Arial" w:cs="Arial"/>
                  <w:color w:val="0000FF"/>
                </w:rPr>
                <w:t>Item 10.</w:t>
              </w:r>
            </w:hyperlink>
          </w:p>
        </w:tc>
        <w:tc>
          <w:tcPr>
            <w:tcW w:w="3709" w:type="pct"/>
            <w:hideMark/>
          </w:tcPr>
          <w:p w14:paraId="71F3DD66"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0" w:history="1">
              <w:r w:rsidRPr="0048403C">
                <w:rPr>
                  <w:rStyle w:val="Hyperlink"/>
                  <w:rFonts w:ascii="Arial" w:eastAsia="Arial" w:hAnsi="Arial" w:cs="Arial"/>
                  <w:color w:val="0000FF"/>
                </w:rPr>
                <w:t>Additional Information</w:t>
              </w:r>
            </w:hyperlink>
          </w:p>
        </w:tc>
        <w:tc>
          <w:tcPr>
            <w:tcW w:w="654" w:type="pct"/>
            <w:hideMark/>
          </w:tcPr>
          <w:p w14:paraId="71F3DD67"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98</w:t>
            </w:r>
          </w:p>
        </w:tc>
      </w:tr>
      <w:tr w:rsidR="00510CAA" w14:paraId="71F3DD6C" w14:textId="77777777" w:rsidTr="00CE23BA">
        <w:trPr>
          <w:cantSplit/>
          <w:trHeight w:val="272"/>
          <w:jc w:val="center"/>
        </w:trPr>
        <w:tc>
          <w:tcPr>
            <w:tcW w:w="637" w:type="pct"/>
            <w:hideMark/>
          </w:tcPr>
          <w:p w14:paraId="71F3DD6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1" w:history="1">
              <w:r w:rsidRPr="0048403C">
                <w:rPr>
                  <w:rStyle w:val="Hyperlink"/>
                  <w:rFonts w:ascii="Arial" w:eastAsia="Arial" w:hAnsi="Arial" w:cs="Arial"/>
                  <w:color w:val="0000FF"/>
                </w:rPr>
                <w:t>Item 11.</w:t>
              </w:r>
            </w:hyperlink>
          </w:p>
        </w:tc>
        <w:tc>
          <w:tcPr>
            <w:tcW w:w="3709" w:type="pct"/>
            <w:hideMark/>
          </w:tcPr>
          <w:p w14:paraId="71F3DD6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1" w:history="1">
              <w:r w:rsidRPr="0048403C">
                <w:rPr>
                  <w:rStyle w:val="Hyperlink"/>
                  <w:rFonts w:ascii="Arial" w:eastAsia="Arial" w:hAnsi="Arial" w:cs="Arial"/>
                  <w:color w:val="0000FF"/>
                </w:rPr>
                <w:t>Quantitative and Qualitative Disclosures about Market Risk</w:t>
              </w:r>
            </w:hyperlink>
          </w:p>
        </w:tc>
        <w:tc>
          <w:tcPr>
            <w:tcW w:w="654" w:type="pct"/>
            <w:hideMark/>
          </w:tcPr>
          <w:p w14:paraId="71F3DD6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108</w:t>
            </w:r>
          </w:p>
        </w:tc>
      </w:tr>
      <w:tr w:rsidR="00510CAA" w14:paraId="71F3DD70" w14:textId="77777777" w:rsidTr="00CE23BA">
        <w:trPr>
          <w:cantSplit/>
          <w:trHeight w:val="272"/>
          <w:jc w:val="center"/>
        </w:trPr>
        <w:tc>
          <w:tcPr>
            <w:tcW w:w="637" w:type="pct"/>
            <w:hideMark/>
          </w:tcPr>
          <w:p w14:paraId="71F3DD6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2" w:history="1">
              <w:r w:rsidRPr="0048403C">
                <w:rPr>
                  <w:rStyle w:val="Hyperlink"/>
                  <w:rFonts w:ascii="Arial" w:eastAsia="Arial" w:hAnsi="Arial" w:cs="Arial"/>
                  <w:color w:val="0000FF"/>
                </w:rPr>
                <w:t>Item 12.</w:t>
              </w:r>
            </w:hyperlink>
          </w:p>
        </w:tc>
        <w:tc>
          <w:tcPr>
            <w:tcW w:w="3709" w:type="pct"/>
            <w:hideMark/>
          </w:tcPr>
          <w:p w14:paraId="71F3DD6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1_item12" w:history="1">
              <w:r w:rsidRPr="0048403C">
                <w:rPr>
                  <w:rStyle w:val="Hyperlink"/>
                  <w:rFonts w:ascii="Arial" w:eastAsia="Arial" w:hAnsi="Arial" w:cs="Arial"/>
                  <w:color w:val="0000FF"/>
                </w:rPr>
                <w:t>Description of Securities Other than Equity Securities</w:t>
              </w:r>
            </w:hyperlink>
          </w:p>
        </w:tc>
        <w:tc>
          <w:tcPr>
            <w:tcW w:w="654" w:type="pct"/>
            <w:hideMark/>
          </w:tcPr>
          <w:p w14:paraId="71F3DD6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108</w:t>
            </w:r>
          </w:p>
        </w:tc>
      </w:tr>
      <w:tr w:rsidR="00510CAA" w14:paraId="71F3DD74" w14:textId="77777777" w:rsidTr="00CE23BA">
        <w:trPr>
          <w:cantSplit/>
          <w:trHeight w:val="272"/>
          <w:jc w:val="center"/>
        </w:trPr>
        <w:tc>
          <w:tcPr>
            <w:tcW w:w="637" w:type="pct"/>
          </w:tcPr>
          <w:p w14:paraId="71F3DD71" w14:textId="77777777" w:rsidR="008F030D" w:rsidRPr="00157DBF" w:rsidRDefault="008F030D" w:rsidP="00157DBF">
            <w:pPr>
              <w:pStyle w:val="Normal0"/>
              <w:keepNext/>
              <w:spacing w:after="0" w:line="240" w:lineRule="auto"/>
              <w:rPr>
                <w:rFonts w:ascii="Arial" w:eastAsia="Arial" w:hAnsi="Arial" w:cs="Arial"/>
                <w:bdr w:val="nil"/>
              </w:rPr>
            </w:pPr>
          </w:p>
        </w:tc>
        <w:tc>
          <w:tcPr>
            <w:tcW w:w="3709" w:type="pct"/>
          </w:tcPr>
          <w:p w14:paraId="71F3DD72" w14:textId="77777777" w:rsidR="008F030D" w:rsidRPr="00157DBF" w:rsidRDefault="008F030D" w:rsidP="00157DBF">
            <w:pPr>
              <w:pStyle w:val="Normal0"/>
              <w:keepNext/>
              <w:spacing w:after="0" w:line="240" w:lineRule="auto"/>
              <w:rPr>
                <w:rFonts w:ascii="Arial" w:eastAsia="Arial" w:hAnsi="Arial" w:cs="Arial"/>
                <w:bdr w:val="nil"/>
              </w:rPr>
            </w:pPr>
          </w:p>
        </w:tc>
        <w:tc>
          <w:tcPr>
            <w:tcW w:w="654" w:type="pct"/>
          </w:tcPr>
          <w:p w14:paraId="71F3DD73" w14:textId="77777777" w:rsidR="008F030D" w:rsidRPr="00157DBF" w:rsidRDefault="008F030D" w:rsidP="00157DBF">
            <w:pPr>
              <w:pStyle w:val="Normal0"/>
              <w:keepNext/>
              <w:spacing w:after="0" w:line="240" w:lineRule="auto"/>
              <w:jc w:val="right"/>
              <w:rPr>
                <w:rFonts w:ascii="Arial" w:eastAsia="Arial" w:hAnsi="Arial" w:cs="Arial"/>
                <w:bdr w:val="nil"/>
              </w:rPr>
            </w:pPr>
          </w:p>
        </w:tc>
      </w:tr>
      <w:tr w:rsidR="00510CAA" w14:paraId="71F3DD78" w14:textId="77777777" w:rsidTr="00CE23BA">
        <w:trPr>
          <w:cantSplit/>
          <w:trHeight w:val="272"/>
          <w:jc w:val="center"/>
        </w:trPr>
        <w:tc>
          <w:tcPr>
            <w:tcW w:w="637" w:type="pct"/>
            <w:hideMark/>
          </w:tcPr>
          <w:p w14:paraId="71F3DD7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
                <w:bdr w:val="nil"/>
              </w:rPr>
            </w:pPr>
            <w:hyperlink w:anchor="part2" w:history="1">
              <w:r w:rsidRPr="0048403C">
                <w:rPr>
                  <w:rStyle w:val="Hyperlink"/>
                  <w:rFonts w:ascii="Arial" w:eastAsia="Arial" w:hAnsi="Arial" w:cs="Arial"/>
                  <w:b/>
                  <w:color w:val="0000FF"/>
                </w:rPr>
                <w:t>PART II</w:t>
              </w:r>
            </w:hyperlink>
          </w:p>
        </w:tc>
        <w:tc>
          <w:tcPr>
            <w:tcW w:w="3709" w:type="pct"/>
          </w:tcPr>
          <w:p w14:paraId="71F3DD76" w14:textId="77777777" w:rsidR="008F030D" w:rsidRPr="00157DBF" w:rsidRDefault="008F030D" w:rsidP="00157DBF">
            <w:pPr>
              <w:pStyle w:val="Normal0"/>
              <w:keepNext/>
              <w:spacing w:after="0" w:line="240" w:lineRule="auto"/>
              <w:rPr>
                <w:rFonts w:ascii="Arial" w:eastAsia="Arial" w:hAnsi="Arial" w:cs="Arial"/>
                <w:bdr w:val="nil"/>
              </w:rPr>
            </w:pPr>
          </w:p>
        </w:tc>
        <w:tc>
          <w:tcPr>
            <w:tcW w:w="654" w:type="pct"/>
          </w:tcPr>
          <w:p w14:paraId="71F3DD77" w14:textId="77777777" w:rsidR="008F030D" w:rsidRPr="00157DBF" w:rsidRDefault="008F030D" w:rsidP="00157DBF">
            <w:pPr>
              <w:pStyle w:val="Normal0"/>
              <w:keepNext/>
              <w:spacing w:after="0" w:line="240" w:lineRule="auto"/>
              <w:jc w:val="right"/>
              <w:rPr>
                <w:rFonts w:ascii="Arial" w:eastAsia="Arial" w:hAnsi="Arial" w:cs="Arial"/>
                <w:bdr w:val="nil"/>
              </w:rPr>
            </w:pPr>
          </w:p>
        </w:tc>
      </w:tr>
      <w:tr w:rsidR="00510CAA" w14:paraId="71F3DD7C" w14:textId="77777777" w:rsidTr="00CE23BA">
        <w:trPr>
          <w:cantSplit/>
          <w:trHeight w:val="256"/>
          <w:jc w:val="center"/>
        </w:trPr>
        <w:tc>
          <w:tcPr>
            <w:tcW w:w="637" w:type="pct"/>
            <w:hideMark/>
          </w:tcPr>
          <w:p w14:paraId="71F3DD7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3" w:history="1">
              <w:r w:rsidRPr="0048403C">
                <w:rPr>
                  <w:rStyle w:val="Hyperlink"/>
                  <w:rFonts w:ascii="Arial" w:eastAsia="Arial" w:hAnsi="Arial" w:cs="Arial"/>
                  <w:color w:val="0000FF"/>
                </w:rPr>
                <w:t>Item 13.</w:t>
              </w:r>
            </w:hyperlink>
          </w:p>
        </w:tc>
        <w:tc>
          <w:tcPr>
            <w:tcW w:w="3709" w:type="pct"/>
            <w:hideMark/>
          </w:tcPr>
          <w:p w14:paraId="71F3DD7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3" w:history="1">
              <w:r w:rsidRPr="0048403C">
                <w:rPr>
                  <w:rStyle w:val="Hyperlink"/>
                  <w:rFonts w:ascii="Arial" w:eastAsia="Arial" w:hAnsi="Arial" w:cs="Arial"/>
                  <w:color w:val="0000FF"/>
                </w:rPr>
                <w:t>Defaults, Dividend Arrearages and Delinquencies</w:t>
              </w:r>
            </w:hyperlink>
          </w:p>
        </w:tc>
        <w:tc>
          <w:tcPr>
            <w:tcW w:w="654" w:type="pct"/>
            <w:hideMark/>
          </w:tcPr>
          <w:p w14:paraId="71F3DD7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109</w:t>
            </w:r>
          </w:p>
        </w:tc>
      </w:tr>
      <w:tr w:rsidR="00510CAA" w14:paraId="71F3DD80" w14:textId="77777777" w:rsidTr="00CE23BA">
        <w:trPr>
          <w:cantSplit/>
          <w:trHeight w:val="272"/>
          <w:jc w:val="center"/>
        </w:trPr>
        <w:tc>
          <w:tcPr>
            <w:tcW w:w="637" w:type="pct"/>
            <w:hideMark/>
          </w:tcPr>
          <w:p w14:paraId="71F3DD7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4" w:history="1">
              <w:r w:rsidRPr="0048403C">
                <w:rPr>
                  <w:rStyle w:val="Hyperlink"/>
                  <w:rFonts w:ascii="Arial" w:eastAsia="Arial" w:hAnsi="Arial" w:cs="Arial"/>
                  <w:color w:val="0000FF"/>
                </w:rPr>
                <w:t>Item 14.</w:t>
              </w:r>
            </w:hyperlink>
          </w:p>
        </w:tc>
        <w:tc>
          <w:tcPr>
            <w:tcW w:w="3709" w:type="pct"/>
            <w:hideMark/>
          </w:tcPr>
          <w:p w14:paraId="71F3DD7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4" w:history="1">
              <w:r w:rsidRPr="0048403C">
                <w:rPr>
                  <w:rStyle w:val="Hyperlink"/>
                  <w:rFonts w:ascii="Arial" w:eastAsia="Arial" w:hAnsi="Arial" w:cs="Arial"/>
                  <w:color w:val="0000FF"/>
                </w:rPr>
                <w:t>Material Modifications to the Rights of Security Holders and Use of Proceeds</w:t>
              </w:r>
            </w:hyperlink>
          </w:p>
        </w:tc>
        <w:tc>
          <w:tcPr>
            <w:tcW w:w="654" w:type="pct"/>
            <w:hideMark/>
          </w:tcPr>
          <w:p w14:paraId="71F3DD7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109</w:t>
            </w:r>
          </w:p>
        </w:tc>
      </w:tr>
      <w:tr w:rsidR="00510CAA" w14:paraId="71F3DD84" w14:textId="77777777" w:rsidTr="00CE23BA">
        <w:trPr>
          <w:cantSplit/>
          <w:trHeight w:val="272"/>
          <w:jc w:val="center"/>
        </w:trPr>
        <w:tc>
          <w:tcPr>
            <w:tcW w:w="637" w:type="pct"/>
            <w:hideMark/>
          </w:tcPr>
          <w:p w14:paraId="71F3DD8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5" w:history="1">
              <w:r w:rsidRPr="0048403C">
                <w:rPr>
                  <w:rStyle w:val="Hyperlink"/>
                  <w:rFonts w:ascii="Arial" w:eastAsia="Arial" w:hAnsi="Arial" w:cs="Arial"/>
                  <w:color w:val="0000FF"/>
                </w:rPr>
                <w:t>Item 15.</w:t>
              </w:r>
            </w:hyperlink>
          </w:p>
        </w:tc>
        <w:tc>
          <w:tcPr>
            <w:tcW w:w="3709" w:type="pct"/>
            <w:hideMark/>
          </w:tcPr>
          <w:p w14:paraId="71F3DD8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5" w:history="1">
              <w:r w:rsidRPr="0048403C">
                <w:rPr>
                  <w:rStyle w:val="Hyperlink"/>
                  <w:rFonts w:ascii="Arial" w:eastAsia="Arial" w:hAnsi="Arial" w:cs="Arial"/>
                  <w:color w:val="0000FF"/>
                </w:rPr>
                <w:t>Controls and Procedures</w:t>
              </w:r>
            </w:hyperlink>
          </w:p>
        </w:tc>
        <w:tc>
          <w:tcPr>
            <w:tcW w:w="654" w:type="pct"/>
            <w:hideMark/>
          </w:tcPr>
          <w:p w14:paraId="71F3DD8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109</w:t>
            </w:r>
          </w:p>
        </w:tc>
      </w:tr>
      <w:tr w:rsidR="00510CAA" w14:paraId="71F3DD88" w14:textId="77777777" w:rsidTr="00CE23BA">
        <w:trPr>
          <w:cantSplit/>
          <w:trHeight w:val="272"/>
          <w:jc w:val="center"/>
        </w:trPr>
        <w:tc>
          <w:tcPr>
            <w:tcW w:w="637" w:type="pct"/>
            <w:hideMark/>
          </w:tcPr>
          <w:p w14:paraId="71F3DD8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a" w:history="1">
              <w:r w:rsidRPr="0048403C">
                <w:rPr>
                  <w:rStyle w:val="Hyperlink"/>
                  <w:rFonts w:ascii="Arial" w:eastAsia="Arial" w:hAnsi="Arial" w:cs="Arial"/>
                  <w:color w:val="0000FF"/>
                </w:rPr>
                <w:t>Item 16A.</w:t>
              </w:r>
            </w:hyperlink>
          </w:p>
        </w:tc>
        <w:tc>
          <w:tcPr>
            <w:tcW w:w="3709" w:type="pct"/>
            <w:hideMark/>
          </w:tcPr>
          <w:p w14:paraId="71F3DD86"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a" w:history="1">
              <w:r w:rsidRPr="0048403C">
                <w:rPr>
                  <w:rStyle w:val="Hyperlink"/>
                  <w:rFonts w:ascii="Arial" w:eastAsia="Arial" w:hAnsi="Arial" w:cs="Arial"/>
                  <w:color w:val="0000FF"/>
                </w:rPr>
                <w:t>Audit Committee Financial Expert</w:t>
              </w:r>
            </w:hyperlink>
          </w:p>
        </w:tc>
        <w:tc>
          <w:tcPr>
            <w:tcW w:w="654" w:type="pct"/>
            <w:hideMark/>
          </w:tcPr>
          <w:p w14:paraId="71F3DD87"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110</w:t>
            </w:r>
          </w:p>
        </w:tc>
      </w:tr>
      <w:tr w:rsidR="00510CAA" w14:paraId="71F3DD8C" w14:textId="77777777" w:rsidTr="00CE23BA">
        <w:trPr>
          <w:cantSplit/>
          <w:trHeight w:val="272"/>
          <w:jc w:val="center"/>
        </w:trPr>
        <w:tc>
          <w:tcPr>
            <w:tcW w:w="637" w:type="pct"/>
            <w:hideMark/>
          </w:tcPr>
          <w:p w14:paraId="71F3DD8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b" w:history="1">
              <w:r w:rsidRPr="0048403C">
                <w:rPr>
                  <w:rStyle w:val="Hyperlink"/>
                  <w:rFonts w:ascii="Arial" w:eastAsia="Arial" w:hAnsi="Arial" w:cs="Arial"/>
                  <w:color w:val="0000FF"/>
                </w:rPr>
                <w:t>Item 16B.</w:t>
              </w:r>
            </w:hyperlink>
          </w:p>
        </w:tc>
        <w:tc>
          <w:tcPr>
            <w:tcW w:w="3709" w:type="pct"/>
            <w:hideMark/>
          </w:tcPr>
          <w:p w14:paraId="71F3DD8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b" w:history="1">
              <w:r w:rsidRPr="0048403C">
                <w:rPr>
                  <w:rStyle w:val="Hyperlink"/>
                  <w:rFonts w:ascii="Arial" w:eastAsia="Arial" w:hAnsi="Arial" w:cs="Arial"/>
                  <w:color w:val="0000FF"/>
                </w:rPr>
                <w:t>Code of Ethics</w:t>
              </w:r>
            </w:hyperlink>
          </w:p>
        </w:tc>
        <w:tc>
          <w:tcPr>
            <w:tcW w:w="654" w:type="pct"/>
            <w:hideMark/>
          </w:tcPr>
          <w:p w14:paraId="71F3DD8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110</w:t>
            </w:r>
          </w:p>
        </w:tc>
      </w:tr>
      <w:tr w:rsidR="00510CAA" w14:paraId="71F3DD90" w14:textId="77777777" w:rsidTr="00CE23BA">
        <w:trPr>
          <w:cantSplit/>
          <w:trHeight w:val="272"/>
          <w:jc w:val="center"/>
        </w:trPr>
        <w:tc>
          <w:tcPr>
            <w:tcW w:w="637" w:type="pct"/>
            <w:hideMark/>
          </w:tcPr>
          <w:p w14:paraId="71F3DD8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c" w:history="1">
              <w:r w:rsidRPr="0048403C">
                <w:rPr>
                  <w:rStyle w:val="Hyperlink"/>
                  <w:rFonts w:ascii="Arial" w:eastAsia="Arial" w:hAnsi="Arial" w:cs="Arial"/>
                  <w:color w:val="0000FF"/>
                </w:rPr>
                <w:t>Item 16C.</w:t>
              </w:r>
            </w:hyperlink>
          </w:p>
        </w:tc>
        <w:tc>
          <w:tcPr>
            <w:tcW w:w="3709" w:type="pct"/>
            <w:hideMark/>
          </w:tcPr>
          <w:p w14:paraId="71F3DD8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c" w:history="1">
              <w:r w:rsidRPr="0048403C">
                <w:rPr>
                  <w:rStyle w:val="Hyperlink"/>
                  <w:rFonts w:ascii="Arial" w:eastAsia="Arial" w:hAnsi="Arial" w:cs="Arial"/>
                  <w:color w:val="0000FF"/>
                </w:rPr>
                <w:t>Principal Accountant Fees and Services</w:t>
              </w:r>
            </w:hyperlink>
          </w:p>
        </w:tc>
        <w:tc>
          <w:tcPr>
            <w:tcW w:w="654" w:type="pct"/>
            <w:hideMark/>
          </w:tcPr>
          <w:p w14:paraId="71F3DD8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110</w:t>
            </w:r>
          </w:p>
        </w:tc>
      </w:tr>
      <w:tr w:rsidR="00510CAA" w14:paraId="71F3DD94" w14:textId="77777777" w:rsidTr="00CE23BA">
        <w:trPr>
          <w:cantSplit/>
          <w:trHeight w:val="272"/>
          <w:jc w:val="center"/>
        </w:trPr>
        <w:tc>
          <w:tcPr>
            <w:tcW w:w="637" w:type="pct"/>
            <w:hideMark/>
          </w:tcPr>
          <w:p w14:paraId="71F3DD9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r:id="rId18" w:history="1">
              <w:r w:rsidRPr="004B1039">
                <w:rPr>
                  <w:rStyle w:val="Hyperlink"/>
                  <w:rFonts w:ascii="Arial" w:eastAsia="Arial" w:hAnsi="Arial" w:cs="Arial"/>
                  <w:color w:val="0000FF"/>
                </w:rPr>
                <w:t>Item 16D.</w:t>
              </w:r>
            </w:hyperlink>
          </w:p>
        </w:tc>
        <w:tc>
          <w:tcPr>
            <w:tcW w:w="3709" w:type="pct"/>
            <w:hideMark/>
          </w:tcPr>
          <w:p w14:paraId="71F3DD9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d" w:history="1">
              <w:r w:rsidRPr="004B1039">
                <w:rPr>
                  <w:rStyle w:val="Hyperlink"/>
                  <w:rFonts w:ascii="Arial" w:eastAsia="Arial" w:hAnsi="Arial" w:cs="Arial"/>
                  <w:color w:val="0000FF"/>
                </w:rPr>
                <w:t>Exemptions from the Listing Standards for Audit Committees</w:t>
              </w:r>
            </w:hyperlink>
          </w:p>
        </w:tc>
        <w:tc>
          <w:tcPr>
            <w:tcW w:w="654" w:type="pct"/>
            <w:hideMark/>
          </w:tcPr>
          <w:p w14:paraId="71F3DD9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111</w:t>
            </w:r>
          </w:p>
        </w:tc>
      </w:tr>
      <w:tr w:rsidR="00510CAA" w14:paraId="71F3DD98" w14:textId="77777777" w:rsidTr="00CE23BA">
        <w:trPr>
          <w:cantSplit/>
          <w:trHeight w:val="256"/>
          <w:jc w:val="center"/>
        </w:trPr>
        <w:tc>
          <w:tcPr>
            <w:tcW w:w="637" w:type="pct"/>
            <w:hideMark/>
          </w:tcPr>
          <w:p w14:paraId="71F3DD9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e" w:history="1">
              <w:r w:rsidRPr="004B1039">
                <w:rPr>
                  <w:rStyle w:val="Hyperlink"/>
                  <w:rFonts w:ascii="Arial" w:eastAsia="Arial" w:hAnsi="Arial" w:cs="Arial"/>
                  <w:color w:val="0000FF"/>
                </w:rPr>
                <w:t>Item 16E.</w:t>
              </w:r>
            </w:hyperlink>
          </w:p>
        </w:tc>
        <w:tc>
          <w:tcPr>
            <w:tcW w:w="3709" w:type="pct"/>
            <w:hideMark/>
          </w:tcPr>
          <w:p w14:paraId="71F3DD96"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e" w:history="1">
              <w:r w:rsidRPr="004B1039">
                <w:rPr>
                  <w:rStyle w:val="Hyperlink"/>
                  <w:rFonts w:ascii="Arial" w:eastAsia="Arial" w:hAnsi="Arial" w:cs="Arial"/>
                  <w:color w:val="0000FF"/>
                </w:rPr>
                <w:t>Purchases of Equity Securities by the Issuer and Affiliated Purchasers</w:t>
              </w:r>
            </w:hyperlink>
          </w:p>
        </w:tc>
        <w:tc>
          <w:tcPr>
            <w:tcW w:w="654" w:type="pct"/>
            <w:hideMark/>
          </w:tcPr>
          <w:p w14:paraId="71F3DD97"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111</w:t>
            </w:r>
          </w:p>
        </w:tc>
      </w:tr>
      <w:tr w:rsidR="00510CAA" w14:paraId="71F3DD9C" w14:textId="77777777" w:rsidTr="00CE23BA">
        <w:trPr>
          <w:cantSplit/>
          <w:trHeight w:val="272"/>
          <w:jc w:val="center"/>
        </w:trPr>
        <w:tc>
          <w:tcPr>
            <w:tcW w:w="637" w:type="pct"/>
            <w:hideMark/>
          </w:tcPr>
          <w:p w14:paraId="71F3DD9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f" w:history="1">
              <w:r w:rsidRPr="004B1039">
                <w:rPr>
                  <w:rStyle w:val="Hyperlink"/>
                  <w:rFonts w:ascii="Arial" w:eastAsia="Arial" w:hAnsi="Arial" w:cs="Arial"/>
                  <w:color w:val="0000FF"/>
                </w:rPr>
                <w:t>Item 16F.</w:t>
              </w:r>
            </w:hyperlink>
          </w:p>
        </w:tc>
        <w:tc>
          <w:tcPr>
            <w:tcW w:w="3709" w:type="pct"/>
            <w:hideMark/>
          </w:tcPr>
          <w:p w14:paraId="71F3DD9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f" w:history="1">
              <w:r w:rsidRPr="004B1039">
                <w:rPr>
                  <w:rStyle w:val="Hyperlink"/>
                  <w:rFonts w:ascii="Arial" w:eastAsia="Arial" w:hAnsi="Arial" w:cs="Arial"/>
                  <w:color w:val="0000FF"/>
                </w:rPr>
                <w:t>Change in Registrant’s Certifying Accountant</w:t>
              </w:r>
            </w:hyperlink>
          </w:p>
        </w:tc>
        <w:tc>
          <w:tcPr>
            <w:tcW w:w="654" w:type="pct"/>
            <w:hideMark/>
          </w:tcPr>
          <w:p w14:paraId="71F3DD9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111</w:t>
            </w:r>
          </w:p>
        </w:tc>
      </w:tr>
      <w:tr w:rsidR="00510CAA" w14:paraId="71F3DDA0" w14:textId="77777777" w:rsidTr="00CE23BA">
        <w:trPr>
          <w:cantSplit/>
          <w:trHeight w:val="272"/>
          <w:jc w:val="center"/>
        </w:trPr>
        <w:tc>
          <w:tcPr>
            <w:tcW w:w="637" w:type="pct"/>
            <w:hideMark/>
          </w:tcPr>
          <w:p w14:paraId="71F3DD9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g" w:history="1">
              <w:r w:rsidRPr="004B1039">
                <w:rPr>
                  <w:rStyle w:val="Hyperlink"/>
                  <w:rFonts w:ascii="Arial" w:eastAsia="Arial" w:hAnsi="Arial" w:cs="Arial"/>
                  <w:color w:val="0000FF"/>
                </w:rPr>
                <w:t>Item 16G.</w:t>
              </w:r>
            </w:hyperlink>
          </w:p>
        </w:tc>
        <w:tc>
          <w:tcPr>
            <w:tcW w:w="3709" w:type="pct"/>
            <w:hideMark/>
          </w:tcPr>
          <w:p w14:paraId="71F3DD9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g" w:history="1">
              <w:r w:rsidRPr="004B1039">
                <w:rPr>
                  <w:rStyle w:val="Hyperlink"/>
                  <w:rFonts w:ascii="Arial" w:eastAsia="Arial" w:hAnsi="Arial" w:cs="Arial"/>
                  <w:color w:val="0000FF"/>
                </w:rPr>
                <w:t>Corporate Governance</w:t>
              </w:r>
            </w:hyperlink>
          </w:p>
        </w:tc>
        <w:tc>
          <w:tcPr>
            <w:tcW w:w="654" w:type="pct"/>
            <w:hideMark/>
          </w:tcPr>
          <w:p w14:paraId="71F3DD9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112</w:t>
            </w:r>
          </w:p>
        </w:tc>
      </w:tr>
      <w:tr w:rsidR="00510CAA" w14:paraId="71F3DDA4" w14:textId="77777777" w:rsidTr="00CE23BA">
        <w:trPr>
          <w:cantSplit/>
          <w:trHeight w:val="272"/>
          <w:jc w:val="center"/>
        </w:trPr>
        <w:tc>
          <w:tcPr>
            <w:tcW w:w="637" w:type="pct"/>
            <w:hideMark/>
          </w:tcPr>
          <w:p w14:paraId="71F3DDA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h" w:history="1">
              <w:r w:rsidRPr="004B1039">
                <w:rPr>
                  <w:rStyle w:val="Hyperlink"/>
                  <w:rFonts w:ascii="Arial" w:eastAsia="Arial" w:hAnsi="Arial" w:cs="Arial"/>
                  <w:color w:val="0000FF"/>
                </w:rPr>
                <w:t>Item 16H.</w:t>
              </w:r>
            </w:hyperlink>
          </w:p>
        </w:tc>
        <w:tc>
          <w:tcPr>
            <w:tcW w:w="3709" w:type="pct"/>
            <w:hideMark/>
          </w:tcPr>
          <w:p w14:paraId="71F3DDA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h" w:history="1">
              <w:r w:rsidRPr="004B1039">
                <w:rPr>
                  <w:rStyle w:val="Hyperlink"/>
                  <w:rFonts w:ascii="Arial" w:eastAsia="Arial" w:hAnsi="Arial" w:cs="Arial"/>
                  <w:color w:val="0000FF"/>
                </w:rPr>
                <w:t>Mine Safety Disclosure</w:t>
              </w:r>
            </w:hyperlink>
          </w:p>
        </w:tc>
        <w:tc>
          <w:tcPr>
            <w:tcW w:w="654" w:type="pct"/>
            <w:hideMark/>
          </w:tcPr>
          <w:p w14:paraId="71F3DDA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113</w:t>
            </w:r>
          </w:p>
        </w:tc>
      </w:tr>
      <w:tr w:rsidR="00510CAA" w14:paraId="71F3DDA8" w14:textId="77777777" w:rsidTr="00CE23BA">
        <w:trPr>
          <w:cantSplit/>
          <w:trHeight w:val="272"/>
          <w:jc w:val="center"/>
        </w:trPr>
        <w:tc>
          <w:tcPr>
            <w:tcW w:w="637" w:type="pct"/>
            <w:hideMark/>
          </w:tcPr>
          <w:p w14:paraId="71F3DDA5" w14:textId="77777777" w:rsidR="0016795B" w:rsidRPr="00157DBF" w:rsidRDefault="0016795B" w:rsidP="004B1039">
            <w:pPr>
              <w:pStyle w:val="Normal0"/>
              <w:keepNext/>
              <w:pBdr>
                <w:top w:val="nil"/>
                <w:left w:val="nil"/>
                <w:bottom w:val="nil"/>
                <w:right w:val="nil"/>
                <w:between w:val="nil"/>
                <w:bar w:val="nil"/>
              </w:pBdr>
              <w:spacing w:after="0" w:line="240" w:lineRule="auto"/>
              <w:jc w:val="both"/>
              <w:rPr>
                <w:rFonts w:ascii="Arial" w:eastAsia="Arial" w:hAnsi="Arial" w:cs="Arial"/>
                <w:bdr w:val="nil"/>
              </w:rPr>
            </w:pPr>
            <w:hyperlink w:anchor="part2item16i" w:history="1">
              <w:r w:rsidRPr="004B1039">
                <w:rPr>
                  <w:rStyle w:val="Hyperlink"/>
                  <w:rFonts w:ascii="Arial" w:eastAsia="Arial" w:hAnsi="Arial" w:cs="Arial"/>
                  <w:color w:val="0000FF"/>
                </w:rPr>
                <w:t>Item 16I.</w:t>
              </w:r>
            </w:hyperlink>
          </w:p>
        </w:tc>
        <w:tc>
          <w:tcPr>
            <w:tcW w:w="3709" w:type="pct"/>
            <w:hideMark/>
          </w:tcPr>
          <w:p w14:paraId="71F3DDA6" w14:textId="77777777" w:rsidR="0016795B" w:rsidRPr="00157DBF" w:rsidRDefault="0016795B" w:rsidP="00FB5C96">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i" w:history="1">
              <w:r w:rsidRPr="004B1039">
                <w:rPr>
                  <w:rStyle w:val="Hyperlink"/>
                  <w:rFonts w:ascii="Arial" w:eastAsia="Arial" w:hAnsi="Arial" w:cs="Arial"/>
                  <w:color w:val="0000FF"/>
                  <w:szCs w:val="28"/>
                  <w:lang w:val="en-GB" w:bidi="en-US"/>
                </w:rPr>
                <w:t>Disclosure Regarding Foreign Jurisdictions that Prevent Inspections</w:t>
              </w:r>
            </w:hyperlink>
          </w:p>
        </w:tc>
        <w:tc>
          <w:tcPr>
            <w:tcW w:w="654" w:type="pct"/>
            <w:hideMark/>
          </w:tcPr>
          <w:p w14:paraId="71F3DDA7" w14:textId="77777777" w:rsidR="0016795B" w:rsidRPr="00157DBF" w:rsidRDefault="003A4815" w:rsidP="00FB5C96">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113</w:t>
            </w:r>
          </w:p>
        </w:tc>
      </w:tr>
      <w:tr w:rsidR="00510CAA" w14:paraId="71F3DDAC" w14:textId="77777777" w:rsidTr="00CE23BA">
        <w:trPr>
          <w:cantSplit/>
          <w:trHeight w:val="272"/>
          <w:jc w:val="center"/>
        </w:trPr>
        <w:tc>
          <w:tcPr>
            <w:tcW w:w="637" w:type="pct"/>
            <w:hideMark/>
          </w:tcPr>
          <w:p w14:paraId="71F3DDA9" w14:textId="77777777" w:rsidR="0016795B" w:rsidRPr="00157DBF" w:rsidRDefault="0016795B" w:rsidP="00FB5C96">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j" w:history="1">
              <w:r w:rsidRPr="004B1039">
                <w:rPr>
                  <w:rStyle w:val="Hyperlink"/>
                  <w:rFonts w:ascii="Arial" w:eastAsia="Arial" w:hAnsi="Arial" w:cs="Arial"/>
                  <w:color w:val="0000FF"/>
                </w:rPr>
                <w:t>Item 16J.</w:t>
              </w:r>
            </w:hyperlink>
          </w:p>
        </w:tc>
        <w:tc>
          <w:tcPr>
            <w:tcW w:w="3709" w:type="pct"/>
            <w:hideMark/>
          </w:tcPr>
          <w:p w14:paraId="71F3DDAA" w14:textId="77777777" w:rsidR="0016795B" w:rsidRPr="00157DBF" w:rsidRDefault="0016795B" w:rsidP="00FB5C96">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j" w:history="1">
              <w:r w:rsidRPr="004B1039">
                <w:rPr>
                  <w:rStyle w:val="Hyperlink"/>
                  <w:rFonts w:ascii="Arial" w:eastAsia="Arial" w:hAnsi="Arial" w:cs="Arial"/>
                  <w:color w:val="0000FF"/>
                  <w:szCs w:val="28"/>
                  <w:lang w:val="en-GB" w:bidi="en-US"/>
                </w:rPr>
                <w:t>Insider Trading Policies</w:t>
              </w:r>
            </w:hyperlink>
          </w:p>
        </w:tc>
        <w:tc>
          <w:tcPr>
            <w:tcW w:w="654" w:type="pct"/>
            <w:hideMark/>
          </w:tcPr>
          <w:p w14:paraId="71F3DDAB" w14:textId="77777777" w:rsidR="0016795B" w:rsidRPr="00157DBF" w:rsidRDefault="003A4815" w:rsidP="00FB5C96">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113</w:t>
            </w:r>
          </w:p>
        </w:tc>
      </w:tr>
      <w:tr w:rsidR="00510CAA" w14:paraId="71F3DDB0" w14:textId="77777777" w:rsidTr="00CE23BA">
        <w:trPr>
          <w:cantSplit/>
          <w:trHeight w:val="272"/>
          <w:jc w:val="center"/>
        </w:trPr>
        <w:tc>
          <w:tcPr>
            <w:tcW w:w="637" w:type="pct"/>
            <w:hideMark/>
          </w:tcPr>
          <w:p w14:paraId="71F3DDAD" w14:textId="77777777" w:rsidR="0016795B" w:rsidRPr="00157DBF" w:rsidRDefault="0016795B" w:rsidP="00FB5C96">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k" w:history="1">
              <w:r w:rsidRPr="004B1039">
                <w:rPr>
                  <w:rStyle w:val="Hyperlink"/>
                  <w:rFonts w:ascii="Arial" w:eastAsia="Arial" w:hAnsi="Arial" w:cs="Arial"/>
                  <w:color w:val="0000FF"/>
                </w:rPr>
                <w:t>Item 16K.</w:t>
              </w:r>
            </w:hyperlink>
          </w:p>
        </w:tc>
        <w:tc>
          <w:tcPr>
            <w:tcW w:w="3709" w:type="pct"/>
            <w:hideMark/>
          </w:tcPr>
          <w:p w14:paraId="71F3DDAE" w14:textId="77777777" w:rsidR="0016795B" w:rsidRPr="00157DBF" w:rsidRDefault="0016795B" w:rsidP="00FB5C96">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2item16k" w:history="1">
              <w:r w:rsidRPr="004B1039">
                <w:rPr>
                  <w:rStyle w:val="Hyperlink"/>
                  <w:rFonts w:ascii="Arial" w:eastAsia="Arial" w:hAnsi="Arial" w:cs="Arial"/>
                  <w:color w:val="0000FF"/>
                  <w:szCs w:val="28"/>
                  <w:lang w:val="en-GB" w:bidi="en-US"/>
                </w:rPr>
                <w:t>Cybersecurity</w:t>
              </w:r>
            </w:hyperlink>
          </w:p>
        </w:tc>
        <w:tc>
          <w:tcPr>
            <w:tcW w:w="654" w:type="pct"/>
            <w:hideMark/>
          </w:tcPr>
          <w:p w14:paraId="71F3DDAF" w14:textId="77777777" w:rsidR="0016795B" w:rsidRPr="00157DBF" w:rsidRDefault="003A4815" w:rsidP="00FB5C96">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113</w:t>
            </w:r>
          </w:p>
        </w:tc>
      </w:tr>
      <w:tr w:rsidR="00510CAA" w14:paraId="71F3DDB4" w14:textId="77777777" w:rsidTr="00CE23BA">
        <w:trPr>
          <w:cantSplit/>
          <w:trHeight w:val="272"/>
          <w:jc w:val="center"/>
        </w:trPr>
        <w:tc>
          <w:tcPr>
            <w:tcW w:w="637" w:type="pct"/>
          </w:tcPr>
          <w:p w14:paraId="71F3DDB1" w14:textId="77777777" w:rsidR="0016795B" w:rsidRPr="00157DBF" w:rsidRDefault="0016795B" w:rsidP="00FB5C96">
            <w:pPr>
              <w:pStyle w:val="Normal0"/>
              <w:keepNext/>
              <w:spacing w:after="0" w:line="240" w:lineRule="auto"/>
              <w:rPr>
                <w:rFonts w:ascii="Arial" w:eastAsia="Arial" w:hAnsi="Arial" w:cs="Arial"/>
                <w:bdr w:val="nil"/>
              </w:rPr>
            </w:pPr>
          </w:p>
        </w:tc>
        <w:tc>
          <w:tcPr>
            <w:tcW w:w="3709" w:type="pct"/>
          </w:tcPr>
          <w:p w14:paraId="71F3DDB2" w14:textId="77777777" w:rsidR="0016795B" w:rsidRPr="00157DBF" w:rsidRDefault="0016795B" w:rsidP="00FB5C96">
            <w:pPr>
              <w:pStyle w:val="Normal0"/>
              <w:keepNext/>
              <w:spacing w:after="0" w:line="240" w:lineRule="auto"/>
              <w:rPr>
                <w:rFonts w:ascii="Arial" w:eastAsia="Arial" w:hAnsi="Arial" w:cs="Arial"/>
                <w:bdr w:val="nil"/>
              </w:rPr>
            </w:pPr>
          </w:p>
        </w:tc>
        <w:tc>
          <w:tcPr>
            <w:tcW w:w="654" w:type="pct"/>
          </w:tcPr>
          <w:p w14:paraId="71F3DDB3" w14:textId="77777777" w:rsidR="0016795B" w:rsidRPr="00157DBF" w:rsidRDefault="0016795B" w:rsidP="00FB5C96">
            <w:pPr>
              <w:pStyle w:val="Normal0"/>
              <w:keepNext/>
              <w:spacing w:after="0" w:line="240" w:lineRule="auto"/>
              <w:jc w:val="right"/>
              <w:rPr>
                <w:rFonts w:ascii="Arial" w:eastAsia="Arial" w:hAnsi="Arial" w:cs="Arial"/>
                <w:bdr w:val="nil"/>
              </w:rPr>
            </w:pPr>
          </w:p>
        </w:tc>
      </w:tr>
      <w:tr w:rsidR="00510CAA" w14:paraId="71F3DDB8" w14:textId="77777777" w:rsidTr="00CE23BA">
        <w:trPr>
          <w:cantSplit/>
          <w:trHeight w:val="256"/>
          <w:jc w:val="center"/>
        </w:trPr>
        <w:tc>
          <w:tcPr>
            <w:tcW w:w="637" w:type="pct"/>
            <w:hideMark/>
          </w:tcPr>
          <w:p w14:paraId="71F3DDB5"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
                <w:bdr w:val="nil"/>
              </w:rPr>
            </w:pPr>
            <w:hyperlink w:anchor="part3" w:history="1">
              <w:r w:rsidRPr="004B1039">
                <w:rPr>
                  <w:rStyle w:val="Hyperlink"/>
                  <w:rFonts w:ascii="Arial" w:eastAsia="Arial" w:hAnsi="Arial" w:cs="Arial"/>
                  <w:b/>
                  <w:color w:val="0000FF"/>
                </w:rPr>
                <w:t>PART III</w:t>
              </w:r>
            </w:hyperlink>
          </w:p>
        </w:tc>
        <w:tc>
          <w:tcPr>
            <w:tcW w:w="3709" w:type="pct"/>
          </w:tcPr>
          <w:p w14:paraId="71F3DDB6" w14:textId="77777777" w:rsidR="008F030D" w:rsidRPr="00157DBF" w:rsidRDefault="008F030D" w:rsidP="00157DBF">
            <w:pPr>
              <w:pStyle w:val="Normal0"/>
              <w:keepNext/>
              <w:spacing w:after="0" w:line="240" w:lineRule="auto"/>
              <w:rPr>
                <w:rFonts w:ascii="Arial" w:eastAsia="Arial" w:hAnsi="Arial" w:cs="Arial"/>
                <w:bdr w:val="nil"/>
              </w:rPr>
            </w:pPr>
          </w:p>
        </w:tc>
        <w:tc>
          <w:tcPr>
            <w:tcW w:w="654" w:type="pct"/>
          </w:tcPr>
          <w:p w14:paraId="71F3DDB7" w14:textId="77777777" w:rsidR="008F030D" w:rsidRPr="00157DBF" w:rsidRDefault="008F030D" w:rsidP="00157DBF">
            <w:pPr>
              <w:pStyle w:val="Normal0"/>
              <w:keepNext/>
              <w:spacing w:after="0" w:line="240" w:lineRule="auto"/>
              <w:jc w:val="right"/>
              <w:rPr>
                <w:rFonts w:ascii="Arial" w:eastAsia="Arial" w:hAnsi="Arial" w:cs="Arial"/>
                <w:bdr w:val="nil"/>
              </w:rPr>
            </w:pPr>
          </w:p>
        </w:tc>
      </w:tr>
      <w:tr w:rsidR="00510CAA" w14:paraId="71F3DDBC" w14:textId="77777777" w:rsidTr="00CE23BA">
        <w:trPr>
          <w:cantSplit/>
          <w:trHeight w:val="272"/>
          <w:jc w:val="center"/>
        </w:trPr>
        <w:tc>
          <w:tcPr>
            <w:tcW w:w="637" w:type="pct"/>
            <w:hideMark/>
          </w:tcPr>
          <w:p w14:paraId="71F3DDB9"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7" w:history="1">
              <w:r w:rsidRPr="004B1039">
                <w:rPr>
                  <w:rStyle w:val="Hyperlink"/>
                  <w:rFonts w:ascii="Arial" w:eastAsia="Arial" w:hAnsi="Arial" w:cs="Arial"/>
                  <w:color w:val="0000FF"/>
                </w:rPr>
                <w:t>Item 17.</w:t>
              </w:r>
            </w:hyperlink>
          </w:p>
        </w:tc>
        <w:tc>
          <w:tcPr>
            <w:tcW w:w="3709" w:type="pct"/>
            <w:hideMark/>
          </w:tcPr>
          <w:p w14:paraId="71F3DDBA"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7" w:history="1">
              <w:r w:rsidRPr="004B1039">
                <w:rPr>
                  <w:rStyle w:val="Hyperlink"/>
                  <w:rFonts w:ascii="Arial" w:eastAsia="Arial" w:hAnsi="Arial" w:cs="Arial"/>
                  <w:color w:val="0000FF"/>
                </w:rPr>
                <w:t>Financial Statements</w:t>
              </w:r>
            </w:hyperlink>
          </w:p>
        </w:tc>
        <w:tc>
          <w:tcPr>
            <w:tcW w:w="654" w:type="pct"/>
            <w:hideMark/>
          </w:tcPr>
          <w:p w14:paraId="71F3DDBB"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116</w:t>
            </w:r>
          </w:p>
        </w:tc>
      </w:tr>
      <w:tr w:rsidR="00510CAA" w14:paraId="71F3DDC0" w14:textId="77777777" w:rsidTr="00CE23BA">
        <w:trPr>
          <w:cantSplit/>
          <w:trHeight w:val="272"/>
          <w:jc w:val="center"/>
        </w:trPr>
        <w:tc>
          <w:tcPr>
            <w:tcW w:w="637" w:type="pct"/>
            <w:hideMark/>
          </w:tcPr>
          <w:p w14:paraId="71F3DDBD"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8" w:history="1">
              <w:r w:rsidRPr="00684B88">
                <w:rPr>
                  <w:rStyle w:val="Hyperlink"/>
                  <w:rFonts w:ascii="Arial" w:eastAsia="Arial" w:hAnsi="Arial" w:cs="Arial"/>
                  <w:color w:val="0000FF"/>
                </w:rPr>
                <w:t>Item 18.</w:t>
              </w:r>
            </w:hyperlink>
          </w:p>
        </w:tc>
        <w:tc>
          <w:tcPr>
            <w:tcW w:w="3709" w:type="pct"/>
            <w:hideMark/>
          </w:tcPr>
          <w:p w14:paraId="71F3DDBE"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8" w:history="1">
              <w:r w:rsidRPr="00684B88">
                <w:rPr>
                  <w:rStyle w:val="Hyperlink"/>
                  <w:rFonts w:ascii="Arial" w:eastAsia="Arial" w:hAnsi="Arial" w:cs="Arial"/>
                  <w:color w:val="0000FF"/>
                </w:rPr>
                <w:t>Financial Statements</w:t>
              </w:r>
            </w:hyperlink>
          </w:p>
        </w:tc>
        <w:tc>
          <w:tcPr>
            <w:tcW w:w="654" w:type="pct"/>
            <w:hideMark/>
          </w:tcPr>
          <w:p w14:paraId="71F3DDBF"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116</w:t>
            </w:r>
          </w:p>
        </w:tc>
      </w:tr>
      <w:tr w:rsidR="00510CAA" w14:paraId="71F3DDC4" w14:textId="77777777" w:rsidTr="00CE23BA">
        <w:trPr>
          <w:cantSplit/>
          <w:trHeight w:val="272"/>
          <w:jc w:val="center"/>
        </w:trPr>
        <w:tc>
          <w:tcPr>
            <w:tcW w:w="637" w:type="pct"/>
            <w:hideMark/>
          </w:tcPr>
          <w:p w14:paraId="71F3DDC1"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9" w:history="1">
              <w:r w:rsidRPr="00684B88">
                <w:rPr>
                  <w:rStyle w:val="Hyperlink"/>
                  <w:rFonts w:ascii="Arial" w:eastAsia="Arial" w:hAnsi="Arial" w:cs="Arial"/>
                  <w:color w:val="0000FF"/>
                </w:rPr>
                <w:t>Item 19.</w:t>
              </w:r>
            </w:hyperlink>
          </w:p>
        </w:tc>
        <w:tc>
          <w:tcPr>
            <w:tcW w:w="3709" w:type="pct"/>
            <w:hideMark/>
          </w:tcPr>
          <w:p w14:paraId="71F3DDC2" w14:textId="77777777" w:rsidR="008F030D" w:rsidRPr="00157DBF" w:rsidRDefault="008F030D" w:rsidP="00157DBF">
            <w:pPr>
              <w:pStyle w:val="Normal0"/>
              <w:keepNext/>
              <w:pBdr>
                <w:top w:val="nil"/>
                <w:left w:val="nil"/>
                <w:bottom w:val="nil"/>
                <w:right w:val="nil"/>
                <w:between w:val="nil"/>
                <w:bar w:val="nil"/>
              </w:pBdr>
              <w:spacing w:after="0" w:line="240" w:lineRule="auto"/>
              <w:rPr>
                <w:rFonts w:ascii="Arial" w:eastAsia="Arial" w:hAnsi="Arial" w:cs="Arial"/>
                <w:bdr w:val="nil"/>
              </w:rPr>
            </w:pPr>
            <w:hyperlink w:anchor="part3item19" w:history="1">
              <w:r w:rsidRPr="00684B88">
                <w:rPr>
                  <w:rStyle w:val="Hyperlink"/>
                  <w:rFonts w:ascii="Arial" w:eastAsia="Arial" w:hAnsi="Arial" w:cs="Arial"/>
                  <w:color w:val="0000FF"/>
                </w:rPr>
                <w:t>Exhibits</w:t>
              </w:r>
            </w:hyperlink>
          </w:p>
        </w:tc>
        <w:tc>
          <w:tcPr>
            <w:tcW w:w="654" w:type="pct"/>
            <w:hideMark/>
          </w:tcPr>
          <w:p w14:paraId="71F3DDC3" w14:textId="77777777" w:rsidR="008F030D" w:rsidRPr="00157DBF" w:rsidRDefault="003A4815" w:rsidP="00157DBF">
            <w:pPr>
              <w:pStyle w:val="Normal0"/>
              <w:keepNext/>
              <w:pBdr>
                <w:top w:val="nil"/>
                <w:left w:val="nil"/>
                <w:bottom w:val="nil"/>
                <w:right w:val="nil"/>
                <w:between w:val="nil"/>
                <w:bar w:val="nil"/>
              </w:pBdr>
              <w:spacing w:after="0" w:line="240" w:lineRule="auto"/>
              <w:jc w:val="right"/>
              <w:rPr>
                <w:rFonts w:ascii="Arial" w:eastAsia="Arial" w:hAnsi="Arial" w:cs="Arial"/>
                <w:bdr w:val="nil"/>
              </w:rPr>
            </w:pPr>
            <w:r w:rsidRPr="00157DBF">
              <w:rPr>
                <w:rFonts w:ascii="Arial" w:eastAsia="Arial" w:hAnsi="Arial" w:cs="Arial"/>
              </w:rPr>
              <w:t>116</w:t>
            </w:r>
          </w:p>
        </w:tc>
      </w:tr>
    </w:tbl>
    <w:p w14:paraId="71F3DDC5" w14:textId="77777777" w:rsidR="008F030D" w:rsidRPr="00157DBF" w:rsidRDefault="008F030D" w:rsidP="00157DBF">
      <w:pPr>
        <w:pStyle w:val="Normal0"/>
        <w:pBdr>
          <w:top w:val="nil"/>
          <w:left w:val="nil"/>
          <w:bottom w:val="nil"/>
          <w:right w:val="nil"/>
          <w:between w:val="nil"/>
          <w:bar w:val="nil"/>
        </w:pBdr>
        <w:spacing w:after="0"/>
        <w:rPr>
          <w:rFonts w:ascii="Arial" w:eastAsia="Arial" w:hAnsi="Arial" w:cs="Arial"/>
          <w:bdr w:val="nil"/>
        </w:rPr>
        <w:sectPr w:rsidR="008F030D" w:rsidRPr="00157DBF" w:rsidSect="00E3089D">
          <w:headerReference w:type="even" r:id="rId19"/>
          <w:headerReference w:type="default" r:id="rId20"/>
          <w:footerReference w:type="even" r:id="rId21"/>
          <w:footerReference w:type="default" r:id="rId22"/>
          <w:headerReference w:type="first" r:id="rId23"/>
          <w:footerReference w:type="first" r:id="rId24"/>
          <w:type w:val="continuous"/>
          <w:pgSz w:w="12240" w:h="15840"/>
          <w:pgMar w:top="1134" w:right="1134" w:bottom="1134" w:left="851" w:header="720" w:footer="720" w:gutter="0"/>
          <w:pgBorders>
            <w:top w:val="nil"/>
            <w:left w:val="nil"/>
            <w:bottom w:val="nil"/>
            <w:right w:val="nil"/>
          </w:pgBorders>
          <w:cols w:space="720"/>
          <w:docGrid w:linePitch="360"/>
        </w:sectPr>
      </w:pPr>
    </w:p>
    <w:p w14:paraId="71F3DDC6" w14:textId="77777777" w:rsidR="00311A2C" w:rsidRPr="002C0B3D" w:rsidRDefault="003A4815" w:rsidP="002C0B3D">
      <w:pPr>
        <w:keepNext/>
        <w:keepLines/>
        <w:pageBreakBefore/>
        <w:pBdr>
          <w:top w:val="nil"/>
          <w:left w:val="nil"/>
          <w:bottom w:val="nil"/>
          <w:right w:val="nil"/>
          <w:between w:val="nil"/>
          <w:bar w:val="nil"/>
        </w:pBdr>
        <w:jc w:val="center"/>
        <w:rPr>
          <w:rFonts w:ascii="Arial" w:eastAsia="Arial" w:hAnsi="Arial" w:cs="Arial"/>
          <w:b/>
          <w:bdr w:val="nil"/>
          <w:lang w:val="en-US"/>
        </w:rPr>
      </w:pPr>
      <w:bookmarkStart w:id="51" w:name="forward_looking_statement"/>
      <w:bookmarkStart w:id="52" w:name="RG_MARKER_23102"/>
      <w:bookmarkStart w:id="53" w:name="RG_MARKER_23185"/>
      <w:bookmarkStart w:id="54" w:name="DTPMulti_forwardlookingstatement_title_2"/>
      <w:bookmarkEnd w:id="51"/>
      <w:r w:rsidRPr="002C0B3D">
        <w:rPr>
          <w:rFonts w:ascii="Arial" w:eastAsia="Arial" w:hAnsi="Arial" w:cs="Arial"/>
          <w:b/>
          <w:lang w:val="en-US"/>
        </w:rPr>
        <w:t>FORWARD-LOOKING STATEMENTS</w:t>
      </w:r>
      <w:bookmarkEnd w:id="52"/>
      <w:bookmarkEnd w:id="53"/>
    </w:p>
    <w:bookmarkEnd w:id="54"/>
    <w:p w14:paraId="71F3DDC7" w14:textId="77777777" w:rsidR="00311A2C" w:rsidRPr="002C0B3D" w:rsidRDefault="003A4815" w:rsidP="002C0B3D">
      <w:pPr>
        <w:keepNext/>
        <w:keepLines/>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lang w:val="en-US"/>
        </w:rPr>
        <w:t> </w:t>
      </w:r>
    </w:p>
    <w:p w14:paraId="71F3DDC8"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bookmarkStart w:id="55" w:name="DTPMulti_forwardlookingstatement_Text_b5"/>
      <w:r w:rsidRPr="002C0B3D">
        <w:rPr>
          <w:rFonts w:ascii="Arial" w:eastAsia="Arial" w:hAnsi="Arial" w:cs="Arial"/>
          <w:bdr w:val="none" w:sz="0" w:space="0" w:color="auto" w:frame="1"/>
          <w:lang w:val="en-US"/>
        </w:rPr>
        <w:t>Matters discussed in this annual report and the documents incorporated by reference may constitute forward-looking statements. The Private Securities Litigation Reform Act of 1995 provides safe harbor protections for forward-looking statements in order to encourage companies to provide prospective information about their business. Forward-looking statements include, but are not limited to, statements concerning plans, objectives, goals, strategies, future events or performance, underlying assumptions and other statements, which are other than statements of historical facts.</w:t>
      </w:r>
    </w:p>
    <w:p w14:paraId="71F3DDC9"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CA"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Diana Shipping Inc., or the Company, desires to take advantage of the safe harbor provisions of the Private Securities Litigation Reform Act of 1995 and is including this cautionary statement in connection with this safe harbor legislation.  This document and any other written or oral statements made by the Company or on its behalf may include forward-looking statements, which reflect its current views with respect to future events and financial performance, and are not intended to give any assurance as to future results. When used in this document, the words “believe”,  “anticipate,” “intends,” “estimate,” “forecast,” “project,” “plan,” “potential,” “will,” “may,” “should,” “expect,” “targets,” “likely,” “would,” “could,” “seeks,” “continue,” “possible,” “might,” “pending,” and similar expressions, terms or phrases may identify forward-looking statements.</w:t>
      </w:r>
    </w:p>
    <w:p w14:paraId="71F3DDCB"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CC"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Please note in this annual report, “we”, “us”, “our” and “the Company” all refer to Diana Shipping Inc. and its subsidiaries, unless otherwise indicated.</w:t>
      </w:r>
    </w:p>
    <w:p w14:paraId="71F3DDCD"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CE"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The forward-looking statements in this document are based upon various assumptions, many of which are based, in turn, upon further assumptions, including without limitation, management’s examination of historical operating trends, data contained in its records and other data available from third parties.  Although the Company believes that these assumptions were reasonable when made, because these assumptions are inherently subject to significant uncertainties and contingencies which are difficult or impossible to predict and are beyond its control, the Company cannot assure you that it will achieve or accomplish these expectations, beliefs or projections.</w:t>
      </w:r>
    </w:p>
    <w:p w14:paraId="71F3DDCF"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D0"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Such statements reflect the Company’s current views with respect to future events and are subject to certain risks, uncertainties and assumptions. Should one or more of these risks or uncertainties materialize, or should underlying assumptions prove incorrect, actual results may vary materially from those described herein as anticipated, believed, estimated, expected or intended. The Company is making investors aware that such forward-looking statements, because they relate to future events, are by their very nature subject to many important factors that could cause actual results to differ materially from those contemplated.</w:t>
      </w:r>
    </w:p>
    <w:p w14:paraId="71F3DDD1"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bookmarkEnd w:id="55"/>
    <w:p w14:paraId="71F3DDD2"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 xml:space="preserve">In addition to these important factors and matters discussed elsewhere herein, including under the heading "Item 3. Key Information—D. Risk Factors," and in the documents incorporated by reference herein, important factors that, in its view, could cause actual results to differ materially from those discussed in the forward-looking statements include, but are not limited to: </w:t>
      </w:r>
    </w:p>
    <w:p w14:paraId="71F3DDD3"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D4"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the strength of world economies;</w:t>
      </w:r>
    </w:p>
    <w:p w14:paraId="71F3DDD5"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D6"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fluctuations in currencies</w:t>
      </w:r>
      <w:r>
        <w:rPr>
          <w:rFonts w:ascii="Arial" w:eastAsia="Arial" w:hAnsi="Arial" w:cs="Arial"/>
          <w:bdr w:val="none" w:sz="0" w:space="0" w:color="auto" w:frame="1"/>
          <w:lang w:val="en-US"/>
        </w:rPr>
        <w:t>,</w:t>
      </w:r>
      <w:r w:rsidRPr="002C0B3D">
        <w:rPr>
          <w:rFonts w:ascii="Arial" w:eastAsia="Arial" w:hAnsi="Arial" w:cs="Arial"/>
          <w:bdr w:val="none" w:sz="0" w:space="0" w:color="auto" w:frame="1"/>
          <w:lang w:val="en-US"/>
        </w:rPr>
        <w:t xml:space="preserve"> interest rates, and </w:t>
      </w:r>
      <w:r>
        <w:rPr>
          <w:rFonts w:ascii="Arial" w:eastAsia="Arial" w:hAnsi="Arial" w:cs="Arial"/>
          <w:bdr w:val="none" w:sz="0" w:space="0" w:color="auto" w:frame="1"/>
          <w:lang w:val="en-US"/>
        </w:rPr>
        <w:t>inflationary pressures;</w:t>
      </w:r>
    </w:p>
    <w:p w14:paraId="71F3DDD7" w14:textId="77777777" w:rsidR="002C0B3D" w:rsidRPr="002C0B3D" w:rsidRDefault="002C0B3D" w:rsidP="002C0B3D">
      <w:pPr>
        <w:pStyle w:val="ListParagraph"/>
        <w:pBdr>
          <w:top w:val="nil"/>
          <w:left w:val="nil"/>
          <w:bottom w:val="nil"/>
          <w:right w:val="nil"/>
          <w:between w:val="nil"/>
          <w:bar w:val="nil"/>
        </w:pBdr>
        <w:rPr>
          <w:rFonts w:ascii="Arial" w:eastAsia="Arial" w:hAnsi="Arial" w:cs="Arial"/>
          <w:bdr w:val="nil"/>
          <w:lang w:val="en-US"/>
        </w:rPr>
      </w:pPr>
    </w:p>
    <w:p w14:paraId="71F3DDD8"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general market conditions, including fluctuations in charter hire rates and vessel values;</w:t>
      </w:r>
    </w:p>
    <w:p w14:paraId="71F3DDD9"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DA"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changes in demand in the dry-bulk shipping industry;</w:t>
      </w:r>
    </w:p>
    <w:p w14:paraId="71F3DDDB"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DC"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changes in the supply of vessels, including when caused by new newbuilding vessel orders or changes to or terminations of existing orders, and vessel scrapping levels;</w:t>
      </w:r>
    </w:p>
    <w:p w14:paraId="71F3DDDD"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DE"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changes in the Company's operating expenses, including bunker prices, crew costs, drydocking and insurance costs;</w:t>
      </w:r>
    </w:p>
    <w:p w14:paraId="71F3DDDF"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0"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bookmarkStart w:id="56" w:name="_cp_text_1_161"/>
      <w:bookmarkStart w:id="57" w:name="_cp_blt_2_162"/>
      <w:bookmarkEnd w:id="56"/>
      <w:bookmarkEnd w:id="57"/>
      <w:r w:rsidRPr="002C0B3D">
        <w:rPr>
          <w:rFonts w:ascii="Arial" w:eastAsia="Arial" w:hAnsi="Arial" w:cs="Arial"/>
          <w:bdr w:val="none" w:sz="0" w:space="0" w:color="auto" w:frame="1"/>
          <w:lang w:val="en-US"/>
        </w:rPr>
        <w:t>the Company’s future operating or financial results;</w:t>
      </w:r>
    </w:p>
    <w:p w14:paraId="71F3DDE1"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2"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availability of financing and refinancing and changes to the Company’s financial condition and liquidity, including the Company’s ability to pay amounts that it owes and obtain additional financing to fund capital expenditures, acquisitions and other general corporate activities and the Company’s ability to obtain financing and comply with the restrictions and other covenants in the Company’s financing arrangements;</w:t>
      </w:r>
    </w:p>
    <w:p w14:paraId="71F3DDE3"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4"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changes in governmental rules and regulations or actions taken by regulatory authorities;</w:t>
      </w:r>
    </w:p>
    <w:p w14:paraId="71F3DDE5"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6"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potential liability from pending or future litigation;</w:t>
      </w:r>
    </w:p>
    <w:p w14:paraId="71F3DDE7"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8"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compliance with governmental, tax, environmental and safety regulation, any non-compliance with the U.S. Foreign Corrupt Practices Act of 1977 (FCPA) or other applicable regulations relating to bribery;</w:t>
      </w:r>
    </w:p>
    <w:p w14:paraId="71F3DDE9"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A"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the failure of counter</w:t>
      </w:r>
      <w:r>
        <w:rPr>
          <w:rFonts w:ascii="Arial" w:eastAsia="Arial" w:hAnsi="Arial" w:cs="Arial"/>
          <w:bdr w:val="none" w:sz="0" w:space="0" w:color="auto" w:frame="1"/>
          <w:lang w:val="en-US"/>
        </w:rPr>
        <w:t>-</w:t>
      </w:r>
      <w:r w:rsidRPr="002C0B3D">
        <w:rPr>
          <w:rFonts w:ascii="Arial" w:eastAsia="Arial" w:hAnsi="Arial" w:cs="Arial"/>
          <w:bdr w:val="none" w:sz="0" w:space="0" w:color="auto" w:frame="1"/>
          <w:lang w:val="en-US"/>
        </w:rPr>
        <w:t>parties to fully perform their contracts with the Company;</w:t>
      </w:r>
    </w:p>
    <w:p w14:paraId="71F3DDEB"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C"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the Company’s dependence on key personnel;</w:t>
      </w:r>
    </w:p>
    <w:p w14:paraId="71F3DDED"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EE" w14:textId="77777777" w:rsidR="002D1AC0" w:rsidRPr="002C0B3D"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adequacy of insurance coverage;</w:t>
      </w:r>
    </w:p>
    <w:p w14:paraId="71F3DDEF"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rPr>
      </w:pPr>
    </w:p>
    <w:p w14:paraId="71F3DDF0"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the volatility of the price of the Company’s common shares;</w:t>
      </w:r>
    </w:p>
    <w:p w14:paraId="71F3DDF1"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2"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the Company’s incorporation under the laws of the Marshall Islands and the different rights to relief that may be available compared to other countries, including the United States;</w:t>
      </w:r>
    </w:p>
    <w:p w14:paraId="71F3DDF3"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4" w14:textId="77777777" w:rsidR="002D1AC0"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general domestic and international political conditions or labor disruptions;</w:t>
      </w:r>
    </w:p>
    <w:p w14:paraId="71F3DDF5"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6" w14:textId="77777777" w:rsidR="002D1AC0" w:rsidRPr="002C0B3D" w:rsidRDefault="003A4815" w:rsidP="002C0B3D">
      <w:pPr>
        <w:numPr>
          <w:ilvl w:val="0"/>
          <w:numId w:val="1"/>
        </w:numPr>
        <w:pBdr>
          <w:top w:val="nil"/>
          <w:left w:val="nil"/>
          <w:bottom w:val="nil"/>
          <w:right w:val="nil"/>
          <w:between w:val="nil"/>
          <w:bar w:val="nil"/>
        </w:pBdr>
        <w:ind w:left="714" w:hanging="357"/>
        <w:jc w:val="both"/>
        <w:rPr>
          <w:rFonts w:ascii="Arial" w:eastAsia="Arial" w:hAnsi="Arial" w:cs="Arial"/>
          <w:bdr w:val="nil"/>
          <w:lang w:val="en-US"/>
        </w:rPr>
      </w:pPr>
      <w:r w:rsidRPr="002C0B3D">
        <w:rPr>
          <w:rFonts w:ascii="Arial" w:eastAsia="Arial" w:hAnsi="Arial" w:cs="Arial"/>
          <w:bdr w:val="none" w:sz="0" w:space="0" w:color="auto" w:frame="1"/>
          <w:lang w:val="en-US"/>
        </w:rPr>
        <w:t>the impact of port or canal congestion or disruptions;</w:t>
      </w:r>
    </w:p>
    <w:p w14:paraId="71F3DDF7"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8" w14:textId="77777777" w:rsidR="003B6F34" w:rsidRDefault="003A4815" w:rsidP="003B6F34">
      <w:pPr>
        <w:pStyle w:val="ListParagraph"/>
        <w:numPr>
          <w:ilvl w:val="0"/>
          <w:numId w:val="2"/>
        </w:numPr>
        <w:pBdr>
          <w:top w:val="nil"/>
          <w:left w:val="nil"/>
          <w:bottom w:val="nil"/>
          <w:right w:val="nil"/>
          <w:between w:val="nil"/>
          <w:bar w:val="nil"/>
        </w:pBdr>
        <w:ind w:left="714" w:hanging="357"/>
        <w:jc w:val="both"/>
        <w:rPr>
          <w:rFonts w:ascii="Arial" w:eastAsia="Arial" w:hAnsi="Arial" w:cs="Arial"/>
          <w:bdr w:val="nil"/>
          <w:lang w:val="en-US"/>
        </w:rPr>
      </w:pPr>
      <w:r>
        <w:rPr>
          <w:rFonts w:ascii="Arial" w:eastAsia="Arial" w:hAnsi="Arial" w:cs="Arial"/>
          <w:lang w:val="en-US"/>
        </w:rPr>
        <w:t>global or regional pandemics and its impact in the dry-bulk shipping industry;</w:t>
      </w:r>
    </w:p>
    <w:p w14:paraId="71F3DDF9"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A" w14:textId="77777777" w:rsidR="003225FF"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bookmarkStart w:id="58" w:name="_cp_text_1_328"/>
      <w:bookmarkStart w:id="59" w:name="_cp_text_1_330"/>
      <w:bookmarkEnd w:id="58"/>
      <w:bookmarkEnd w:id="59"/>
      <w:r w:rsidRPr="002C0B3D">
        <w:rPr>
          <w:rFonts w:ascii="Arial" w:eastAsia="Arial" w:hAnsi="Arial" w:cs="Arial"/>
          <w:bdr w:val="none" w:sz="0" w:space="0" w:color="auto" w:frame="1"/>
          <w:lang w:val="en-US"/>
        </w:rPr>
        <w:t>potential physical disruption of shipping routes due to accidents, climate-related reasons (acute and chronic), political events, public health threats, international hostilities and instability, piracy or acts by terrorists; and</w:t>
      </w:r>
    </w:p>
    <w:p w14:paraId="71F3DDFB" w14:textId="77777777" w:rsidR="002C0B3D" w:rsidRPr="002C0B3D" w:rsidRDefault="002C0B3D" w:rsidP="002C0B3D">
      <w:pPr>
        <w:pBdr>
          <w:top w:val="nil"/>
          <w:left w:val="nil"/>
          <w:bottom w:val="nil"/>
          <w:right w:val="nil"/>
          <w:between w:val="nil"/>
          <w:bar w:val="nil"/>
        </w:pBdr>
        <w:ind w:left="357"/>
        <w:jc w:val="both"/>
        <w:rPr>
          <w:rFonts w:ascii="Arial" w:eastAsia="Arial" w:hAnsi="Arial" w:cs="Arial"/>
          <w:bdr w:val="nil"/>
          <w:lang w:val="en-US"/>
        </w:rPr>
      </w:pPr>
    </w:p>
    <w:p w14:paraId="71F3DDFC" w14:textId="77777777" w:rsidR="002D1AC0" w:rsidRPr="002C0B3D" w:rsidRDefault="003A4815" w:rsidP="002C0B3D">
      <w:pPr>
        <w:pStyle w:val="ListParagraph"/>
        <w:numPr>
          <w:ilvl w:val="0"/>
          <w:numId w:val="1"/>
        </w:numPr>
        <w:pBdr>
          <w:top w:val="nil"/>
          <w:left w:val="nil"/>
          <w:bottom w:val="nil"/>
          <w:right w:val="nil"/>
          <w:between w:val="nil"/>
          <w:bar w:val="nil"/>
        </w:pBdr>
        <w:ind w:left="714" w:hanging="357"/>
        <w:contextualSpacing w:val="0"/>
        <w:jc w:val="both"/>
        <w:rPr>
          <w:rFonts w:ascii="Arial" w:eastAsia="Arial" w:hAnsi="Arial" w:cs="Arial"/>
          <w:bdr w:val="nil"/>
          <w:lang w:val="en-US"/>
        </w:rPr>
      </w:pPr>
      <w:r w:rsidRPr="002C0B3D">
        <w:rPr>
          <w:rFonts w:ascii="Arial" w:eastAsia="Arial" w:hAnsi="Arial" w:cs="Arial"/>
          <w:bdr w:val="none" w:sz="0" w:space="0" w:color="auto" w:frame="1"/>
          <w:lang w:val="en-US"/>
        </w:rPr>
        <w:t>other important factors described from time to time in the reports filed by the Company with the Securities and Exchange Commission, or the SEC, including those factors discussed in “Item 3. Key Information- D. Risk Factors” in this Annual Report on Form 20-F and the New York Stock Exchange, or the NYSE.</w:t>
      </w:r>
    </w:p>
    <w:p w14:paraId="71F3DDFD" w14:textId="77777777" w:rsidR="002D1AC0" w:rsidRPr="002C0B3D" w:rsidRDefault="002D1AC0" w:rsidP="002C0B3D">
      <w:pPr>
        <w:pBdr>
          <w:top w:val="nil"/>
          <w:left w:val="nil"/>
          <w:bottom w:val="nil"/>
          <w:right w:val="nil"/>
          <w:between w:val="nil"/>
          <w:bar w:val="nil"/>
        </w:pBdr>
        <w:jc w:val="both"/>
        <w:rPr>
          <w:rFonts w:ascii="Arial" w:eastAsia="Arial" w:hAnsi="Arial" w:cs="Arial"/>
          <w:bdr w:val="nil"/>
          <w:lang w:val="en-US"/>
        </w:rPr>
      </w:pPr>
    </w:p>
    <w:p w14:paraId="71F3DDFE" w14:textId="77777777" w:rsidR="002D1AC0" w:rsidRPr="002C0B3D" w:rsidRDefault="003A4815" w:rsidP="002C0B3D">
      <w:pPr>
        <w:pBdr>
          <w:top w:val="nil"/>
          <w:left w:val="nil"/>
          <w:bottom w:val="nil"/>
          <w:right w:val="nil"/>
          <w:between w:val="nil"/>
          <w:bar w:val="nil"/>
        </w:pBdr>
        <w:jc w:val="both"/>
        <w:rPr>
          <w:rFonts w:ascii="Arial" w:eastAsia="Arial" w:hAnsi="Arial" w:cs="Arial"/>
          <w:bdr w:val="nil"/>
          <w:lang w:val="en-US"/>
        </w:rPr>
      </w:pPr>
      <w:r w:rsidRPr="002C0B3D">
        <w:rPr>
          <w:rFonts w:ascii="Arial" w:eastAsia="Arial" w:hAnsi="Arial" w:cs="Arial"/>
          <w:bdr w:val="none" w:sz="0" w:space="0" w:color="auto" w:frame="1"/>
          <w:lang w:val="en-US"/>
        </w:rPr>
        <w:t>This report may contain assumptions, expectations, projections, intentions and beliefs about future events. These statements are intended as forward-looking statements. The Company may also from time to time make forward- looking statements in other documents and reports that are filed with or submitted to the Commission, in other information sent to the Company’s security holders, and in other written materials. The Company also cautions that assumptions, expectations, projections, intentions and beliefs about future events may and often do vary from actual results and the differences can be material. The Company undertakes no obligation to publicly update or revise any forward-looking statement contained in this report, whether as a result of new information, future events or otherwise, except as required by law.</w:t>
      </w:r>
    </w:p>
    <w:p w14:paraId="71F3DDFF" w14:textId="77777777" w:rsidR="000371F4" w:rsidRPr="00043969" w:rsidRDefault="003A4815" w:rsidP="00DA685D">
      <w:pPr>
        <w:pStyle w:val="Title"/>
        <w:keepNext/>
        <w:keepLines/>
        <w:pageBreakBefore/>
        <w:pBdr>
          <w:top w:val="nil"/>
          <w:left w:val="nil"/>
          <w:bottom w:val="nil"/>
          <w:right w:val="nil"/>
          <w:between w:val="nil"/>
          <w:bar w:val="nil"/>
        </w:pBdr>
        <w:spacing w:after="240" w:line="240" w:lineRule="auto"/>
        <w:rPr>
          <w:rFonts w:ascii="Arial" w:eastAsia="Arial" w:hAnsi="Arial" w:cs="Arial"/>
          <w:bdr w:val="nil"/>
        </w:rPr>
      </w:pPr>
      <w:bookmarkStart w:id="60" w:name="part_1"/>
      <w:bookmarkStart w:id="61" w:name="RG_MARKER_22960"/>
      <w:bookmarkStart w:id="62" w:name="RG_MARKER_23186"/>
      <w:bookmarkEnd w:id="60"/>
      <w:r w:rsidRPr="00043969">
        <w:rPr>
          <w:rFonts w:ascii="Arial" w:eastAsia="Arial" w:hAnsi="Arial" w:cs="Arial"/>
          <w:sz w:val="32"/>
        </w:rPr>
        <w:t>PART I</w:t>
      </w:r>
      <w:bookmarkEnd w:id="61"/>
      <w:bookmarkEnd w:id="62"/>
    </w:p>
    <w:p w14:paraId="71F3DE00"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DE01" w14:textId="77777777" w:rsidR="00860748" w:rsidRPr="003421E0" w:rsidRDefault="003A4815" w:rsidP="00717B99">
      <w:pPr>
        <w:pStyle w:val="Heading1"/>
        <w:keepLines/>
        <w:pBdr>
          <w:top w:val="nil"/>
          <w:left w:val="nil"/>
          <w:bottom w:val="nil"/>
          <w:right w:val="nil"/>
          <w:between w:val="nil"/>
          <w:bar w:val="nil"/>
        </w:pBdr>
        <w:rPr>
          <w:rFonts w:ascii="Arial" w:eastAsia="Arial" w:hAnsi="Arial" w:cs="Arial"/>
          <w:szCs w:val="28"/>
          <w:bdr w:val="nil"/>
        </w:rPr>
      </w:pPr>
      <w:bookmarkStart w:id="63" w:name="part1_item1"/>
      <w:bookmarkStart w:id="64" w:name="RG_MARKER_22959"/>
      <w:bookmarkStart w:id="65" w:name="RG_MARKER_23187"/>
      <w:bookmarkEnd w:id="63"/>
      <w:r w:rsidRPr="003421E0">
        <w:rPr>
          <w:rFonts w:ascii="Arial" w:eastAsia="Arial" w:hAnsi="Arial" w:cs="Arial"/>
          <w:szCs w:val="28"/>
        </w:rPr>
        <w:t>Item 1.</w:t>
      </w:r>
      <w:bookmarkEnd w:id="64"/>
      <w:bookmarkEnd w:id="65"/>
      <w:r w:rsidRPr="003421E0">
        <w:rPr>
          <w:rFonts w:ascii="Arial" w:eastAsia="Arial" w:hAnsi="Arial" w:cs="Arial"/>
          <w:szCs w:val="28"/>
        </w:rPr>
        <w:tab/>
        <w:t>Identity of Directors, Senior Management and Advisers</w:t>
      </w:r>
    </w:p>
    <w:p w14:paraId="71F3DE02" w14:textId="77777777" w:rsidR="00860748" w:rsidRPr="008F7C67" w:rsidRDefault="003A4815" w:rsidP="00717B99">
      <w:pPr>
        <w:keepNext/>
        <w:keepLines/>
        <w:pBdr>
          <w:top w:val="nil"/>
          <w:left w:val="nil"/>
          <w:bottom w:val="nil"/>
          <w:right w:val="nil"/>
          <w:between w:val="nil"/>
          <w:bar w:val="nil"/>
        </w:pBdr>
        <w:jc w:val="both"/>
        <w:rPr>
          <w:rFonts w:ascii="Arial" w:eastAsia="Arial" w:hAnsi="Arial" w:cs="Arial"/>
          <w:bdr w:val="nil"/>
          <w:lang w:val="en-US"/>
        </w:rPr>
      </w:pPr>
      <w:r w:rsidRPr="008F7C67">
        <w:rPr>
          <w:rFonts w:ascii="Arial" w:eastAsia="Arial" w:hAnsi="Arial" w:cs="Arial"/>
          <w:bCs/>
          <w:color w:val="000000"/>
          <w:lang w:val="en-US"/>
        </w:rPr>
        <w:t> </w:t>
      </w:r>
    </w:p>
    <w:p w14:paraId="71F3DE03" w14:textId="77777777" w:rsidR="00860748" w:rsidRPr="008F7C67" w:rsidRDefault="003A4815" w:rsidP="00860748">
      <w:pPr>
        <w:pBdr>
          <w:top w:val="nil"/>
          <w:left w:val="nil"/>
          <w:bottom w:val="nil"/>
          <w:right w:val="nil"/>
          <w:between w:val="nil"/>
          <w:bar w:val="nil"/>
        </w:pBdr>
        <w:jc w:val="both"/>
        <w:rPr>
          <w:rFonts w:ascii="Arial" w:eastAsia="Arial" w:hAnsi="Arial" w:cs="Arial"/>
          <w:bdr w:val="nil"/>
          <w:lang w:val="en-US"/>
        </w:rPr>
      </w:pPr>
      <w:r w:rsidRPr="008F7C67">
        <w:rPr>
          <w:rFonts w:ascii="Arial" w:eastAsia="Arial" w:hAnsi="Arial" w:cs="Arial"/>
          <w:bCs/>
          <w:color w:val="000000"/>
          <w:lang w:val="en-US"/>
        </w:rPr>
        <w:t>Not Applicable.</w:t>
      </w:r>
    </w:p>
    <w:p w14:paraId="71F3DE04" w14:textId="77777777" w:rsidR="00510CAA" w:rsidRPr="00043969" w:rsidRDefault="00510CAA">
      <w:pPr>
        <w:pBdr>
          <w:top w:val="nil"/>
          <w:left w:val="nil"/>
          <w:bottom w:val="nil"/>
          <w:right w:val="nil"/>
          <w:between w:val="nil"/>
          <w:bar w:val="nil"/>
        </w:pBdr>
        <w:jc w:val="both"/>
        <w:rPr>
          <w:rFonts w:ascii="Arial" w:eastAsia="Arial" w:hAnsi="Arial" w:cs="Arial"/>
          <w:bdr w:val="nil"/>
          <w:lang w:val="en-US"/>
        </w:rPr>
      </w:pPr>
    </w:p>
    <w:p w14:paraId="71F3DE05" w14:textId="77777777" w:rsidR="00240B65" w:rsidRPr="00EF4380" w:rsidRDefault="003A4815" w:rsidP="00B246B8">
      <w:pPr>
        <w:pStyle w:val="Heading1"/>
        <w:keepLines/>
        <w:pBdr>
          <w:top w:val="nil"/>
          <w:left w:val="nil"/>
          <w:bottom w:val="nil"/>
          <w:right w:val="nil"/>
          <w:between w:val="nil"/>
          <w:bar w:val="nil"/>
        </w:pBdr>
        <w:rPr>
          <w:rFonts w:ascii="Arial" w:eastAsia="Arial" w:hAnsi="Arial" w:cs="Arial"/>
          <w:color w:val="auto"/>
          <w:szCs w:val="28"/>
          <w:bdr w:val="nil"/>
        </w:rPr>
      </w:pPr>
      <w:bookmarkStart w:id="66" w:name="part1_item2"/>
      <w:bookmarkStart w:id="67" w:name="RG_MARKER_22961"/>
      <w:bookmarkStart w:id="68" w:name="RG_MARKER_23188"/>
      <w:bookmarkEnd w:id="66"/>
      <w:r w:rsidRPr="00EF4380">
        <w:rPr>
          <w:rFonts w:ascii="Arial" w:eastAsia="Arial" w:hAnsi="Arial" w:cs="Arial"/>
          <w:color w:val="auto"/>
          <w:szCs w:val="28"/>
        </w:rPr>
        <w:t>Item 2.</w:t>
      </w:r>
      <w:bookmarkEnd w:id="67"/>
      <w:bookmarkEnd w:id="68"/>
      <w:r w:rsidRPr="00EF4380">
        <w:rPr>
          <w:rFonts w:ascii="Arial" w:eastAsia="Arial" w:hAnsi="Arial" w:cs="Arial"/>
          <w:color w:val="auto"/>
          <w:szCs w:val="28"/>
        </w:rPr>
        <w:tab/>
        <w:t>Offer Statistics and Expected Timetable</w:t>
      </w:r>
    </w:p>
    <w:p w14:paraId="71F3DE06" w14:textId="77777777" w:rsidR="000E6E26" w:rsidRPr="00B629E5" w:rsidRDefault="000E6E26" w:rsidP="00B246B8">
      <w:pPr>
        <w:keepNext/>
        <w:keepLines/>
        <w:pBdr>
          <w:top w:val="nil"/>
          <w:left w:val="nil"/>
          <w:bottom w:val="nil"/>
          <w:right w:val="nil"/>
          <w:between w:val="nil"/>
          <w:bar w:val="nil"/>
        </w:pBdr>
        <w:jc w:val="both"/>
        <w:rPr>
          <w:rFonts w:ascii="Arial" w:eastAsia="Arial" w:hAnsi="Arial" w:cs="Arial"/>
          <w:bdr w:val="nil"/>
          <w:lang w:val="en-US"/>
        </w:rPr>
      </w:pPr>
    </w:p>
    <w:p w14:paraId="71F3DE07" w14:textId="77777777" w:rsidR="00240B65" w:rsidRPr="00B629E5" w:rsidRDefault="003A4815" w:rsidP="00346B2C">
      <w:pPr>
        <w:pBdr>
          <w:top w:val="nil"/>
          <w:left w:val="nil"/>
          <w:bottom w:val="nil"/>
          <w:right w:val="nil"/>
          <w:between w:val="nil"/>
          <w:bar w:val="nil"/>
        </w:pBdr>
        <w:jc w:val="both"/>
        <w:rPr>
          <w:rFonts w:ascii="Arial" w:eastAsia="Arial" w:hAnsi="Arial" w:cs="Arial"/>
          <w:bdr w:val="nil"/>
          <w:lang w:val="en-US"/>
        </w:rPr>
      </w:pPr>
      <w:r w:rsidRPr="00B629E5">
        <w:rPr>
          <w:rFonts w:ascii="Arial" w:eastAsia="Arial" w:hAnsi="Arial" w:cs="Arial"/>
          <w:lang w:val="en-US"/>
        </w:rPr>
        <w:t>Not Applicable.</w:t>
      </w:r>
    </w:p>
    <w:p w14:paraId="71F3DE08"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DE09" w14:textId="77777777" w:rsidR="00D32B97" w:rsidRPr="00973F49" w:rsidRDefault="003A4815" w:rsidP="00E50EB0">
      <w:pPr>
        <w:pStyle w:val="Heading1"/>
        <w:keepLines/>
        <w:pBdr>
          <w:top w:val="nil"/>
          <w:left w:val="nil"/>
          <w:bottom w:val="nil"/>
          <w:right w:val="nil"/>
          <w:between w:val="nil"/>
          <w:bar w:val="nil"/>
        </w:pBdr>
        <w:jc w:val="both"/>
        <w:rPr>
          <w:rFonts w:ascii="Arial" w:eastAsia="Arial" w:hAnsi="Arial" w:cs="Arial"/>
          <w:bdr w:val="nil"/>
        </w:rPr>
      </w:pPr>
      <w:bookmarkStart w:id="69" w:name="part1_item3"/>
      <w:bookmarkStart w:id="70" w:name="RG_MARKER_22974"/>
      <w:bookmarkStart w:id="71" w:name="RG_MARKER_23189"/>
      <w:bookmarkEnd w:id="69"/>
      <w:r w:rsidRPr="00973F49">
        <w:rPr>
          <w:rFonts w:ascii="Arial" w:eastAsia="Arial" w:hAnsi="Arial" w:cs="Arial"/>
        </w:rPr>
        <w:t>Item 3.</w:t>
      </w:r>
      <w:bookmarkEnd w:id="70"/>
      <w:bookmarkEnd w:id="71"/>
      <w:r w:rsidRPr="00973F49">
        <w:rPr>
          <w:rFonts w:ascii="Arial" w:eastAsia="Arial" w:hAnsi="Arial" w:cs="Arial"/>
        </w:rPr>
        <w:tab/>
        <w:t>Key Information</w:t>
      </w:r>
    </w:p>
    <w:p w14:paraId="71F3DE0A" w14:textId="77777777" w:rsidR="008C0304" w:rsidRPr="00973F49" w:rsidRDefault="008C0304" w:rsidP="00E50EB0">
      <w:pPr>
        <w:keepNext/>
        <w:keepLines/>
        <w:pBdr>
          <w:top w:val="nil"/>
          <w:left w:val="nil"/>
          <w:bottom w:val="nil"/>
          <w:right w:val="nil"/>
          <w:between w:val="nil"/>
          <w:bar w:val="nil"/>
        </w:pBdr>
        <w:jc w:val="both"/>
        <w:rPr>
          <w:rFonts w:ascii="Arial" w:eastAsia="Arial" w:hAnsi="Arial" w:cs="Arial"/>
          <w:bdr w:val="nil"/>
          <w:lang w:val="en-US"/>
        </w:rPr>
      </w:pPr>
    </w:p>
    <w:p w14:paraId="71F3DE0B" w14:textId="77777777" w:rsidR="00EC744F" w:rsidRPr="00973F49" w:rsidRDefault="003A4815" w:rsidP="005B2709">
      <w:pPr>
        <w:pStyle w:val="Heading2"/>
        <w:keepLines/>
        <w:pBdr>
          <w:top w:val="nil"/>
          <w:left w:val="nil"/>
          <w:bottom w:val="nil"/>
          <w:right w:val="nil"/>
          <w:between w:val="nil"/>
          <w:bar w:val="nil"/>
        </w:pBdr>
        <w:tabs>
          <w:tab w:val="left" w:pos="720"/>
          <w:tab w:val="left" w:pos="1440"/>
          <w:tab w:val="left" w:pos="2160"/>
          <w:tab w:val="left" w:pos="2880"/>
          <w:tab w:val="left" w:pos="3600"/>
          <w:tab w:val="left" w:pos="4612"/>
        </w:tabs>
        <w:spacing w:line="276" w:lineRule="auto"/>
        <w:ind w:left="357" w:firstLine="357"/>
        <w:rPr>
          <w:rFonts w:ascii="Arial" w:eastAsia="Arial" w:hAnsi="Arial" w:cs="Arial"/>
          <w:bdr w:val="nil"/>
        </w:rPr>
      </w:pPr>
      <w:r w:rsidRPr="00973F49">
        <w:rPr>
          <w:rFonts w:ascii="Arial" w:eastAsia="Arial" w:hAnsi="Arial" w:cs="Arial"/>
          <w:szCs w:val="22"/>
        </w:rPr>
        <w:t>A.</w:t>
      </w:r>
      <w:r w:rsidRPr="00973F49">
        <w:rPr>
          <w:rFonts w:ascii="Arial" w:eastAsia="Arial" w:hAnsi="Arial" w:cs="Arial"/>
          <w:szCs w:val="22"/>
        </w:rPr>
        <w:tab/>
        <w:t> </w:t>
      </w:r>
      <w:r>
        <w:rPr>
          <w:rFonts w:ascii="Arial" w:eastAsia="Arial" w:hAnsi="Arial" w:cs="Arial"/>
          <w:szCs w:val="22"/>
        </w:rPr>
        <w:t>[Reserved]</w:t>
      </w:r>
      <w:r w:rsidRPr="00973F49">
        <w:rPr>
          <w:rFonts w:ascii="Arial" w:eastAsia="Arial" w:hAnsi="Arial" w:cs="Arial"/>
          <w:szCs w:val="22"/>
        </w:rPr>
        <w:t> </w:t>
      </w:r>
    </w:p>
    <w:p w14:paraId="71F3DE0C" w14:textId="77777777" w:rsidR="00510CAA" w:rsidRDefault="00510CAA">
      <w:pPr>
        <w:pBdr>
          <w:top w:val="nil"/>
          <w:left w:val="nil"/>
          <w:bottom w:val="nil"/>
          <w:right w:val="nil"/>
          <w:between w:val="nil"/>
          <w:bar w:val="nil"/>
        </w:pBdr>
        <w:rPr>
          <w:rFonts w:ascii="Arial" w:eastAsia="Arial" w:hAnsi="Arial" w:cs="Arial"/>
          <w:bdr w:val="nil"/>
        </w:rPr>
      </w:pPr>
    </w:p>
    <w:p w14:paraId="71F3DE0D" w14:textId="77777777" w:rsidR="005E7732" w:rsidRPr="001717DA" w:rsidRDefault="003A4815" w:rsidP="00E10F0B">
      <w:pPr>
        <w:pStyle w:val="Heading2"/>
        <w:keepLines/>
        <w:pBdr>
          <w:top w:val="nil"/>
          <w:left w:val="nil"/>
          <w:bottom w:val="nil"/>
          <w:right w:val="nil"/>
          <w:between w:val="nil"/>
          <w:bar w:val="nil"/>
        </w:pBdr>
        <w:ind w:left="357" w:firstLine="357"/>
        <w:rPr>
          <w:rFonts w:ascii="Arial" w:eastAsia="Arial" w:hAnsi="Arial" w:cs="Arial"/>
          <w:color w:val="auto"/>
          <w:szCs w:val="24"/>
          <w:bdr w:val="nil"/>
          <w:lang w:val="en-GB"/>
        </w:rPr>
      </w:pPr>
      <w:bookmarkStart w:id="72" w:name="RG_MARKER_23044"/>
      <w:r w:rsidRPr="001717DA">
        <w:rPr>
          <w:rFonts w:ascii="Arial" w:eastAsia="Arial" w:hAnsi="Arial" w:cs="Arial"/>
          <w:color w:val="auto"/>
          <w:szCs w:val="24"/>
          <w:lang w:val="en-GB"/>
        </w:rPr>
        <w:t>B.</w:t>
      </w:r>
      <w:bookmarkEnd w:id="72"/>
      <w:r w:rsidRPr="001717DA">
        <w:rPr>
          <w:rFonts w:ascii="Arial" w:eastAsia="Arial" w:hAnsi="Arial" w:cs="Arial"/>
          <w:color w:val="auto"/>
          <w:szCs w:val="24"/>
          <w:lang w:val="en-GB"/>
        </w:rPr>
        <w:tab/>
        <w:t xml:space="preserve"> Capitalization and Indebtedness </w:t>
      </w:r>
    </w:p>
    <w:p w14:paraId="71F3DE0E" w14:textId="77777777" w:rsidR="00B66F22" w:rsidRDefault="00B66F22" w:rsidP="0097242F">
      <w:pPr>
        <w:keepNext/>
        <w:keepLines/>
        <w:pBdr>
          <w:top w:val="nil"/>
          <w:left w:val="nil"/>
          <w:bottom w:val="nil"/>
          <w:right w:val="nil"/>
          <w:between w:val="nil"/>
          <w:bar w:val="nil"/>
        </w:pBdr>
        <w:jc w:val="both"/>
        <w:rPr>
          <w:rFonts w:ascii="Arial" w:eastAsia="Arial" w:hAnsi="Arial" w:cs="Arial"/>
          <w:color w:val="000000"/>
          <w:bdr w:val="nil"/>
          <w:lang w:val="en-GB"/>
        </w:rPr>
      </w:pPr>
    </w:p>
    <w:p w14:paraId="71F3DE0F" w14:textId="77777777" w:rsidR="005E7732" w:rsidRPr="004724D3" w:rsidRDefault="003A4815" w:rsidP="00B66F22">
      <w:pPr>
        <w:pBdr>
          <w:top w:val="nil"/>
          <w:left w:val="nil"/>
          <w:bottom w:val="nil"/>
          <w:right w:val="nil"/>
          <w:between w:val="nil"/>
          <w:bar w:val="nil"/>
        </w:pBdr>
        <w:jc w:val="both"/>
        <w:rPr>
          <w:rFonts w:ascii="Arial" w:eastAsia="Arial" w:hAnsi="Arial" w:cs="Arial"/>
          <w:color w:val="000000"/>
          <w:bdr w:val="nil"/>
          <w:lang w:val="en-GB"/>
        </w:rPr>
      </w:pPr>
      <w:r w:rsidRPr="004724D3">
        <w:rPr>
          <w:rFonts w:ascii="Arial" w:eastAsia="Arial" w:hAnsi="Arial" w:cs="Arial"/>
          <w:color w:val="000000"/>
          <w:lang w:val="en-GB"/>
        </w:rPr>
        <w:t xml:space="preserve">Not Applicable. </w:t>
      </w:r>
    </w:p>
    <w:p w14:paraId="71F3DE10" w14:textId="77777777" w:rsidR="00510CAA" w:rsidRPr="00043969" w:rsidRDefault="00510CAA">
      <w:pPr>
        <w:pBdr>
          <w:top w:val="nil"/>
          <w:left w:val="nil"/>
          <w:bottom w:val="nil"/>
          <w:right w:val="nil"/>
          <w:between w:val="nil"/>
          <w:bar w:val="nil"/>
        </w:pBdr>
        <w:rPr>
          <w:rFonts w:ascii="Arial" w:eastAsia="Arial" w:hAnsi="Arial" w:cs="Arial"/>
          <w:bdr w:val="nil"/>
          <w:lang w:val="en-US"/>
        </w:rPr>
      </w:pPr>
    </w:p>
    <w:p w14:paraId="71F3DE11" w14:textId="77777777" w:rsidR="00983215" w:rsidRDefault="003A4815" w:rsidP="00E671D0">
      <w:pPr>
        <w:pStyle w:val="Heading2"/>
        <w:keepLines/>
        <w:pBdr>
          <w:top w:val="nil"/>
          <w:left w:val="nil"/>
          <w:bottom w:val="nil"/>
          <w:right w:val="nil"/>
          <w:between w:val="nil"/>
          <w:bar w:val="nil"/>
        </w:pBdr>
        <w:ind w:left="357" w:firstLine="357"/>
        <w:rPr>
          <w:rFonts w:ascii="Arial" w:eastAsia="Arial" w:hAnsi="Arial" w:cs="Arial"/>
          <w:color w:val="auto"/>
          <w:szCs w:val="24"/>
          <w:bdr w:val="nil"/>
          <w:lang w:val="en-GB"/>
        </w:rPr>
      </w:pPr>
      <w:bookmarkStart w:id="73" w:name="RG_MARKER_23045"/>
      <w:r>
        <w:rPr>
          <w:rFonts w:ascii="Arial" w:eastAsia="Arial" w:hAnsi="Arial" w:cs="Arial"/>
          <w:color w:val="auto"/>
          <w:szCs w:val="24"/>
          <w:lang w:val="en-GB"/>
        </w:rPr>
        <w:t>C.</w:t>
      </w:r>
      <w:bookmarkEnd w:id="73"/>
      <w:r>
        <w:rPr>
          <w:rFonts w:ascii="Arial" w:eastAsia="Arial" w:hAnsi="Arial" w:cs="Arial"/>
          <w:color w:val="auto"/>
          <w:szCs w:val="24"/>
          <w:lang w:val="en-GB"/>
        </w:rPr>
        <w:tab/>
        <w:t xml:space="preserve">Reasons for the Offer and Use of Proceeds </w:t>
      </w:r>
    </w:p>
    <w:p w14:paraId="71F3DE12" w14:textId="77777777" w:rsidR="00A2564A" w:rsidRPr="009C1719" w:rsidRDefault="00A2564A" w:rsidP="00D21C22">
      <w:pPr>
        <w:keepNext/>
        <w:keepLines/>
        <w:pBdr>
          <w:top w:val="nil"/>
          <w:left w:val="nil"/>
          <w:bottom w:val="nil"/>
          <w:right w:val="nil"/>
          <w:between w:val="nil"/>
          <w:bar w:val="nil"/>
        </w:pBdr>
        <w:tabs>
          <w:tab w:val="left" w:pos="4065"/>
        </w:tabs>
        <w:rPr>
          <w:rFonts w:ascii="Arial" w:eastAsia="Arial" w:hAnsi="Arial" w:cs="Arial"/>
          <w:bdr w:val="nil"/>
          <w:lang w:val="en-GB"/>
        </w:rPr>
      </w:pPr>
    </w:p>
    <w:p w14:paraId="71F3DE13" w14:textId="77777777" w:rsidR="00C551F7" w:rsidRPr="009C1719" w:rsidRDefault="003A4815" w:rsidP="00A2564A">
      <w:pPr>
        <w:pBdr>
          <w:top w:val="nil"/>
          <w:left w:val="nil"/>
          <w:bottom w:val="nil"/>
          <w:right w:val="nil"/>
          <w:between w:val="nil"/>
          <w:bar w:val="nil"/>
        </w:pBdr>
        <w:rPr>
          <w:rFonts w:ascii="Arial" w:eastAsia="Arial" w:hAnsi="Arial" w:cs="Arial"/>
          <w:bdr w:val="nil"/>
          <w:lang w:val="en-US"/>
        </w:rPr>
      </w:pPr>
      <w:r w:rsidRPr="009C1719">
        <w:rPr>
          <w:rFonts w:ascii="Arial" w:eastAsia="Arial" w:hAnsi="Arial" w:cs="Arial"/>
          <w:lang w:val="en-GB"/>
        </w:rPr>
        <w:t>Not Applicable</w:t>
      </w:r>
      <w:r>
        <w:rPr>
          <w:rFonts w:ascii="Arial" w:eastAsia="Arial" w:hAnsi="Arial" w:cs="Arial"/>
          <w:lang w:val="en-GB"/>
        </w:rPr>
        <w:t>.</w:t>
      </w:r>
    </w:p>
    <w:p w14:paraId="71F3DE14" w14:textId="77777777" w:rsidR="00510CAA" w:rsidRPr="00043969" w:rsidRDefault="00510CAA">
      <w:pPr>
        <w:pBdr>
          <w:top w:val="nil"/>
          <w:left w:val="nil"/>
          <w:bottom w:val="nil"/>
          <w:right w:val="nil"/>
          <w:between w:val="nil"/>
          <w:bar w:val="nil"/>
        </w:pBdr>
        <w:rPr>
          <w:rFonts w:ascii="Arial" w:eastAsia="Arial" w:hAnsi="Arial" w:cs="Arial"/>
          <w:bdr w:val="nil"/>
          <w:lang w:val="en-US"/>
        </w:rPr>
      </w:pPr>
    </w:p>
    <w:p w14:paraId="71F3DE15" w14:textId="77777777" w:rsidR="00F97642" w:rsidRPr="00C57EC8" w:rsidRDefault="003A4815" w:rsidP="004A6983">
      <w:pPr>
        <w:pStyle w:val="Heading2"/>
        <w:keepLines/>
        <w:pBdr>
          <w:top w:val="nil"/>
          <w:left w:val="nil"/>
          <w:bottom w:val="nil"/>
          <w:right w:val="nil"/>
          <w:between w:val="nil"/>
          <w:bar w:val="nil"/>
        </w:pBdr>
        <w:ind w:left="357" w:firstLine="357"/>
        <w:rPr>
          <w:rFonts w:ascii="Arial" w:eastAsia="Arial" w:hAnsi="Arial" w:cs="Arial"/>
          <w:color w:val="auto"/>
          <w:bdr w:val="nil"/>
        </w:rPr>
      </w:pPr>
      <w:bookmarkStart w:id="74" w:name="RG_MARKER_23055"/>
      <w:r w:rsidRPr="00C57EC8">
        <w:rPr>
          <w:rFonts w:ascii="Arial" w:eastAsia="Arial" w:hAnsi="Arial" w:cs="Arial"/>
          <w:color w:val="auto"/>
        </w:rPr>
        <w:t>D.</w:t>
      </w:r>
      <w:bookmarkEnd w:id="74"/>
      <w:r w:rsidRPr="00C57EC8">
        <w:rPr>
          <w:rFonts w:ascii="Arial" w:eastAsia="Arial" w:hAnsi="Arial" w:cs="Arial"/>
          <w:color w:val="auto"/>
        </w:rPr>
        <w:tab/>
        <w:t>Risk Factors</w:t>
      </w:r>
    </w:p>
    <w:p w14:paraId="71F3DE16" w14:textId="77777777" w:rsidR="00A05CBA" w:rsidRPr="00C57EC8" w:rsidRDefault="00A05CBA" w:rsidP="00381820">
      <w:pPr>
        <w:pStyle w:val="Char1"/>
        <w:keepNext/>
        <w:keepLines/>
        <w:widowControl/>
        <w:pBdr>
          <w:top w:val="nil"/>
          <w:left w:val="nil"/>
          <w:bottom w:val="nil"/>
          <w:right w:val="nil"/>
          <w:between w:val="nil"/>
          <w:bar w:val="nil"/>
        </w:pBdr>
        <w:spacing w:before="0" w:after="0"/>
        <w:rPr>
          <w:rFonts w:ascii="Arial" w:eastAsia="Arial" w:hAnsi="Arial" w:cs="Arial"/>
          <w:bdr w:val="nil"/>
        </w:rPr>
      </w:pPr>
    </w:p>
    <w:p w14:paraId="71F3DE17" w14:textId="77777777" w:rsidR="008F049E" w:rsidRPr="00C57EC8" w:rsidRDefault="003A4815" w:rsidP="00D0187F">
      <w:pPr>
        <w:pBdr>
          <w:top w:val="nil"/>
          <w:left w:val="nil"/>
          <w:bottom w:val="nil"/>
          <w:right w:val="nil"/>
          <w:between w:val="nil"/>
          <w:bar w:val="nil"/>
        </w:pBdr>
        <w:autoSpaceDE w:val="0"/>
        <w:autoSpaceDN w:val="0"/>
        <w:jc w:val="both"/>
        <w:rPr>
          <w:rFonts w:ascii="Arial" w:eastAsia="Arial" w:hAnsi="Arial" w:cs="Arial"/>
          <w:b/>
          <w:bCs/>
          <w:i/>
          <w:iCs/>
          <w:sz w:val="24"/>
          <w:szCs w:val="28"/>
          <w:bdr w:val="nil"/>
          <w:lang w:val="en-US"/>
        </w:rPr>
      </w:pPr>
      <w:r w:rsidRPr="00C57EC8">
        <w:rPr>
          <w:rFonts w:ascii="Arial" w:eastAsia="Arial" w:hAnsi="Arial" w:cs="Arial"/>
          <w:b/>
          <w:bCs/>
          <w:i/>
          <w:iCs/>
          <w:szCs w:val="28"/>
          <w:bdr w:val="none" w:sz="0" w:space="0" w:color="auto" w:frame="1"/>
          <w:lang w:val="en-US"/>
        </w:rPr>
        <w:t xml:space="preserve">Summary of Risk Factors </w:t>
      </w:r>
    </w:p>
    <w:p w14:paraId="71F3DE18" w14:textId="77777777" w:rsidR="008F049E" w:rsidRPr="00C57EC8" w:rsidRDefault="008F049E" w:rsidP="00D0187F">
      <w:pPr>
        <w:pBdr>
          <w:top w:val="nil"/>
          <w:left w:val="nil"/>
          <w:bottom w:val="nil"/>
          <w:right w:val="nil"/>
          <w:between w:val="nil"/>
          <w:bar w:val="nil"/>
        </w:pBdr>
        <w:autoSpaceDE w:val="0"/>
        <w:autoSpaceDN w:val="0"/>
        <w:jc w:val="both"/>
        <w:rPr>
          <w:rFonts w:ascii="Arial" w:eastAsia="Arial" w:hAnsi="Arial" w:cs="Arial"/>
          <w:b/>
          <w:bCs/>
          <w:i/>
          <w:iCs/>
          <w:szCs w:val="28"/>
          <w:bdr w:val="nil"/>
          <w:lang w:val="en-US"/>
        </w:rPr>
      </w:pPr>
    </w:p>
    <w:p w14:paraId="71F3DE19" w14:textId="77777777" w:rsidR="008F049E" w:rsidRPr="00C57EC8" w:rsidRDefault="003A4815" w:rsidP="00D0187F">
      <w:pPr>
        <w:pStyle w:val="Char10"/>
        <w:pBdr>
          <w:top w:val="nil"/>
          <w:left w:val="nil"/>
          <w:bottom w:val="nil"/>
          <w:right w:val="nil"/>
          <w:between w:val="nil"/>
          <w:bar w:val="nil"/>
        </w:pBdr>
        <w:spacing w:before="0" w:after="0"/>
        <w:rPr>
          <w:rFonts w:ascii="Arial" w:eastAsia="Arial" w:hAnsi="Arial" w:cs="Arial"/>
          <w:bdr w:val="nil"/>
        </w:rPr>
      </w:pPr>
      <w:r w:rsidRPr="00C57EC8">
        <w:rPr>
          <w:rFonts w:ascii="Arial" w:eastAsia="Arial" w:hAnsi="Arial" w:cs="Arial"/>
        </w:rPr>
        <w:t xml:space="preserve">The bullets below summarize the principal risk factors related to an investment in our Company. </w:t>
      </w:r>
    </w:p>
    <w:p w14:paraId="71F3DE1A" w14:textId="77777777" w:rsidR="008F049E" w:rsidRPr="00C57EC8" w:rsidRDefault="008F049E" w:rsidP="00D0187F">
      <w:pPr>
        <w:pBdr>
          <w:top w:val="nil"/>
          <w:left w:val="nil"/>
          <w:bottom w:val="nil"/>
          <w:right w:val="nil"/>
          <w:between w:val="nil"/>
          <w:bar w:val="nil"/>
        </w:pBdr>
        <w:autoSpaceDE w:val="0"/>
        <w:autoSpaceDN w:val="0"/>
        <w:jc w:val="both"/>
        <w:rPr>
          <w:rFonts w:ascii="Arial" w:eastAsia="Arial" w:hAnsi="Arial" w:cs="Arial"/>
          <w:color w:val="000000"/>
          <w:bdr w:val="nil"/>
          <w:lang w:val="en-US" w:eastAsia="el-GR"/>
        </w:rPr>
      </w:pPr>
    </w:p>
    <w:p w14:paraId="71F3DE1B" w14:textId="77777777" w:rsidR="00C57EC8" w:rsidRDefault="003A4815" w:rsidP="00CA624A">
      <w:pPr>
        <w:keepNext/>
        <w:keepLines/>
        <w:pBdr>
          <w:top w:val="nil"/>
          <w:left w:val="nil"/>
          <w:bottom w:val="nil"/>
          <w:right w:val="nil"/>
          <w:between w:val="nil"/>
          <w:bar w:val="nil"/>
        </w:pBdr>
        <w:jc w:val="both"/>
        <w:outlineLvl w:val="2"/>
        <w:rPr>
          <w:rFonts w:ascii="Arial" w:eastAsia="Arial" w:hAnsi="Arial" w:cs="Arial"/>
          <w:b/>
          <w:bCs/>
          <w:bdr w:val="nil"/>
          <w:lang w:val="en-US"/>
        </w:rPr>
      </w:pPr>
      <w:r w:rsidRPr="00407049">
        <w:rPr>
          <w:rFonts w:ascii="Arial" w:eastAsia="Arial" w:hAnsi="Arial" w:cs="Arial"/>
          <w:b/>
          <w:bCs/>
          <w:lang w:val="en-US"/>
        </w:rPr>
        <w:t>Industry Specific Risk Factors</w:t>
      </w:r>
    </w:p>
    <w:p w14:paraId="71F3DE1C" w14:textId="77777777" w:rsidR="00D0187F" w:rsidRPr="00407049" w:rsidRDefault="00D0187F" w:rsidP="008B42B6">
      <w:pPr>
        <w:keepNext/>
        <w:keepLines/>
        <w:pBdr>
          <w:top w:val="nil"/>
          <w:left w:val="nil"/>
          <w:bottom w:val="nil"/>
          <w:right w:val="nil"/>
          <w:between w:val="nil"/>
          <w:bar w:val="nil"/>
        </w:pBdr>
        <w:rPr>
          <w:rFonts w:ascii="Arial" w:eastAsia="Arial" w:hAnsi="Arial" w:cs="Arial"/>
          <w:bdr w:val="nil"/>
          <w:lang w:val="en-US"/>
        </w:rPr>
      </w:pPr>
    </w:p>
    <w:p w14:paraId="71F3DE1D"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Charter hire rates for dry bulk vessels are volatile and have fluctuated significantly in the past years, which may adversely affect our earnings, revenues and profitability and our ability to comply with our loan covenants.</w:t>
      </w:r>
    </w:p>
    <w:p w14:paraId="71F3DE1E"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1F" w14:textId="77777777" w:rsidR="00C74E04"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The current state of the global financial markets and economic conditions may adversely impact our ability to obtain additional financing on acceptable terms and otherwise negatively impact our business.</w:t>
      </w:r>
    </w:p>
    <w:p w14:paraId="71F3DE20" w14:textId="77777777" w:rsidR="00D0187F" w:rsidRPr="008B42B6"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21" w14:textId="77777777" w:rsidR="00C74E04"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Our operating results may be affected by seasonal fluctuations.</w:t>
      </w:r>
    </w:p>
    <w:p w14:paraId="71F3DE22" w14:textId="77777777" w:rsidR="00863773" w:rsidRPr="00043969" w:rsidRDefault="00863773" w:rsidP="00863773">
      <w:pPr>
        <w:pStyle w:val="ListParagraph"/>
        <w:pBdr>
          <w:top w:val="nil"/>
          <w:left w:val="nil"/>
          <w:bottom w:val="nil"/>
          <w:right w:val="nil"/>
          <w:between w:val="nil"/>
          <w:bar w:val="nil"/>
        </w:pBdr>
        <w:rPr>
          <w:rFonts w:ascii="Arial" w:eastAsia="Arial" w:hAnsi="Arial" w:cs="Arial"/>
          <w:b/>
          <w:bCs/>
          <w:i/>
          <w:bdr w:val="nil"/>
          <w:lang w:val="en-US"/>
        </w:rPr>
      </w:pPr>
    </w:p>
    <w:p w14:paraId="71F3DE23" w14:textId="77777777" w:rsidR="00863773"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863773">
        <w:rPr>
          <w:rFonts w:ascii="Arial" w:eastAsia="Arial" w:hAnsi="Arial" w:cs="Arial"/>
          <w:b/>
          <w:bCs/>
          <w:i/>
          <w:lang w:val="en-US"/>
        </w:rPr>
        <w:t>Our operations expose us to global risks, such as political instability, terrorist or other attacks, war, international hostilities, economic sanctions or other trade restrictions, and public health concerns, which may affect the seaborne transportation industry and adversely affect our business.</w:t>
      </w:r>
    </w:p>
    <w:p w14:paraId="71F3DE24"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25" w14:textId="77777777" w:rsidR="00C74E04"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An increase in the price of fuel, or bunkers, may adversely affect our profits.</w:t>
      </w:r>
    </w:p>
    <w:p w14:paraId="71F3DE26"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27" w14:textId="77777777" w:rsidR="00C74E04"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are subject to complex laws and regulations, including environmental regulations that can adversely affect the cost, manner or feasibility of doing business.</w:t>
      </w:r>
    </w:p>
    <w:p w14:paraId="71F3DE28"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29" w14:textId="77777777" w:rsidR="00C74E04" w:rsidRPr="00F41113"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If our vessels call on ports located in countries or territories that are the subject of</w:t>
      </w:r>
      <w:r>
        <w:rPr>
          <w:rFonts w:ascii="Arial" w:eastAsia="Arial" w:hAnsi="Arial" w:cs="Arial"/>
          <w:b/>
          <w:bCs/>
          <w:i/>
          <w:lang w:val="en-US"/>
        </w:rPr>
        <w:t xml:space="preserve"> </w:t>
      </w:r>
      <w:r w:rsidRPr="00407049">
        <w:rPr>
          <w:rFonts w:ascii="Arial" w:eastAsia="Arial" w:hAnsi="Arial" w:cs="Arial"/>
          <w:b/>
          <w:bCs/>
          <w:i/>
          <w:lang w:val="en-US"/>
        </w:rPr>
        <w:t xml:space="preserve">sanctions or embargoes imposed by the U.S. government, the </w:t>
      </w:r>
      <w:r w:rsidRPr="0075189A">
        <w:rPr>
          <w:rFonts w:ascii="Arial" w:eastAsia="Arial" w:hAnsi="Arial" w:cs="Arial"/>
          <w:b/>
          <w:bCs/>
          <w:i/>
          <w:lang w:val="en-US"/>
        </w:rPr>
        <w:t>United Kingdom, the</w:t>
      </w:r>
      <w:r>
        <w:rPr>
          <w:rFonts w:ascii="Arial" w:eastAsia="Arial" w:hAnsi="Arial" w:cs="Arial"/>
          <w:b/>
          <w:bCs/>
          <w:i/>
          <w:lang w:val="en-US"/>
        </w:rPr>
        <w:t xml:space="preserve"> </w:t>
      </w:r>
      <w:r w:rsidRPr="00F41113">
        <w:rPr>
          <w:rFonts w:ascii="Arial" w:eastAsia="Arial" w:hAnsi="Arial" w:cs="Arial"/>
          <w:b/>
          <w:bCs/>
          <w:i/>
          <w:lang w:val="en-US"/>
        </w:rPr>
        <w:t>European Union, the United Nations, or other governmental authorities, or engage in</w:t>
      </w:r>
      <w:r>
        <w:rPr>
          <w:rFonts w:ascii="Arial" w:eastAsia="Arial" w:hAnsi="Arial" w:cs="Arial"/>
          <w:b/>
          <w:bCs/>
          <w:i/>
          <w:lang w:val="en-US"/>
        </w:rPr>
        <w:t xml:space="preserve"> </w:t>
      </w:r>
      <w:r w:rsidRPr="00F41113">
        <w:rPr>
          <w:rFonts w:ascii="Arial" w:eastAsia="Arial" w:hAnsi="Arial" w:cs="Arial"/>
          <w:b/>
          <w:bCs/>
          <w:i/>
          <w:lang w:val="en-US"/>
        </w:rPr>
        <w:t>other such transactions or dealings that would be violative of applicable sanctions</w:t>
      </w:r>
      <w:r>
        <w:rPr>
          <w:rFonts w:ascii="Arial" w:eastAsia="Arial" w:hAnsi="Arial" w:cs="Arial"/>
          <w:b/>
          <w:bCs/>
          <w:i/>
          <w:lang w:val="en-US"/>
        </w:rPr>
        <w:t xml:space="preserve"> </w:t>
      </w:r>
      <w:r w:rsidRPr="00F41113">
        <w:rPr>
          <w:rFonts w:ascii="Arial" w:eastAsia="Arial" w:hAnsi="Arial" w:cs="Arial"/>
          <w:b/>
          <w:bCs/>
          <w:i/>
          <w:lang w:val="en-US"/>
        </w:rPr>
        <w:t>laws, it could lead to monetary fines or penalties and may adversely affect our</w:t>
      </w:r>
      <w:r>
        <w:rPr>
          <w:rFonts w:ascii="Arial" w:eastAsia="Arial" w:hAnsi="Arial" w:cs="Arial"/>
          <w:b/>
          <w:bCs/>
          <w:i/>
          <w:lang w:val="en-US"/>
        </w:rPr>
        <w:t xml:space="preserve"> </w:t>
      </w:r>
      <w:r w:rsidRPr="00F41113">
        <w:rPr>
          <w:rFonts w:ascii="Arial" w:eastAsia="Arial" w:hAnsi="Arial" w:cs="Arial"/>
          <w:b/>
          <w:bCs/>
          <w:i/>
          <w:lang w:val="en-US"/>
        </w:rPr>
        <w:t>reputation and the market for our securities.</w:t>
      </w:r>
    </w:p>
    <w:p w14:paraId="71F3DE2A"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2B" w14:textId="77777777" w:rsidR="00C74E04"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conduct business in China, where the legal system has inherent uncertainties that could limit the legal protections available to us.</w:t>
      </w:r>
    </w:p>
    <w:p w14:paraId="71F3DE2C" w14:textId="77777777" w:rsidR="00D0187F" w:rsidRPr="0098759B" w:rsidRDefault="00D0187F" w:rsidP="002D6029">
      <w:pPr>
        <w:pBdr>
          <w:top w:val="nil"/>
          <w:left w:val="nil"/>
          <w:bottom w:val="nil"/>
          <w:right w:val="nil"/>
          <w:between w:val="nil"/>
          <w:bar w:val="nil"/>
        </w:pBdr>
        <w:rPr>
          <w:rFonts w:ascii="Arial" w:eastAsia="Arial" w:hAnsi="Arial" w:cs="Arial"/>
          <w:bdr w:val="nil"/>
          <w:lang w:val="en-US"/>
        </w:rPr>
      </w:pPr>
    </w:p>
    <w:p w14:paraId="71F3DE2D" w14:textId="77777777" w:rsidR="00C57EC8" w:rsidRDefault="003A4815" w:rsidP="00CA624A">
      <w:pPr>
        <w:keepNext/>
        <w:keepLines/>
        <w:pBdr>
          <w:top w:val="nil"/>
          <w:left w:val="nil"/>
          <w:bottom w:val="nil"/>
          <w:right w:val="nil"/>
          <w:between w:val="nil"/>
          <w:bar w:val="nil"/>
        </w:pBdr>
        <w:jc w:val="both"/>
        <w:outlineLvl w:val="2"/>
        <w:rPr>
          <w:rFonts w:ascii="Arial" w:eastAsia="Arial" w:hAnsi="Arial" w:cs="Arial"/>
          <w:b/>
          <w:bCs/>
          <w:bdr w:val="nil"/>
          <w:lang w:val="en-US"/>
        </w:rPr>
      </w:pPr>
      <w:r w:rsidRPr="00407049">
        <w:rPr>
          <w:rFonts w:ascii="Arial" w:eastAsia="Arial" w:hAnsi="Arial" w:cs="Arial"/>
          <w:b/>
          <w:bCs/>
          <w:lang w:val="en-US"/>
        </w:rPr>
        <w:t>Company Specific Risk Factors</w:t>
      </w:r>
    </w:p>
    <w:p w14:paraId="71F3DE2E" w14:textId="77777777" w:rsidR="00D0187F" w:rsidRPr="00407049" w:rsidRDefault="00D0187F" w:rsidP="008B42B6">
      <w:pPr>
        <w:keepNext/>
        <w:keepLines/>
        <w:pBdr>
          <w:top w:val="nil"/>
          <w:left w:val="nil"/>
          <w:bottom w:val="nil"/>
          <w:right w:val="nil"/>
          <w:between w:val="nil"/>
          <w:bar w:val="nil"/>
        </w:pBdr>
        <w:rPr>
          <w:rFonts w:ascii="Arial" w:eastAsia="Arial" w:hAnsi="Arial" w:cs="Arial"/>
          <w:bdr w:val="nil"/>
          <w:lang w:val="en-US"/>
        </w:rPr>
      </w:pPr>
    </w:p>
    <w:p w14:paraId="71F3DE2F" w14:textId="77777777" w:rsidR="00EE2F42"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charter some of our vessels on short-term time charters in a volatile shipping industry and a decline in charter hire rates could affect our results of operations and our ability to pay dividends.</w:t>
      </w:r>
    </w:p>
    <w:p w14:paraId="71F3DE30"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31"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A cyber-attack could materially disrupt our business.</w:t>
      </w:r>
    </w:p>
    <w:p w14:paraId="71F3DE32" w14:textId="77777777" w:rsidR="00D0187F" w:rsidRPr="00407049" w:rsidRDefault="00D0187F" w:rsidP="006D4F5A">
      <w:pPr>
        <w:pBdr>
          <w:top w:val="nil"/>
          <w:left w:val="nil"/>
          <w:bottom w:val="nil"/>
          <w:right w:val="nil"/>
          <w:between w:val="nil"/>
          <w:bar w:val="nil"/>
        </w:pBdr>
        <w:rPr>
          <w:rFonts w:ascii="Arial" w:eastAsia="Arial" w:hAnsi="Arial" w:cs="Arial"/>
          <w:bdr w:val="nil"/>
          <w:lang w:val="en-US"/>
        </w:rPr>
      </w:pPr>
    </w:p>
    <w:p w14:paraId="71F3DE33"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Our earnings may be adversely affected if we are not able to take advantage of favorable charter rates.</w:t>
      </w:r>
    </w:p>
    <w:p w14:paraId="71F3DE34"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35"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cannot assure you that we will be able to borrow amounts under loan facilities and restrictive covenants in our loan facilities impose financial and other restrictions on us.</w:t>
      </w:r>
    </w:p>
    <w:p w14:paraId="71F3DE36" w14:textId="77777777" w:rsidR="00D0187F" w:rsidRPr="00407049" w:rsidRDefault="00D0187F" w:rsidP="002D6029">
      <w:pPr>
        <w:pBdr>
          <w:top w:val="nil"/>
          <w:left w:val="nil"/>
          <w:bottom w:val="nil"/>
          <w:right w:val="nil"/>
          <w:between w:val="nil"/>
          <w:bar w:val="nil"/>
        </w:pBdr>
        <w:rPr>
          <w:rFonts w:ascii="Arial" w:eastAsia="Arial" w:hAnsi="Arial" w:cs="Arial"/>
          <w:bdr w:val="nil"/>
          <w:lang w:val="en-US"/>
        </w:rPr>
      </w:pPr>
    </w:p>
    <w:p w14:paraId="71F3DE37"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In the highly competitive international shipping industry, we may not be able to compete for charters with new entrants or established companies with greater resources, and as a result, we may be unable to employ our vessels profitably.</w:t>
      </w:r>
    </w:p>
    <w:p w14:paraId="71F3DE38"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39"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Technological innovation and quality and efficiency requirements from our customers could reduce our charter hire income</w:t>
      </w:r>
      <w:r w:rsidR="00E02AAC">
        <w:rPr>
          <w:rFonts w:ascii="Arial" w:eastAsia="Arial" w:hAnsi="Arial" w:cs="Arial"/>
          <w:b/>
          <w:bCs/>
          <w:i/>
          <w:lang w:val="en-US"/>
        </w:rPr>
        <w:t xml:space="preserve"> </w:t>
      </w:r>
      <w:r w:rsidR="00E02AAC" w:rsidRPr="00E02AAC">
        <w:rPr>
          <w:rFonts w:ascii="Arial" w:eastAsia="Arial" w:hAnsi="Arial" w:cs="Arial"/>
          <w:b/>
          <w:bCs/>
          <w:i/>
          <w:lang w:val="en-US"/>
        </w:rPr>
        <w:t>and affect the demand</w:t>
      </w:r>
      <w:r w:rsidRPr="00407049">
        <w:rPr>
          <w:rFonts w:ascii="Arial" w:eastAsia="Arial" w:hAnsi="Arial" w:cs="Arial"/>
          <w:b/>
          <w:bCs/>
          <w:i/>
          <w:lang w:val="en-US"/>
        </w:rPr>
        <w:t xml:space="preserve"> and the value of our vessels.</w:t>
      </w:r>
    </w:p>
    <w:p w14:paraId="71F3DE3A"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3B"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are a holding company, and we depend on the ability of our subsidiaries to distribute funds to us in order to satisfy our financial obligations.</w:t>
      </w:r>
    </w:p>
    <w:p w14:paraId="71F3DE3C"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3D"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Because we are organized under the laws of the Marshall Islands, it may be difficult to serve us with legal process or enforce judgments against us, our directors or our management.</w:t>
      </w:r>
    </w:p>
    <w:p w14:paraId="71F3DE3E" w14:textId="77777777" w:rsidR="00D0187F" w:rsidRPr="00407049" w:rsidRDefault="00D0187F" w:rsidP="002D6029">
      <w:pPr>
        <w:pBdr>
          <w:top w:val="nil"/>
          <w:left w:val="nil"/>
          <w:bottom w:val="nil"/>
          <w:right w:val="nil"/>
          <w:between w:val="nil"/>
          <w:bar w:val="nil"/>
        </w:pBdr>
        <w:rPr>
          <w:rFonts w:ascii="Arial" w:eastAsia="Arial" w:hAnsi="Arial" w:cs="Arial"/>
          <w:bdr w:val="nil"/>
          <w:lang w:val="en-US"/>
        </w:rPr>
      </w:pPr>
    </w:p>
    <w:p w14:paraId="71F3DE3F" w14:textId="77777777" w:rsidR="00C57EC8" w:rsidRDefault="003A4815" w:rsidP="00CA624A">
      <w:pPr>
        <w:keepNext/>
        <w:keepLines/>
        <w:pBdr>
          <w:top w:val="nil"/>
          <w:left w:val="nil"/>
          <w:bottom w:val="nil"/>
          <w:right w:val="nil"/>
          <w:between w:val="nil"/>
          <w:bar w:val="nil"/>
        </w:pBdr>
        <w:jc w:val="both"/>
        <w:outlineLvl w:val="2"/>
        <w:rPr>
          <w:rFonts w:ascii="Arial" w:eastAsia="Arial" w:hAnsi="Arial" w:cs="Arial"/>
          <w:b/>
          <w:bCs/>
          <w:bdr w:val="nil"/>
          <w:lang w:val="en-US"/>
        </w:rPr>
      </w:pPr>
      <w:r w:rsidRPr="00407049">
        <w:rPr>
          <w:rFonts w:ascii="Arial" w:eastAsia="Arial" w:hAnsi="Arial" w:cs="Arial"/>
          <w:b/>
          <w:bCs/>
          <w:lang w:val="en-US"/>
        </w:rPr>
        <w:t>Risks Relating to Our Common Stock</w:t>
      </w:r>
    </w:p>
    <w:p w14:paraId="71F3DE40" w14:textId="77777777" w:rsidR="00D0187F" w:rsidRPr="00407049" w:rsidRDefault="00D0187F" w:rsidP="008B42B6">
      <w:pPr>
        <w:keepNext/>
        <w:keepLines/>
        <w:pBdr>
          <w:top w:val="nil"/>
          <w:left w:val="nil"/>
          <w:bottom w:val="nil"/>
          <w:right w:val="nil"/>
          <w:between w:val="nil"/>
          <w:bar w:val="nil"/>
        </w:pBdr>
        <w:rPr>
          <w:rFonts w:ascii="Arial" w:eastAsia="Arial" w:hAnsi="Arial" w:cs="Arial"/>
          <w:bdr w:val="nil"/>
          <w:lang w:val="en-US"/>
        </w:rPr>
      </w:pPr>
    </w:p>
    <w:p w14:paraId="71F3DE41"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cannot assure you that our board of directors will continue to declare dividends on shares of our common stock in the future.</w:t>
      </w:r>
    </w:p>
    <w:p w14:paraId="71F3DE42"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43"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The market prices and trading volume of our shares of common stock may experience rapid and substantial price volatility, which could cause purchasers of our common stock to incur substantial losses.</w:t>
      </w:r>
    </w:p>
    <w:p w14:paraId="71F3DE44"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45"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Since we are incorporated in the Marshall Islands, which does not have a well-developed body of corporate law, you may have more difficulty protecting your interests than shareholders of a U.S. corporation.</w:t>
      </w:r>
    </w:p>
    <w:p w14:paraId="71F3DE46"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47" w14:textId="77777777" w:rsidR="00D812AC" w:rsidRDefault="003A4815" w:rsidP="00D812AC">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As a Marshall Islands corporation and with some of our subsidiaries being Marshall Islands entities and also having subsidiaries in other offshore jurisdictions, our operations may be subject to economic substance requirements, which could impact our business.</w:t>
      </w:r>
    </w:p>
    <w:p w14:paraId="71F3DE48" w14:textId="77777777" w:rsidR="00D812AC" w:rsidRPr="00043969" w:rsidRDefault="00D812AC" w:rsidP="00D812AC">
      <w:pPr>
        <w:pStyle w:val="ListParagraph"/>
        <w:pBdr>
          <w:top w:val="nil"/>
          <w:left w:val="nil"/>
          <w:bottom w:val="nil"/>
          <w:right w:val="nil"/>
          <w:between w:val="nil"/>
          <w:bar w:val="nil"/>
        </w:pBdr>
        <w:rPr>
          <w:rFonts w:ascii="Arial" w:eastAsia="Arial" w:hAnsi="Arial" w:cs="Arial"/>
          <w:b/>
          <w:bCs/>
          <w:bdr w:val="nil"/>
          <w:lang w:val="en-US"/>
        </w:rPr>
      </w:pPr>
    </w:p>
    <w:p w14:paraId="71F3DE49" w14:textId="77777777" w:rsidR="00D812AC" w:rsidRPr="00D812AC" w:rsidRDefault="003A4815" w:rsidP="00D812AC">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D812AC">
        <w:rPr>
          <w:rFonts w:ascii="Arial" w:eastAsia="Arial" w:hAnsi="Arial" w:cs="Arial"/>
          <w:b/>
          <w:bCs/>
          <w:lang w:val="en-US"/>
        </w:rPr>
        <w:t xml:space="preserve">Certain existing shareholders will be able to exert considerable influence over matters on which our shareholders are entitled to vote. </w:t>
      </w:r>
    </w:p>
    <w:p w14:paraId="71F3DE4A"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4B" w14:textId="77777777" w:rsidR="00C57EC8"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Our Series B Preferred Shares are senior obligations of ours and rank prior to our common shares with respect to dividends, distributions and payments upon liquidation, which could have an adverse effect on the value of our common shares.</w:t>
      </w:r>
    </w:p>
    <w:p w14:paraId="71F3DE4C" w14:textId="77777777" w:rsidR="00D0187F" w:rsidRPr="00407049" w:rsidRDefault="00D0187F" w:rsidP="002D6029">
      <w:pPr>
        <w:pBdr>
          <w:top w:val="nil"/>
          <w:left w:val="nil"/>
          <w:bottom w:val="nil"/>
          <w:right w:val="nil"/>
          <w:between w:val="nil"/>
          <w:bar w:val="nil"/>
        </w:pBdr>
        <w:rPr>
          <w:rFonts w:ascii="Arial" w:eastAsia="Arial" w:hAnsi="Arial" w:cs="Arial"/>
          <w:bdr w:val="nil"/>
          <w:lang w:val="en-US"/>
        </w:rPr>
      </w:pPr>
    </w:p>
    <w:p w14:paraId="71F3DE4D" w14:textId="77777777" w:rsidR="008F049E" w:rsidRDefault="003A4815" w:rsidP="00CA624A">
      <w:pPr>
        <w:keepNext/>
        <w:keepLines/>
        <w:pBdr>
          <w:top w:val="nil"/>
          <w:left w:val="nil"/>
          <w:bottom w:val="nil"/>
          <w:right w:val="nil"/>
          <w:between w:val="nil"/>
          <w:bar w:val="nil"/>
        </w:pBdr>
        <w:jc w:val="both"/>
        <w:outlineLvl w:val="2"/>
        <w:rPr>
          <w:rFonts w:ascii="Arial" w:eastAsia="Arial" w:hAnsi="Arial" w:cs="Arial"/>
          <w:b/>
          <w:bCs/>
          <w:bdr w:val="nil"/>
          <w:lang w:val="en-US"/>
        </w:rPr>
      </w:pPr>
      <w:r w:rsidRPr="00407049">
        <w:rPr>
          <w:rFonts w:ascii="Arial" w:eastAsia="Arial" w:hAnsi="Arial" w:cs="Arial"/>
          <w:b/>
          <w:bCs/>
          <w:bdr w:val="none" w:sz="0" w:space="0" w:color="auto" w:frame="1"/>
          <w:lang w:val="en-US"/>
        </w:rPr>
        <w:t>Risks Relating to Our Series B Preferred Stock</w:t>
      </w:r>
    </w:p>
    <w:p w14:paraId="71F3DE4E" w14:textId="77777777" w:rsidR="00D0187F" w:rsidRPr="00407049" w:rsidRDefault="00D0187F" w:rsidP="008B42B6">
      <w:pPr>
        <w:keepNext/>
        <w:keepLines/>
        <w:pBdr>
          <w:top w:val="nil"/>
          <w:left w:val="nil"/>
          <w:bottom w:val="nil"/>
          <w:right w:val="nil"/>
          <w:between w:val="nil"/>
          <w:bar w:val="nil"/>
        </w:pBdr>
        <w:rPr>
          <w:rFonts w:ascii="Arial" w:eastAsia="Arial" w:hAnsi="Arial" w:cs="Arial"/>
          <w:bdr w:val="nil"/>
          <w:lang w:val="en-US"/>
        </w:rPr>
      </w:pPr>
    </w:p>
    <w:p w14:paraId="71F3DE4F" w14:textId="77777777" w:rsidR="008F049E"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may not have sufficient cash from our operations to enable us to pay dividends on our Series B Preferred Shares following the payment of expenses and the establishment of any reserves.</w:t>
      </w:r>
    </w:p>
    <w:p w14:paraId="71F3DE50"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51" w14:textId="77777777" w:rsidR="008F049E"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Our Series B Preferred Shares are subordinate to our indebtedness, and your interests could be diluted by the issuance of additional preferred shares, including additional Series B Preferred Shares, and by other transactions.</w:t>
      </w:r>
    </w:p>
    <w:p w14:paraId="71F3DE52" w14:textId="77777777" w:rsidR="00D0187F" w:rsidRPr="00407049" w:rsidRDefault="00D0187F" w:rsidP="00D829CB">
      <w:pPr>
        <w:pBdr>
          <w:top w:val="nil"/>
          <w:left w:val="nil"/>
          <w:bottom w:val="nil"/>
          <w:right w:val="nil"/>
          <w:between w:val="nil"/>
          <w:bar w:val="nil"/>
        </w:pBdr>
        <w:ind w:left="714" w:hanging="357"/>
        <w:rPr>
          <w:rFonts w:ascii="Arial" w:eastAsia="Arial" w:hAnsi="Arial" w:cs="Arial"/>
          <w:bdr w:val="nil"/>
          <w:lang w:val="en-US"/>
        </w:rPr>
      </w:pPr>
    </w:p>
    <w:p w14:paraId="71F3DE53" w14:textId="77777777" w:rsidR="008F049E"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07049">
        <w:rPr>
          <w:rFonts w:ascii="Arial" w:eastAsia="Arial" w:hAnsi="Arial" w:cs="Arial"/>
          <w:b/>
          <w:bCs/>
          <w:i/>
          <w:lang w:val="en-US"/>
        </w:rPr>
        <w:t>We may redeem the Series B Preferred Shares, and you may not be able to reinvest the redemption price you receive in a similar security.</w:t>
      </w:r>
    </w:p>
    <w:p w14:paraId="71F3DE54" w14:textId="77777777" w:rsidR="00873C77" w:rsidRPr="00043969" w:rsidRDefault="00873C77" w:rsidP="00D829CB">
      <w:pPr>
        <w:pStyle w:val="ListParagraph"/>
        <w:pBdr>
          <w:top w:val="nil"/>
          <w:left w:val="nil"/>
          <w:bottom w:val="nil"/>
          <w:right w:val="nil"/>
          <w:between w:val="nil"/>
          <w:bar w:val="nil"/>
        </w:pBdr>
        <w:ind w:left="714" w:hanging="357"/>
        <w:contextualSpacing w:val="0"/>
        <w:rPr>
          <w:rFonts w:ascii="Arial" w:eastAsia="Arial" w:hAnsi="Arial" w:cs="Arial"/>
          <w:b/>
          <w:bCs/>
          <w:i/>
          <w:bdr w:val="nil"/>
          <w:lang w:val="en-US"/>
        </w:rPr>
      </w:pPr>
    </w:p>
    <w:p w14:paraId="71F3DE55" w14:textId="77777777" w:rsidR="00873C77" w:rsidRPr="0047490E" w:rsidRDefault="003A4815" w:rsidP="00873C77">
      <w:pPr>
        <w:keepNext/>
        <w:keepLines/>
        <w:pBdr>
          <w:top w:val="nil"/>
          <w:left w:val="nil"/>
          <w:bottom w:val="nil"/>
          <w:right w:val="nil"/>
          <w:between w:val="nil"/>
          <w:bar w:val="nil"/>
        </w:pBdr>
        <w:jc w:val="both"/>
        <w:outlineLvl w:val="2"/>
        <w:rPr>
          <w:rFonts w:ascii="Arial" w:eastAsia="Arial" w:hAnsi="Arial" w:cs="Arial"/>
          <w:b/>
          <w:bCs/>
          <w:bdr w:val="nil"/>
          <w:lang w:val="en-US"/>
        </w:rPr>
      </w:pPr>
      <w:r w:rsidRPr="0047490E">
        <w:rPr>
          <w:rFonts w:ascii="Arial" w:eastAsia="Arial" w:hAnsi="Arial" w:cs="Arial"/>
          <w:b/>
          <w:bCs/>
          <w:bdr w:val="none" w:sz="0" w:space="0" w:color="auto" w:frame="1"/>
          <w:lang w:val="en-US"/>
        </w:rPr>
        <w:t xml:space="preserve">Risks Relating to Our Outstanding Warrants </w:t>
      </w:r>
    </w:p>
    <w:p w14:paraId="71F3DE56" w14:textId="77777777" w:rsidR="00873C77" w:rsidRPr="0047490E" w:rsidRDefault="00873C77" w:rsidP="00D829CB">
      <w:pPr>
        <w:pBdr>
          <w:top w:val="nil"/>
          <w:left w:val="nil"/>
          <w:bottom w:val="nil"/>
          <w:right w:val="nil"/>
          <w:between w:val="nil"/>
          <w:bar w:val="nil"/>
        </w:pBdr>
        <w:ind w:left="714" w:hanging="357"/>
        <w:rPr>
          <w:rFonts w:ascii="Arial" w:eastAsia="Arial" w:hAnsi="Arial" w:cs="Arial"/>
          <w:bdr w:val="nil"/>
          <w:lang w:val="en-US"/>
        </w:rPr>
      </w:pPr>
    </w:p>
    <w:p w14:paraId="71F3DE57" w14:textId="77777777" w:rsidR="00873C77" w:rsidRPr="0047490E" w:rsidRDefault="003A4815" w:rsidP="00D829CB">
      <w:pPr>
        <w:numPr>
          <w:ilvl w:val="0"/>
          <w:numId w:val="3"/>
        </w:numPr>
        <w:pBdr>
          <w:top w:val="nil"/>
          <w:left w:val="nil"/>
          <w:bottom w:val="nil"/>
          <w:right w:val="nil"/>
          <w:between w:val="nil"/>
          <w:bar w:val="nil"/>
        </w:pBdr>
        <w:ind w:left="714" w:hanging="357"/>
        <w:jc w:val="both"/>
        <w:outlineLvl w:val="3"/>
        <w:rPr>
          <w:rFonts w:ascii="Arial" w:eastAsia="Arial" w:hAnsi="Arial" w:cs="Arial"/>
          <w:b/>
          <w:bCs/>
          <w:i/>
          <w:bdr w:val="nil"/>
          <w:lang w:val="en-US"/>
        </w:rPr>
      </w:pPr>
      <w:r w:rsidRPr="0047490E">
        <w:rPr>
          <w:rFonts w:ascii="Arial" w:eastAsia="Arial" w:hAnsi="Arial" w:cs="Arial"/>
          <w:b/>
          <w:bCs/>
          <w:i/>
          <w:lang w:val="en-US"/>
        </w:rPr>
        <w:t xml:space="preserve">The issuance of our common stock upon the exercise of </w:t>
      </w:r>
      <w:r w:rsidR="00F611AC">
        <w:rPr>
          <w:rFonts w:ascii="Arial" w:eastAsia="Arial" w:hAnsi="Arial" w:cs="Arial"/>
          <w:b/>
          <w:bCs/>
          <w:i/>
          <w:lang w:val="en-US"/>
        </w:rPr>
        <w:t>the</w:t>
      </w:r>
      <w:r w:rsidRPr="0047490E">
        <w:rPr>
          <w:rFonts w:ascii="Arial" w:eastAsia="Arial" w:hAnsi="Arial" w:cs="Arial"/>
          <w:b/>
          <w:bCs/>
          <w:i/>
          <w:lang w:val="en-US"/>
        </w:rPr>
        <w:t xml:space="preserve"> Warrants may depress our stock price.</w:t>
      </w:r>
    </w:p>
    <w:p w14:paraId="71F3DE58" w14:textId="77777777" w:rsidR="00D0187F" w:rsidRPr="00407049" w:rsidRDefault="00D0187F" w:rsidP="002D6029">
      <w:pPr>
        <w:pBdr>
          <w:top w:val="nil"/>
          <w:left w:val="nil"/>
          <w:bottom w:val="nil"/>
          <w:right w:val="nil"/>
          <w:between w:val="nil"/>
          <w:bar w:val="nil"/>
        </w:pBdr>
        <w:rPr>
          <w:rFonts w:ascii="Arial" w:eastAsia="Arial" w:hAnsi="Arial" w:cs="Arial"/>
          <w:bdr w:val="nil"/>
          <w:lang w:val="en-US"/>
        </w:rPr>
      </w:pPr>
    </w:p>
    <w:p w14:paraId="71F3DE59" w14:textId="77777777" w:rsidR="008263A8" w:rsidRPr="00407049" w:rsidRDefault="003A4815" w:rsidP="00D0187F">
      <w:pPr>
        <w:pStyle w:val="Char10"/>
        <w:pBdr>
          <w:top w:val="nil"/>
          <w:left w:val="nil"/>
          <w:bottom w:val="nil"/>
          <w:right w:val="nil"/>
          <w:between w:val="nil"/>
          <w:bar w:val="nil"/>
        </w:pBdr>
        <w:spacing w:before="0" w:after="0"/>
        <w:rPr>
          <w:rFonts w:ascii="Arial" w:eastAsia="Arial" w:hAnsi="Arial" w:cs="Arial"/>
          <w:bdr w:val="nil"/>
        </w:rPr>
      </w:pPr>
      <w:r w:rsidRPr="00407049">
        <w:rPr>
          <w:rFonts w:ascii="Arial" w:eastAsia="Arial" w:hAnsi="Arial" w:cs="Arial"/>
        </w:rPr>
        <w:t>Some of the following risks relate principally to the industry in which we operate and our business in general. Other risks relate principally to the securities market and ownership of our securities, including our common stock</w:t>
      </w:r>
      <w:r>
        <w:rPr>
          <w:rFonts w:ascii="Arial" w:eastAsia="Arial" w:hAnsi="Arial" w:cs="Arial"/>
        </w:rPr>
        <w:t>, outstanding warrants</w:t>
      </w:r>
      <w:r w:rsidRPr="00407049">
        <w:rPr>
          <w:rFonts w:ascii="Arial" w:eastAsia="Arial" w:hAnsi="Arial" w:cs="Arial"/>
        </w:rPr>
        <w:t xml:space="preserve"> and our Series B Preferred Shares. The occurrence of any of the events described in this section could significantly and negatively affect our business, financial condition, operating results, cash available for the payment of dividends on our shares and interest on our loan facilities and </w:t>
      </w:r>
      <w:r>
        <w:rPr>
          <w:rFonts w:ascii="Arial" w:eastAsia="Arial" w:hAnsi="Arial" w:cs="Arial"/>
        </w:rPr>
        <w:t>b</w:t>
      </w:r>
      <w:r w:rsidRPr="00407049">
        <w:rPr>
          <w:rFonts w:ascii="Arial" w:eastAsia="Arial" w:hAnsi="Arial" w:cs="Arial"/>
        </w:rPr>
        <w:t>ond, or the trading price of our securities.</w:t>
      </w:r>
    </w:p>
    <w:p w14:paraId="71F3DE5A" w14:textId="77777777" w:rsidR="00510CAA" w:rsidRPr="00043969" w:rsidRDefault="00510CAA">
      <w:pPr>
        <w:pBdr>
          <w:top w:val="nil"/>
          <w:left w:val="nil"/>
          <w:bottom w:val="nil"/>
          <w:right w:val="nil"/>
          <w:between w:val="nil"/>
          <w:bar w:val="nil"/>
        </w:pBdr>
        <w:jc w:val="both"/>
        <w:rPr>
          <w:rFonts w:eastAsia="Arial" w:cs="Arial"/>
          <w:bdr w:val="nil"/>
          <w:lang w:val="en-US"/>
        </w:rPr>
      </w:pPr>
    </w:p>
    <w:p w14:paraId="71F3DE5B" w14:textId="77777777" w:rsidR="00D6002A" w:rsidRPr="00C04218" w:rsidRDefault="003A4815" w:rsidP="00F00101">
      <w:pPr>
        <w:pStyle w:val="Heading2"/>
        <w:pBdr>
          <w:top w:val="nil"/>
          <w:left w:val="nil"/>
          <w:bottom w:val="nil"/>
          <w:right w:val="nil"/>
          <w:between w:val="nil"/>
          <w:bar w:val="nil"/>
        </w:pBdr>
        <w:jc w:val="both"/>
        <w:rPr>
          <w:rFonts w:ascii="Arial" w:eastAsia="Arial" w:hAnsi="Arial" w:cs="Arial"/>
          <w:i w:val="0"/>
          <w:color w:val="auto"/>
          <w:bdr w:val="nil"/>
        </w:rPr>
      </w:pPr>
      <w:bookmarkStart w:id="75" w:name="RG_MARKER_23072"/>
      <w:r w:rsidRPr="00C04218">
        <w:rPr>
          <w:rFonts w:ascii="Arial" w:eastAsia="Arial" w:hAnsi="Arial" w:cs="Arial"/>
          <w:i w:val="0"/>
          <w:color w:val="auto"/>
        </w:rPr>
        <w:t>Industry Specific Risk Factors</w:t>
      </w:r>
      <w:bookmarkEnd w:id="75"/>
    </w:p>
    <w:p w14:paraId="71F3DE5C" w14:textId="77777777" w:rsidR="00D6002A" w:rsidRPr="000D35C6" w:rsidRDefault="00D6002A" w:rsidP="00A0643F">
      <w:pPr>
        <w:keepNext/>
        <w:keepLines/>
        <w:pBdr>
          <w:top w:val="nil"/>
          <w:left w:val="nil"/>
          <w:bottom w:val="nil"/>
          <w:right w:val="nil"/>
          <w:between w:val="nil"/>
          <w:bar w:val="nil"/>
        </w:pBdr>
        <w:suppressAutoHyphens/>
        <w:jc w:val="both"/>
        <w:rPr>
          <w:rFonts w:eastAsia="Arial" w:cs="Arial"/>
          <w:bdr w:val="nil"/>
          <w:lang w:val="en-US"/>
        </w:rPr>
      </w:pPr>
    </w:p>
    <w:p w14:paraId="71F3DE5D" w14:textId="77777777" w:rsidR="0030537F" w:rsidRPr="000D35C6" w:rsidRDefault="003A4815" w:rsidP="00F0010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Charter hire rates for dry bulk vessels are volatile and have fluctuated significantly in the past years, which may adversely affect our earnings, revenues and profitability and our ability to comply with our loan covenants.</w:t>
      </w:r>
    </w:p>
    <w:p w14:paraId="71F3DE5E" w14:textId="77777777" w:rsidR="00A0643F" w:rsidRDefault="00A0643F" w:rsidP="00D67F50">
      <w:pPr>
        <w:keepNext/>
        <w:keepLines/>
        <w:pBdr>
          <w:top w:val="nil"/>
          <w:left w:val="nil"/>
          <w:bottom w:val="nil"/>
          <w:right w:val="nil"/>
          <w:between w:val="nil"/>
          <w:bar w:val="nil"/>
        </w:pBdr>
        <w:jc w:val="both"/>
        <w:rPr>
          <w:rFonts w:eastAsia="Arial" w:cs="Arial"/>
          <w:bdr w:val="nil"/>
          <w:lang w:val="en-US"/>
        </w:rPr>
      </w:pPr>
    </w:p>
    <w:p w14:paraId="71F3DE5F" w14:textId="77777777" w:rsidR="00A0643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Substantially all of our revenues are derived from a single market, the dry bulk segment, and therefore our financial results are subject to cyclicality of the dry bulk shipping industry and any attendant volatility in charter hire rates and profitability. The degree of charter hire rate volatility among different types of dry bulk vessels has varied widely, and time charter and spot market rates for dry bulk vessel</w:t>
      </w:r>
      <w:r w:rsidR="001575AA">
        <w:rPr>
          <w:rFonts w:ascii="Arial" w:eastAsia="Arial" w:hAnsi="Arial" w:cs="Arial"/>
          <w:bdr w:val="none" w:sz="0" w:space="0" w:color="auto" w:frame="1"/>
          <w:lang w:val="en-US"/>
        </w:rPr>
        <w:t>s</w:t>
      </w:r>
      <w:r w:rsidRPr="000D35C6">
        <w:rPr>
          <w:rFonts w:ascii="Arial" w:eastAsia="Arial" w:hAnsi="Arial" w:cs="Arial"/>
          <w:bdr w:val="none" w:sz="0" w:space="0" w:color="auto" w:frame="1"/>
          <w:lang w:val="en-US"/>
        </w:rPr>
        <w:t xml:space="preserve"> have in the past declined below the operating costs of vessels. When we charter our vessels pursuant to short-term time charters, we are exposed to changes in short-term charter rates for dry bulk carriers and such changes may affect our earnings. Fluctuations in charter rates result from changes in the supply of and demand for vessel capacity and changes in the supply of and demand for the major commodities carried by water internationally. Because the factors affecting the supply of and demand for vessels are outside of our control and are unpredictable, the nature, timing, direction and degree of changes in industry conditions are also unpredictable. </w:t>
      </w:r>
      <w:r w:rsidR="001575AA" w:rsidRPr="000D35C6">
        <w:rPr>
          <w:rFonts w:ascii="Arial" w:eastAsia="Arial" w:hAnsi="Arial" w:cs="Arial"/>
          <w:bdr w:val="none" w:sz="0" w:space="0" w:color="auto" w:frame="1"/>
          <w:lang w:val="en-US"/>
        </w:rPr>
        <w:t xml:space="preserve">We cannot assure you that we will be able to successfully charter our vessels in the future or renew existing charters at rates sufficient to allow us to meet our obligations or pay any dividends in the future. </w:t>
      </w:r>
      <w:r w:rsidRPr="000D35C6">
        <w:rPr>
          <w:rFonts w:ascii="Arial" w:eastAsia="Arial" w:hAnsi="Arial" w:cs="Arial"/>
          <w:bdr w:val="none" w:sz="0" w:space="0" w:color="auto" w:frame="1"/>
          <w:lang w:val="en-US"/>
        </w:rPr>
        <w:t>A significant decrease in charter rates would adversely affect our profitability, cash flows and may cause vessel values to decline, and, as a result, we may have to record an impairment charge in our consolidated financial statements which could adversely affect our financial results.</w:t>
      </w:r>
    </w:p>
    <w:p w14:paraId="71F3DE60" w14:textId="77777777" w:rsidR="00097750" w:rsidRPr="00013B91" w:rsidRDefault="00097750" w:rsidP="00F00101">
      <w:pPr>
        <w:pBdr>
          <w:top w:val="nil"/>
          <w:left w:val="nil"/>
          <w:bottom w:val="nil"/>
          <w:right w:val="nil"/>
          <w:between w:val="nil"/>
          <w:bar w:val="nil"/>
        </w:pBdr>
        <w:jc w:val="both"/>
        <w:rPr>
          <w:rFonts w:eastAsia="Arial" w:cs="Arial"/>
          <w:bdr w:val="nil"/>
          <w:lang w:val="en-US"/>
        </w:rPr>
      </w:pPr>
    </w:p>
    <w:p w14:paraId="71F3DE61" w14:textId="77777777" w:rsidR="000351EB" w:rsidRDefault="003A4815" w:rsidP="00F00101">
      <w:pPr>
        <w:pBdr>
          <w:top w:val="nil"/>
          <w:left w:val="nil"/>
          <w:bottom w:val="nil"/>
          <w:right w:val="nil"/>
          <w:between w:val="nil"/>
          <w:bar w:val="nil"/>
        </w:pBdr>
        <w:jc w:val="both"/>
        <w:rPr>
          <w:rFonts w:eastAsia="Arial" w:cs="Arial"/>
          <w:bdr w:val="nil"/>
          <w:lang w:val="en-US"/>
        </w:rPr>
      </w:pPr>
      <w:r w:rsidRPr="007C28C9">
        <w:rPr>
          <w:rFonts w:ascii="Arial" w:eastAsia="Arial" w:hAnsi="Arial" w:cs="Arial"/>
          <w:bdr w:val="none" w:sz="0" w:space="0" w:color="auto" w:frame="1"/>
          <w:lang w:val="en-US"/>
        </w:rPr>
        <w:t>In 2025, dry bulk shipping showed mixed performance across vessel sizes. Capesizes remained the strongest, supported by steady long</w:t>
      </w:r>
      <w:r w:rsidRPr="007C28C9">
        <w:rPr>
          <w:rFonts w:ascii="Arial" w:eastAsia="Arial" w:hAnsi="Arial" w:cs="Arial"/>
          <w:bdr w:val="none" w:sz="0" w:space="0" w:color="auto" w:frame="1"/>
          <w:lang w:val="en-US"/>
        </w:rPr>
        <w:noBreakHyphen/>
        <w:t>haul iron ore and bauxite trades and expectations for new projects like Simandou. Panamax and Supramax markets softened due to increased vessel supply and weaker Chinese demand, but Panamax activity was risen mid year driven by strong Brazilian soyabean and corn exports from ECSA, although oversupply and softer Chinese buying still pressured rates. Ongoing conflicts, geopolitical tensions, U.S.–China tariffs, and shifting trade policies added further uncertainty, making scheduling and freight levels less predictable. At the same time, FuelEU Maritime and the expanding EU ETS added cost pressure as ships calling EU ports faced stricter fuel rules and rising obligations.</w:t>
      </w:r>
    </w:p>
    <w:p w14:paraId="71F3DE62" w14:textId="77777777" w:rsidR="007C28C9" w:rsidRPr="007C28C9" w:rsidRDefault="007C28C9" w:rsidP="00F00101">
      <w:pPr>
        <w:pBdr>
          <w:top w:val="nil"/>
          <w:left w:val="nil"/>
          <w:bottom w:val="nil"/>
          <w:right w:val="nil"/>
          <w:between w:val="nil"/>
          <w:bar w:val="nil"/>
        </w:pBdr>
        <w:jc w:val="both"/>
        <w:rPr>
          <w:rFonts w:eastAsia="Arial" w:cs="Arial"/>
          <w:bdr w:val="nil"/>
          <w:lang w:val="en-US"/>
        </w:rPr>
      </w:pPr>
    </w:p>
    <w:p w14:paraId="71F3DE63"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Factors that influence demand for dry bulk vessel capacity include:</w:t>
      </w:r>
    </w:p>
    <w:p w14:paraId="71F3DE64"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p w14:paraId="71F3DE65"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supply of and demand for energy resources, commodities, and semi-finished and finished consumer and industrial products;</w:t>
      </w:r>
    </w:p>
    <w:p w14:paraId="71F3DE66"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67"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changes in the exploration or production of energy resources, commodities, and semi-finished and finished consumer and industrial products;</w:t>
      </w:r>
    </w:p>
    <w:p w14:paraId="71F3DE68"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69" w14:textId="77777777" w:rsidR="0030537F"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location of regional and global exploration, production and manufacturing facilities;</w:t>
      </w:r>
    </w:p>
    <w:p w14:paraId="71F3DE6A" w14:textId="77777777" w:rsidR="00D83DE1" w:rsidRPr="00D83DE1" w:rsidRDefault="00D83DE1" w:rsidP="00D83DE1">
      <w:pPr>
        <w:pStyle w:val="ListParagraph"/>
        <w:pBdr>
          <w:top w:val="nil"/>
          <w:left w:val="nil"/>
          <w:bottom w:val="nil"/>
          <w:right w:val="nil"/>
          <w:between w:val="nil"/>
          <w:bar w:val="nil"/>
        </w:pBdr>
        <w:contextualSpacing w:val="0"/>
        <w:jc w:val="both"/>
        <w:rPr>
          <w:rFonts w:ascii="Arial" w:eastAsia="Arial" w:hAnsi="Arial" w:cs="Arial"/>
          <w:bdr w:val="nil"/>
          <w:lang w:val="en-US"/>
        </w:rPr>
      </w:pPr>
    </w:p>
    <w:p w14:paraId="71F3DE6B" w14:textId="77777777" w:rsidR="00D83DE1" w:rsidRPr="00D83DE1" w:rsidRDefault="003A4815" w:rsidP="00D83DE1">
      <w:pPr>
        <w:pStyle w:val="ListParagraph"/>
        <w:numPr>
          <w:ilvl w:val="0"/>
          <w:numId w:val="4"/>
        </w:num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dr w:val="none" w:sz="0" w:space="0" w:color="auto" w:frame="1"/>
          <w:lang w:val="en-US"/>
        </w:rPr>
        <w:t>availability of credit to finance international trade;</w:t>
      </w:r>
    </w:p>
    <w:p w14:paraId="71F3DE6C"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6D"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location of consuming regions for energy resources, commodities, and semi-finished and finished consumer and industrial products;</w:t>
      </w:r>
    </w:p>
    <w:p w14:paraId="71F3DE6E"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6F"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globalization of production and manufacturing;</w:t>
      </w:r>
    </w:p>
    <w:p w14:paraId="71F3DE70"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1" w14:textId="77777777" w:rsidR="009462D7" w:rsidRPr="009462D7" w:rsidRDefault="003A4815" w:rsidP="009462D7">
      <w:pPr>
        <w:numPr>
          <w:ilvl w:val="0"/>
          <w:numId w:val="5"/>
        </w:numPr>
        <w:pBdr>
          <w:top w:val="nil"/>
          <w:left w:val="nil"/>
          <w:bottom w:val="nil"/>
          <w:right w:val="nil"/>
          <w:between w:val="nil"/>
          <w:bar w:val="nil"/>
        </w:pBdr>
        <w:jc w:val="both"/>
        <w:rPr>
          <w:rFonts w:eastAsia="Arial" w:cs="Arial"/>
          <w:bdr w:val="nil"/>
          <w:lang w:val="en-US"/>
        </w:rPr>
      </w:pPr>
      <w:r w:rsidRPr="009462D7">
        <w:rPr>
          <w:rFonts w:ascii="Arial" w:eastAsia="Arial" w:hAnsi="Arial" w:cs="Arial"/>
          <w:bdr w:val="none" w:sz="0" w:space="0" w:color="auto" w:frame="1"/>
          <w:lang w:val="en-US"/>
        </w:rPr>
        <w:t>global and regional economic and political conditions, armed conflicts, such as those between Russia and Ukraine and between the U.S. and its allies, and Iran, trade disruption in the Red Sea region and fluctuations in industrial and agricultural production;</w:t>
      </w:r>
    </w:p>
    <w:p w14:paraId="71F3DE72"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3"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disruptions and developments in international trade;</w:t>
      </w:r>
    </w:p>
    <w:p w14:paraId="71F3DE74"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5"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changes in seaborne and other transportation patterns, including the distance cargo is transported by sea</w:t>
      </w:r>
      <w:r w:rsidR="00706DF7" w:rsidRPr="00F00101">
        <w:rPr>
          <w:rFonts w:ascii="Arial" w:eastAsia="Arial" w:hAnsi="Arial" w:cs="Arial"/>
          <w:lang w:val="en-US"/>
        </w:rPr>
        <w:t xml:space="preserve"> for reasons including but not limited to reductions in canal capacities and geopolitical conflicts and military responses</w:t>
      </w:r>
      <w:r w:rsidRPr="00F00101">
        <w:rPr>
          <w:rFonts w:ascii="Arial" w:eastAsia="Arial" w:hAnsi="Arial" w:cs="Arial"/>
          <w:bdr w:val="none" w:sz="0" w:space="0" w:color="auto" w:frame="1"/>
          <w:lang w:val="en-US"/>
        </w:rPr>
        <w:t>;</w:t>
      </w:r>
    </w:p>
    <w:p w14:paraId="71F3DE76"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7"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international sanctions, embargoes,</w:t>
      </w:r>
      <w:r w:rsidR="00D83DE1">
        <w:rPr>
          <w:rFonts w:ascii="Arial" w:eastAsia="Arial" w:hAnsi="Arial" w:cs="Arial"/>
          <w:bdr w:val="none" w:sz="0" w:space="0" w:color="auto" w:frame="1"/>
          <w:lang w:val="en-US"/>
        </w:rPr>
        <w:t xml:space="preserve"> strikes,</w:t>
      </w:r>
      <w:r w:rsidRPr="00F00101">
        <w:rPr>
          <w:rFonts w:ascii="Arial" w:eastAsia="Arial" w:hAnsi="Arial" w:cs="Arial"/>
          <w:bdr w:val="none" w:sz="0" w:space="0" w:color="auto" w:frame="1"/>
          <w:lang w:val="en-US"/>
        </w:rPr>
        <w:t xml:space="preserve"> import and export restrictions, nationalizations, piracy, and terrorist attacks;</w:t>
      </w:r>
    </w:p>
    <w:p w14:paraId="71F3DE78"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9"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legal and regulatory changes including regulations adopted by supranational authorities and/or industry bodies, such as safety and environmental regulations and requirements;</w:t>
      </w:r>
    </w:p>
    <w:p w14:paraId="71F3DE7A"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B"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weather and acts of God and natural disasters;</w:t>
      </w:r>
    </w:p>
    <w:p w14:paraId="71F3DE7C"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D"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environmental and other regulatory developments;</w:t>
      </w:r>
    </w:p>
    <w:p w14:paraId="71F3DE7E"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7F"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currency exchange rates, specifically versus USD; and</w:t>
      </w:r>
    </w:p>
    <w:p w14:paraId="71F3DE80"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81" w14:textId="77777777" w:rsidR="0030537F" w:rsidRPr="00F00101" w:rsidRDefault="003A4815" w:rsidP="00F00101">
      <w:pPr>
        <w:pStyle w:val="ListParagraph"/>
        <w:numPr>
          <w:ilvl w:val="0"/>
          <w:numId w:val="4"/>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lang w:val="en-US"/>
        </w:rPr>
        <w:t>economic slowdowns caused by public health pandemics</w:t>
      </w:r>
      <w:r w:rsidR="00A6144A" w:rsidRPr="00F00101">
        <w:rPr>
          <w:rFonts w:ascii="Arial" w:eastAsia="Arial" w:hAnsi="Arial" w:cs="Arial"/>
          <w:bdr w:val="none" w:sz="0" w:space="0" w:color="auto" w:frame="1"/>
          <w:lang w:val="en-US"/>
        </w:rPr>
        <w:t>.</w:t>
      </w:r>
    </w:p>
    <w:p w14:paraId="71F3DE82"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83" w14:textId="77777777" w:rsidR="0030537F" w:rsidRDefault="003A4815" w:rsidP="00F00101">
      <w:pPr>
        <w:pBdr>
          <w:top w:val="nil"/>
          <w:left w:val="nil"/>
          <w:bottom w:val="nil"/>
          <w:right w:val="nil"/>
          <w:between w:val="nil"/>
          <w:bar w:val="nil"/>
        </w:pBdr>
        <w:jc w:val="both"/>
        <w:rPr>
          <w:rFonts w:eastAsia="Arial" w:cs="Arial"/>
          <w:bdr w:val="nil"/>
          <w:lang w:val="en-US"/>
        </w:rPr>
      </w:pPr>
      <w:bookmarkStart w:id="76" w:name="_Hlk130401112"/>
      <w:r w:rsidRPr="000D35C6">
        <w:rPr>
          <w:rFonts w:ascii="Arial" w:eastAsia="Arial" w:hAnsi="Arial" w:cs="Arial"/>
          <w:bdr w:val="none" w:sz="0" w:space="0" w:color="auto" w:frame="1"/>
          <w:lang w:val="en-US"/>
        </w:rPr>
        <w:t>Demand for our dry bulk oceangoing vessels is dependent upon economic growth in the world’s economies, seasonal and regional changes in demand and changes to the capacity of the global dry bulk fleet and the sources and supply for dry bulk cargo transported by sea. Continued adverse economic, political or social conditions or other developments could negatively impact charter rates and therefore have a material adverse effect on our business results, results of operations and ability to pay dividends.</w:t>
      </w:r>
    </w:p>
    <w:p w14:paraId="71F3DE84"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bookmarkEnd w:id="76"/>
    <w:p w14:paraId="71F3DE85"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Factors that influence the supply of dry bulk vessel capacity include:</w:t>
      </w:r>
    </w:p>
    <w:p w14:paraId="71F3DE86"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p w14:paraId="71F3DE87"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number of newbuilding orders and deliveries, including slippage in deliveries;</w:t>
      </w:r>
    </w:p>
    <w:p w14:paraId="71F3DE88"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89"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number of shipyards and ability of shipyards to deliver vessels;</w:t>
      </w:r>
    </w:p>
    <w:p w14:paraId="71F3DE8A"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8B" w14:textId="77777777" w:rsidR="0030537F" w:rsidRPr="00DF0398"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port or canal congestion;</w:t>
      </w:r>
    </w:p>
    <w:p w14:paraId="71F3DE8C" w14:textId="77777777" w:rsidR="00A0643F" w:rsidRPr="00DF0398" w:rsidRDefault="00A0643F" w:rsidP="00F00101">
      <w:pPr>
        <w:pBdr>
          <w:top w:val="nil"/>
          <w:left w:val="nil"/>
          <w:bottom w:val="nil"/>
          <w:right w:val="nil"/>
          <w:between w:val="nil"/>
          <w:bar w:val="nil"/>
        </w:pBdr>
        <w:jc w:val="both"/>
        <w:rPr>
          <w:rFonts w:eastAsia="Arial" w:cs="Arial"/>
          <w:bdr w:val="nil"/>
          <w:lang w:val="en-US"/>
        </w:rPr>
      </w:pPr>
    </w:p>
    <w:p w14:paraId="71F3DE8D" w14:textId="77777777" w:rsidR="0030537F" w:rsidRPr="00DF0398"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potential disruption, including supply chain disruptions, of shipping routes due to accidents or political events;</w:t>
      </w:r>
    </w:p>
    <w:p w14:paraId="71F3DE8E" w14:textId="77777777" w:rsidR="00A0643F" w:rsidRPr="00DF0398" w:rsidRDefault="00A0643F" w:rsidP="00F00101">
      <w:pPr>
        <w:pBdr>
          <w:top w:val="nil"/>
          <w:left w:val="nil"/>
          <w:bottom w:val="nil"/>
          <w:right w:val="nil"/>
          <w:between w:val="nil"/>
          <w:bar w:val="nil"/>
        </w:pBdr>
        <w:jc w:val="both"/>
        <w:rPr>
          <w:rFonts w:eastAsia="Arial" w:cs="Arial"/>
          <w:bdr w:val="nil"/>
          <w:lang w:val="en-US"/>
        </w:rPr>
      </w:pPr>
    </w:p>
    <w:p w14:paraId="71F3DE8F" w14:textId="77777777" w:rsidR="0030537F" w:rsidRPr="00DF0398"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speed of vessel operation;</w:t>
      </w:r>
    </w:p>
    <w:p w14:paraId="71F3DE90" w14:textId="77777777" w:rsidR="00A0643F" w:rsidRPr="00DF0398" w:rsidRDefault="00A0643F" w:rsidP="00F00101">
      <w:pPr>
        <w:pBdr>
          <w:top w:val="nil"/>
          <w:left w:val="nil"/>
          <w:bottom w:val="nil"/>
          <w:right w:val="nil"/>
          <w:between w:val="nil"/>
          <w:bar w:val="nil"/>
        </w:pBdr>
        <w:jc w:val="both"/>
        <w:rPr>
          <w:rFonts w:eastAsia="Arial" w:cs="Arial"/>
          <w:bdr w:val="nil"/>
          <w:lang w:val="en-US"/>
        </w:rPr>
      </w:pPr>
    </w:p>
    <w:p w14:paraId="71F3DE91" w14:textId="77777777" w:rsidR="0030537F" w:rsidRPr="00DF0398"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vessel casualties;</w:t>
      </w:r>
    </w:p>
    <w:p w14:paraId="71F3DE92" w14:textId="77777777" w:rsidR="00A0643F" w:rsidRPr="00DF0398" w:rsidRDefault="00A0643F" w:rsidP="00F00101">
      <w:pPr>
        <w:pBdr>
          <w:top w:val="nil"/>
          <w:left w:val="nil"/>
          <w:bottom w:val="nil"/>
          <w:right w:val="nil"/>
          <w:between w:val="nil"/>
          <w:bar w:val="nil"/>
        </w:pBdr>
        <w:jc w:val="both"/>
        <w:rPr>
          <w:rFonts w:eastAsia="Arial" w:cs="Arial"/>
          <w:bdr w:val="nil"/>
          <w:lang w:val="en-US"/>
        </w:rPr>
      </w:pPr>
    </w:p>
    <w:p w14:paraId="71F3DE93" w14:textId="77777777" w:rsidR="0030537F" w:rsidRPr="00DF0398"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technological advances in vessel design and capacity;</w:t>
      </w:r>
    </w:p>
    <w:p w14:paraId="71F3DE94" w14:textId="77777777" w:rsidR="00A0643F" w:rsidRPr="00DF0398" w:rsidRDefault="00A0643F" w:rsidP="00F00101">
      <w:pPr>
        <w:pBdr>
          <w:top w:val="nil"/>
          <w:left w:val="nil"/>
          <w:bottom w:val="nil"/>
          <w:right w:val="nil"/>
          <w:between w:val="nil"/>
          <w:bar w:val="nil"/>
        </w:pBdr>
        <w:jc w:val="both"/>
        <w:rPr>
          <w:rFonts w:eastAsia="Arial" w:cs="Arial"/>
          <w:bdr w:val="nil"/>
          <w:lang w:val="en-US"/>
        </w:rPr>
      </w:pPr>
    </w:p>
    <w:p w14:paraId="71F3DE95"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DF0398">
        <w:rPr>
          <w:rFonts w:ascii="Arial" w:eastAsia="Arial" w:hAnsi="Arial" w:cs="Arial"/>
          <w:bdr w:val="none" w:sz="0" w:space="0" w:color="auto" w:frame="1"/>
          <w:lang w:val="en-US"/>
        </w:rPr>
        <w:t>the degree of scrapping or recycling of older vessels, depending, among other things, on</w:t>
      </w:r>
      <w:r w:rsidRPr="00F00101">
        <w:rPr>
          <w:rFonts w:ascii="Arial" w:eastAsia="Arial" w:hAnsi="Arial" w:cs="Arial"/>
          <w:bdr w:val="none" w:sz="0" w:space="0" w:color="auto" w:frame="1"/>
          <w:lang w:val="en-US"/>
        </w:rPr>
        <w:t xml:space="preserve"> scrapping or recycling rates and international scrapping or recycling regulations;</w:t>
      </w:r>
    </w:p>
    <w:p w14:paraId="71F3DE96"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97"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the price of steel and vessel equipment;</w:t>
      </w:r>
    </w:p>
    <w:p w14:paraId="71F3DE98"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99"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product imbalances (affecting level of trading activity) and developments in international trade;</w:t>
      </w:r>
    </w:p>
    <w:p w14:paraId="71F3DE9A"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9B"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 xml:space="preserve">the number of vessels that are out of service, namely those that are laid-up, drydocked, awaiting repairs or otherwise not available for hire; </w:t>
      </w:r>
    </w:p>
    <w:p w14:paraId="71F3DE9C"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9D"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availability of financing for new vessels and shipping activity;</w:t>
      </w:r>
    </w:p>
    <w:p w14:paraId="71F3DE9E"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9F"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changes in international regulations that may effectively cause reductions in the carrying capacity of vessels or early obsolescence of tonnage; and</w:t>
      </w:r>
    </w:p>
    <w:p w14:paraId="71F3DEA0"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A1" w14:textId="77777777" w:rsidR="0030537F" w:rsidRPr="00F00101" w:rsidRDefault="003A4815" w:rsidP="00F00101">
      <w:pPr>
        <w:pStyle w:val="ListParagraph"/>
        <w:numPr>
          <w:ilvl w:val="0"/>
          <w:numId w:val="6"/>
        </w:numPr>
        <w:pBdr>
          <w:top w:val="nil"/>
          <w:left w:val="nil"/>
          <w:bottom w:val="nil"/>
          <w:right w:val="nil"/>
          <w:between w:val="nil"/>
          <w:bar w:val="nil"/>
        </w:pBdr>
        <w:contextualSpacing w:val="0"/>
        <w:jc w:val="both"/>
        <w:rPr>
          <w:rFonts w:ascii="Arial" w:eastAsia="Arial" w:hAnsi="Arial" w:cs="Arial"/>
          <w:bdr w:val="nil"/>
          <w:lang w:val="en-US"/>
        </w:rPr>
      </w:pPr>
      <w:r w:rsidRPr="00F00101">
        <w:rPr>
          <w:rFonts w:ascii="Arial" w:eastAsia="Arial" w:hAnsi="Arial" w:cs="Arial"/>
          <w:bdr w:val="none" w:sz="0" w:space="0" w:color="auto" w:frame="1"/>
          <w:lang w:val="en-US"/>
        </w:rPr>
        <w:t xml:space="preserve">changes in environmental and other regulations that may limit the useful lives </w:t>
      </w:r>
      <w:r w:rsidRPr="00F00101">
        <w:rPr>
          <w:rFonts w:ascii="Arial" w:eastAsia="Arial" w:hAnsi="Arial" w:cs="Arial"/>
          <w:lang w:val="en-US"/>
        </w:rPr>
        <w:t xml:space="preserve">and trading patterns </w:t>
      </w:r>
      <w:r w:rsidRPr="00F00101">
        <w:rPr>
          <w:rFonts w:ascii="Arial" w:eastAsia="Arial" w:hAnsi="Arial" w:cs="Arial"/>
          <w:bdr w:val="none" w:sz="0" w:space="0" w:color="auto" w:frame="1"/>
          <w:lang w:val="en-US"/>
        </w:rPr>
        <w:t>of vessels.</w:t>
      </w:r>
    </w:p>
    <w:p w14:paraId="71F3DEA2" w14:textId="77777777" w:rsidR="00A0643F" w:rsidRPr="000D35C6" w:rsidRDefault="00A0643F" w:rsidP="00F00101">
      <w:pPr>
        <w:pBdr>
          <w:top w:val="nil"/>
          <w:left w:val="nil"/>
          <w:bottom w:val="nil"/>
          <w:right w:val="nil"/>
          <w:between w:val="nil"/>
          <w:bar w:val="nil"/>
        </w:pBdr>
        <w:jc w:val="both"/>
        <w:rPr>
          <w:rFonts w:eastAsia="Arial" w:cs="Arial"/>
          <w:bdr w:val="nil"/>
          <w:lang w:val="en-US"/>
        </w:rPr>
      </w:pPr>
    </w:p>
    <w:p w14:paraId="71F3DEA3"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In addition to the prevailing and anticipated </w:t>
      </w:r>
      <w:r w:rsidR="00476779">
        <w:rPr>
          <w:rFonts w:ascii="Arial" w:eastAsia="Arial" w:hAnsi="Arial" w:cs="Arial"/>
          <w:bdr w:val="none" w:sz="0" w:space="0" w:color="auto" w:frame="1"/>
          <w:lang w:val="en-US"/>
        </w:rPr>
        <w:t>charter</w:t>
      </w:r>
      <w:r w:rsidRPr="000D35C6">
        <w:rPr>
          <w:rFonts w:ascii="Arial" w:eastAsia="Arial" w:hAnsi="Arial" w:cs="Arial"/>
          <w:bdr w:val="none" w:sz="0" w:space="0" w:color="auto" w:frame="1"/>
          <w:lang w:val="en-US"/>
        </w:rPr>
        <w:t xml:space="preserve"> rates, factors that affect the rate of newbuilding, scrapping and laying-up include newbuilding prices, secondhand vessel values in relation to scrap prices, costs of bunkers and other operating costs, costs associated with classification society surveys, normal maintenance and insurance coverage costs, the efficiency and age profile of the existing dry bulk fleet in the market and government and industry regulation of maritime transportation practices, particularly environmental protection laws and regulations. These factors influencing the supply of and demand for shipping capacity are outside of our control, and we may not be able to correctly assess the nature, timing and degree of changes in industry conditions.</w:t>
      </w:r>
    </w:p>
    <w:p w14:paraId="71F3DEA4"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p w14:paraId="71F3DEA5" w14:textId="77777777" w:rsidR="00D83DE1" w:rsidRPr="00D83DE1" w:rsidRDefault="003A4815" w:rsidP="00D83DE1">
      <w:pPr>
        <w:pBdr>
          <w:top w:val="nil"/>
          <w:left w:val="nil"/>
          <w:bottom w:val="nil"/>
          <w:right w:val="nil"/>
          <w:between w:val="nil"/>
          <w:bar w:val="nil"/>
        </w:pBdr>
        <w:jc w:val="both"/>
        <w:rPr>
          <w:rFonts w:eastAsia="Arial" w:cs="Arial"/>
          <w:bdr w:val="nil"/>
          <w:lang w:val="en-US"/>
        </w:rPr>
      </w:pPr>
      <w:r w:rsidRPr="00D83DE1">
        <w:rPr>
          <w:rFonts w:ascii="Arial" w:eastAsia="Arial" w:hAnsi="Arial" w:cs="Arial"/>
          <w:bdr w:val="none" w:sz="0" w:space="0" w:color="auto" w:frame="1"/>
          <w:lang w:val="en-US"/>
        </w:rPr>
        <w:t>We anticipate that the future demand for our drybulk vessels and the charter rates of the drybulk market will be dependent upon economic recovery and growth in the United States, Europe, Japan, China, India and the overall world economy, as well as seasonal and regional changes in demand and changes to the capacity of the world fleet. The capacity of the world fleet may increase and economic growth may not continue. Adverse economic, political, social or other developments could also have a material adverse effect on our business and results of operations.</w:t>
      </w:r>
    </w:p>
    <w:p w14:paraId="71F3DEA6" w14:textId="77777777" w:rsidR="001B7062" w:rsidRPr="001B7062" w:rsidRDefault="001B7062" w:rsidP="00F00101">
      <w:pPr>
        <w:pBdr>
          <w:top w:val="nil"/>
          <w:left w:val="nil"/>
          <w:bottom w:val="nil"/>
          <w:right w:val="nil"/>
          <w:between w:val="nil"/>
          <w:bar w:val="nil"/>
        </w:pBdr>
        <w:jc w:val="both"/>
        <w:rPr>
          <w:rFonts w:eastAsia="Arial" w:cs="Arial"/>
          <w:bdr w:val="nil"/>
          <w:lang w:val="en-US"/>
        </w:rPr>
      </w:pPr>
    </w:p>
    <w:p w14:paraId="71F3DEA7" w14:textId="77777777" w:rsidR="0030537F" w:rsidRDefault="003A4815" w:rsidP="00F0010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The current state of the global financial markets and economic conditions may adversely impact our ability to obtain additional financing on acceptable terms and otherwise negatively impact our business.</w:t>
      </w:r>
    </w:p>
    <w:p w14:paraId="71F3DEA8" w14:textId="77777777" w:rsidR="00A0643F" w:rsidRPr="000D35C6" w:rsidRDefault="00A0643F" w:rsidP="00D67F50">
      <w:pPr>
        <w:keepNext/>
        <w:keepLines/>
        <w:pBdr>
          <w:top w:val="nil"/>
          <w:left w:val="nil"/>
          <w:bottom w:val="nil"/>
          <w:right w:val="nil"/>
          <w:between w:val="nil"/>
          <w:bar w:val="nil"/>
        </w:pBdr>
        <w:jc w:val="both"/>
        <w:rPr>
          <w:rFonts w:eastAsia="Arial" w:cs="Arial"/>
          <w:bdr w:val="nil"/>
          <w:lang w:val="en-US"/>
        </w:rPr>
      </w:pPr>
    </w:p>
    <w:p w14:paraId="71F3DEA9"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Global financial markets can be volatile and contraction in available credit may occur as economic conditions change. In recent years, operating businesses in the global economy have faced weakening demand for goods and services, deteriorating international liquidity conditions, and declining markets which lead to a general decline in the willingness of banks and other financial institutions to extend credit, particularly in the shipping industry. As the shipping industry is highly dependent on the availability of credit to finance and expand operations, it may be negatively affected by such changes and volatility.</w:t>
      </w:r>
    </w:p>
    <w:p w14:paraId="71F3DEAA"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p w14:paraId="71F3DEAB"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We face risks attendant to changes in economic environments, changes in interest rates, and instability in the banking and securities markets around the world, among other factors which may have a material adverse effect on our results of operations and financial condition and may cause the price of our common shares to decline. </w:t>
      </w:r>
    </w:p>
    <w:p w14:paraId="71F3DEAC" w14:textId="77777777" w:rsidR="00A0643F" w:rsidRPr="000D35C6" w:rsidRDefault="00A0643F" w:rsidP="00B92DC0">
      <w:pPr>
        <w:pBdr>
          <w:top w:val="nil"/>
          <w:left w:val="nil"/>
          <w:bottom w:val="nil"/>
          <w:right w:val="nil"/>
          <w:between w:val="nil"/>
          <w:bar w:val="nil"/>
        </w:pBdr>
        <w:jc w:val="both"/>
        <w:rPr>
          <w:rFonts w:eastAsia="Arial" w:cs="Arial"/>
          <w:bdr w:val="nil"/>
          <w:lang w:val="en-US"/>
        </w:rPr>
      </w:pPr>
    </w:p>
    <w:p w14:paraId="71F3DEAD" w14:textId="77777777" w:rsidR="0030537F" w:rsidRPr="00F00101" w:rsidRDefault="003A4815" w:rsidP="00F00101">
      <w:pPr>
        <w:pStyle w:val="Heading3"/>
        <w:pBdr>
          <w:top w:val="nil"/>
          <w:left w:val="nil"/>
          <w:bottom w:val="nil"/>
          <w:right w:val="nil"/>
          <w:between w:val="nil"/>
          <w:bar w:val="nil"/>
        </w:pBdr>
        <w:rPr>
          <w:rFonts w:eastAsia="Arial" w:cs="Arial"/>
          <w:bdr w:val="nil"/>
          <w:lang w:val="en-US"/>
        </w:rPr>
      </w:pPr>
      <w:r w:rsidRPr="00F00101">
        <w:rPr>
          <w:rFonts w:eastAsia="Arial" w:cs="Arial"/>
          <w:bdr w:val="none" w:sz="0" w:space="0" w:color="auto" w:frame="1"/>
          <w:lang w:val="en-US"/>
        </w:rPr>
        <w:t>Global economic conditions may negatively impact the drybulk shipping industry.</w:t>
      </w:r>
    </w:p>
    <w:p w14:paraId="71F3DEAE" w14:textId="77777777" w:rsidR="00A0643F" w:rsidRPr="000D35C6" w:rsidRDefault="00A0643F" w:rsidP="006559AC">
      <w:pPr>
        <w:keepNext/>
        <w:keepLines/>
        <w:pBdr>
          <w:top w:val="nil"/>
          <w:left w:val="nil"/>
          <w:bottom w:val="nil"/>
          <w:right w:val="nil"/>
          <w:between w:val="nil"/>
          <w:bar w:val="nil"/>
        </w:pBdr>
        <w:jc w:val="both"/>
        <w:rPr>
          <w:rFonts w:eastAsia="Arial" w:cs="Arial"/>
          <w:bdr w:val="nil"/>
          <w:lang w:val="en-US"/>
        </w:rPr>
      </w:pPr>
    </w:p>
    <w:p w14:paraId="71F3DEAF" w14:textId="77777777" w:rsidR="0030537F" w:rsidRDefault="003A4815" w:rsidP="00F00101">
      <w:pPr>
        <w:pBdr>
          <w:top w:val="nil"/>
          <w:left w:val="nil"/>
          <w:bottom w:val="nil"/>
          <w:right w:val="nil"/>
          <w:between w:val="nil"/>
          <w:bar w:val="nil"/>
        </w:pBdr>
        <w:jc w:val="both"/>
        <w:rPr>
          <w:rFonts w:eastAsia="Arial" w:cs="Arial"/>
          <w:bdr w:val="nil"/>
          <w:lang w:val="en-US"/>
        </w:rPr>
      </w:pPr>
      <w:bookmarkStart w:id="77" w:name="_Hlk130400878"/>
      <w:r w:rsidRPr="00BC4FAF">
        <w:rPr>
          <w:rFonts w:ascii="Arial" w:eastAsia="Arial" w:hAnsi="Arial" w:cs="Arial"/>
          <w:bdr w:val="none" w:sz="0" w:space="0" w:color="auto" w:frame="1"/>
          <w:lang w:val="en-US"/>
        </w:rPr>
        <w:t xml:space="preserve">Economic growth is expected to </w:t>
      </w:r>
      <w:r>
        <w:rPr>
          <w:rFonts w:ascii="Arial" w:eastAsia="Arial" w:hAnsi="Arial" w:cs="Arial"/>
          <w:bdr w:val="none" w:sz="0" w:space="0" w:color="auto" w:frame="1"/>
          <w:lang w:val="en-US"/>
        </w:rPr>
        <w:t>remain resilient in 202</w:t>
      </w:r>
      <w:r w:rsidR="00D83DE1">
        <w:rPr>
          <w:rFonts w:ascii="Arial" w:eastAsia="Arial" w:hAnsi="Arial" w:cs="Arial"/>
          <w:bdr w:val="none" w:sz="0" w:space="0" w:color="auto" w:frame="1"/>
          <w:lang w:val="en-US"/>
        </w:rPr>
        <w:t>6</w:t>
      </w:r>
      <w:r>
        <w:rPr>
          <w:rFonts w:ascii="Arial" w:eastAsia="Arial" w:hAnsi="Arial" w:cs="Arial"/>
          <w:bdr w:val="none" w:sz="0" w:space="0" w:color="auto" w:frame="1"/>
          <w:lang w:val="en-US"/>
        </w:rPr>
        <w:t xml:space="preserve"> and 202</w:t>
      </w:r>
      <w:r w:rsidR="00D83DE1">
        <w:rPr>
          <w:rFonts w:ascii="Arial" w:eastAsia="Arial" w:hAnsi="Arial" w:cs="Arial"/>
          <w:bdr w:val="none" w:sz="0" w:space="0" w:color="auto" w:frame="1"/>
          <w:lang w:val="en-US"/>
        </w:rPr>
        <w:t>7</w:t>
      </w:r>
      <w:r w:rsidRPr="00BC4FAF">
        <w:rPr>
          <w:rFonts w:ascii="Arial" w:eastAsia="Arial" w:hAnsi="Arial" w:cs="Arial"/>
          <w:bdr w:val="none" w:sz="0" w:space="0" w:color="auto" w:frame="1"/>
          <w:lang w:val="en-US"/>
        </w:rPr>
        <w:t xml:space="preserve">, </w:t>
      </w:r>
      <w:r>
        <w:rPr>
          <w:rFonts w:ascii="Arial" w:eastAsia="Arial" w:hAnsi="Arial" w:cs="Arial"/>
          <w:bdr w:val="none" w:sz="0" w:space="0" w:color="auto" w:frame="1"/>
          <w:lang w:val="en-US"/>
        </w:rPr>
        <w:t xml:space="preserve">despite significant challenges, as inflation is expected to </w:t>
      </w:r>
      <w:r w:rsidR="00D83DE1">
        <w:rPr>
          <w:rFonts w:ascii="Arial" w:eastAsia="Arial" w:hAnsi="Arial" w:cs="Arial"/>
          <w:bdr w:val="none" w:sz="0" w:space="0" w:color="auto" w:frame="1"/>
          <w:lang w:val="en-US"/>
        </w:rPr>
        <w:t xml:space="preserve">continue to </w:t>
      </w:r>
      <w:r>
        <w:rPr>
          <w:rFonts w:ascii="Arial" w:eastAsia="Arial" w:hAnsi="Arial" w:cs="Arial"/>
          <w:bdr w:val="none" w:sz="0" w:space="0" w:color="auto" w:frame="1"/>
          <w:lang w:val="en-US"/>
        </w:rPr>
        <w:t xml:space="preserve">ease further. </w:t>
      </w:r>
      <w:bookmarkEnd w:id="77"/>
      <w:r>
        <w:rPr>
          <w:rFonts w:ascii="Arial" w:eastAsia="Arial" w:hAnsi="Arial" w:cs="Arial"/>
          <w:bdr w:val="none" w:sz="0" w:space="0" w:color="auto" w:frame="1"/>
          <w:lang w:val="en-US"/>
        </w:rPr>
        <w:t>However, m</w:t>
      </w:r>
      <w:r w:rsidR="005A7520" w:rsidRPr="000D35C6">
        <w:rPr>
          <w:rFonts w:ascii="Arial" w:eastAsia="Arial" w:hAnsi="Arial" w:cs="Arial"/>
          <w:bdr w:val="none" w:sz="0" w:space="0" w:color="auto" w:frame="1"/>
          <w:lang w:val="en-US"/>
        </w:rPr>
        <w:t xml:space="preserve">ajor market disruptions and adverse changes in market conditions and regulatory climate in China, the United States, the European Union and worldwide may adversely affect our business or impair our ability to borrow amounts under credit facilities or any future financial arrangements. </w:t>
      </w:r>
    </w:p>
    <w:p w14:paraId="71F3DEB0" w14:textId="77777777" w:rsidR="00A0643F" w:rsidRPr="00BC4FAF" w:rsidRDefault="00A0643F" w:rsidP="00F00101">
      <w:pPr>
        <w:pBdr>
          <w:top w:val="nil"/>
          <w:left w:val="nil"/>
          <w:bottom w:val="nil"/>
          <w:right w:val="nil"/>
          <w:between w:val="nil"/>
          <w:bar w:val="nil"/>
        </w:pBdr>
        <w:jc w:val="both"/>
        <w:rPr>
          <w:rFonts w:eastAsia="Arial" w:cs="Arial"/>
          <w:bdr w:val="nil"/>
          <w:lang w:val="en-US"/>
        </w:rPr>
      </w:pPr>
    </w:p>
    <w:p w14:paraId="71F3DEB1" w14:textId="77777777" w:rsidR="00776ED2" w:rsidRPr="00DB1474" w:rsidRDefault="003A4815" w:rsidP="00776ED2">
      <w:pPr>
        <w:pBdr>
          <w:top w:val="nil"/>
          <w:left w:val="nil"/>
          <w:bottom w:val="nil"/>
          <w:right w:val="nil"/>
          <w:between w:val="nil"/>
          <w:bar w:val="nil"/>
        </w:pBdr>
        <w:jc w:val="both"/>
        <w:rPr>
          <w:rFonts w:eastAsia="Arial" w:cs="Arial"/>
          <w:bdr w:val="nil"/>
          <w:lang w:val="en-US"/>
        </w:rPr>
      </w:pPr>
      <w:r w:rsidRPr="00776ED2">
        <w:rPr>
          <w:rFonts w:ascii="Arial" w:eastAsia="Arial" w:hAnsi="Arial" w:cs="Arial"/>
          <w:bdr w:val="none" w:sz="0" w:space="0" w:color="auto" w:frame="1"/>
          <w:lang w:val="en-US"/>
        </w:rPr>
        <w:t xml:space="preserve">Chinese dry bulk imports have accounted for the majority of global dry bulk transportation growth annually over the last decade. Accordingly, our financial condition and results of operations, as well as our future prospects, would likely be hindered by an economic downturn in any of these countries or geographic regions. In recent years China and India have been among the world’s fastest growing economies in terms of gross domestic product. Although China met its official growth target of 5% in 2025, the growth of China’s economy </w:t>
      </w:r>
      <w:r w:rsidR="00476779" w:rsidRPr="00476779">
        <w:rPr>
          <w:rFonts w:ascii="Arial" w:eastAsia="Arial" w:hAnsi="Arial" w:cs="Arial"/>
          <w:bdr w:val="none" w:sz="0" w:space="0" w:color="auto" w:frame="1"/>
          <w:lang w:val="en-US"/>
        </w:rPr>
        <w:t>has a 2026 real growth target of 4.5%–5.0%</w:t>
      </w:r>
      <w:r w:rsidRPr="00776ED2">
        <w:rPr>
          <w:rFonts w:ascii="Arial" w:eastAsia="Arial" w:hAnsi="Arial" w:cs="Arial"/>
          <w:bdr w:val="none" w:sz="0" w:space="0" w:color="auto" w:frame="1"/>
          <w:lang w:val="en-US"/>
        </w:rPr>
        <w:t>, as there is a continued threat of a Chinese financial crisis resulting from deteriorating real estate property values, excessive personal and corporate indebtedness and “trade wars.” An economic slowdown in China, the Asia</w:t>
      </w:r>
      <w:r w:rsidRPr="00776ED2">
        <w:rPr>
          <w:rFonts w:ascii="Arial" w:eastAsia="Arial" w:hAnsi="Arial" w:cs="Arial"/>
          <w:bdr w:val="none" w:sz="0" w:space="0" w:color="auto" w:frame="1"/>
          <w:lang w:val="en-US"/>
        </w:rPr>
        <w:noBreakHyphen/>
        <w:t>Pacific region, or in India may adversely affect demand for seaborne transportation of our products and our results of operations. Moreover, any deterioration in the economy of the United States or the European Union may further adversely affect economic growth in Asia.</w:t>
      </w:r>
    </w:p>
    <w:p w14:paraId="71F3DEB2" w14:textId="77777777" w:rsidR="00A0643F" w:rsidRPr="00F00101" w:rsidRDefault="00A0643F" w:rsidP="00F00101">
      <w:pPr>
        <w:pBdr>
          <w:top w:val="nil"/>
          <w:left w:val="nil"/>
          <w:bottom w:val="nil"/>
          <w:right w:val="nil"/>
          <w:between w:val="nil"/>
          <w:bar w:val="nil"/>
        </w:pBdr>
        <w:jc w:val="both"/>
        <w:rPr>
          <w:rFonts w:eastAsia="Arial" w:cs="Arial"/>
          <w:bdr w:val="nil"/>
          <w:lang w:val="en-US"/>
        </w:rPr>
      </w:pPr>
    </w:p>
    <w:p w14:paraId="71F3DEB3" w14:textId="77777777" w:rsidR="0030537F" w:rsidRPr="00F00101" w:rsidRDefault="003A4815" w:rsidP="00F00101">
      <w:pPr>
        <w:pStyle w:val="Heading3"/>
        <w:pBdr>
          <w:top w:val="nil"/>
          <w:left w:val="nil"/>
          <w:bottom w:val="nil"/>
          <w:right w:val="nil"/>
          <w:between w:val="nil"/>
          <w:bar w:val="nil"/>
        </w:pBdr>
        <w:rPr>
          <w:rFonts w:eastAsia="Arial" w:cs="Arial"/>
          <w:bdr w:val="nil"/>
          <w:lang w:val="en-US"/>
        </w:rPr>
      </w:pPr>
      <w:r w:rsidRPr="00F00101">
        <w:rPr>
          <w:rFonts w:eastAsia="Arial" w:cs="Arial"/>
          <w:bdr w:val="none" w:sz="0" w:space="0" w:color="auto" w:frame="1"/>
          <w:lang w:val="en-US"/>
        </w:rPr>
        <w:t>The dry bulk carrier charter market remains significantly below its high in 2008, which may affect our revenues, earnings and profitability, and our ability to comply with our loan covenants.</w:t>
      </w:r>
    </w:p>
    <w:p w14:paraId="71F3DEB4" w14:textId="77777777" w:rsidR="00A0643F" w:rsidRPr="000D35C6" w:rsidRDefault="00A0643F" w:rsidP="00D67F50">
      <w:pPr>
        <w:keepNext/>
        <w:keepLines/>
        <w:pBdr>
          <w:top w:val="nil"/>
          <w:left w:val="nil"/>
          <w:bottom w:val="nil"/>
          <w:right w:val="nil"/>
          <w:between w:val="nil"/>
          <w:bar w:val="nil"/>
        </w:pBdr>
        <w:jc w:val="both"/>
        <w:rPr>
          <w:rFonts w:eastAsia="Arial" w:cs="Arial"/>
          <w:bdr w:val="nil"/>
          <w:lang w:val="en-US"/>
        </w:rPr>
      </w:pPr>
    </w:p>
    <w:p w14:paraId="71F3DEB5"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The abrupt and dramatic downturn in the dry bulk charter market until the beginning of 2021, from which we derive substantially all of our revenues, severely affected the dry bulk shipping industry and our business. The Baltic Dry Index, or the BDI, a daily average of charter rates for key dry bulk routes published by the Baltic Exchange Limited, has long been viewed as the main benchmark to monitor the movements of the dry bulk vessel charter market and the performance of the entire dry bulk shipping market. The BDI declined 94% in 2008 from a peak of 11,793 in May 2008 to a low of 663 in December 2008 and has remained volatile since then, reaching a record low of 290 in February 2016. </w:t>
      </w:r>
      <w:r w:rsidRPr="00280AE6">
        <w:rPr>
          <w:rFonts w:ascii="Arial" w:eastAsia="Arial" w:hAnsi="Arial" w:cs="Arial"/>
          <w:color w:val="000000"/>
          <w:bdr w:val="none" w:sz="0" w:space="0" w:color="auto" w:frame="1"/>
          <w:lang w:val="en-US"/>
        </w:rPr>
        <w:t>In 2025, the BDI ranged from a low of 715 to a high of 2,845 and closed at 1,972 on March 12, 2026.</w:t>
      </w:r>
      <w:r w:rsidRPr="000D35C6">
        <w:rPr>
          <w:rFonts w:ascii="Arial" w:eastAsia="Arial" w:hAnsi="Arial" w:cs="Arial"/>
          <w:color w:val="000000"/>
          <w:bdr w:val="none" w:sz="0" w:space="0" w:color="auto" w:frame="1"/>
          <w:lang w:val="en-US"/>
        </w:rPr>
        <w:t xml:space="preserve"> T</w:t>
      </w:r>
      <w:r w:rsidRPr="000D35C6">
        <w:rPr>
          <w:rFonts w:ascii="Arial" w:eastAsia="Arial" w:hAnsi="Arial" w:cs="Arial"/>
          <w:bdr w:val="none" w:sz="0" w:space="0" w:color="auto" w:frame="1"/>
          <w:lang w:val="en-US"/>
        </w:rPr>
        <w:t xml:space="preserve">here can be no assurance that the dry bulk charter market will not decline further. The decline and volatility in charter rates is due to various factors, including </w:t>
      </w:r>
      <w:r w:rsidR="00E271A5">
        <w:rPr>
          <w:rFonts w:ascii="Arial" w:eastAsia="Arial" w:hAnsi="Arial" w:cs="Arial"/>
          <w:bdr w:val="none" w:sz="0" w:space="0" w:color="auto" w:frame="1"/>
          <w:lang w:val="en-US"/>
        </w:rPr>
        <w:t>the oversupply of vessels, easing of port congestion, slower demand growth and economic and geopolitical factors</w:t>
      </w:r>
      <w:r w:rsidRPr="000D35C6">
        <w:rPr>
          <w:rFonts w:ascii="Arial" w:eastAsia="Arial" w:hAnsi="Arial" w:cs="Arial"/>
          <w:bdr w:val="none" w:sz="0" w:space="0" w:color="auto" w:frame="1"/>
          <w:lang w:val="en-US"/>
        </w:rPr>
        <w:t>. The decline and volatility in charter rates in the dry bulk market also affects the value of our dry bulk vessels, which follows the trends of dry bulk charter rates.</w:t>
      </w:r>
    </w:p>
    <w:p w14:paraId="71F3DEB6" w14:textId="77777777" w:rsidR="00A0643F" w:rsidRPr="000D35C6" w:rsidRDefault="00A0643F" w:rsidP="00A0643F">
      <w:pPr>
        <w:pBdr>
          <w:top w:val="nil"/>
          <w:left w:val="nil"/>
          <w:bottom w:val="nil"/>
          <w:right w:val="nil"/>
          <w:between w:val="nil"/>
          <w:bar w:val="nil"/>
        </w:pBdr>
        <w:jc w:val="both"/>
        <w:rPr>
          <w:rFonts w:eastAsia="Arial" w:cs="Arial"/>
          <w:bdr w:val="nil"/>
          <w:lang w:val="en-US"/>
        </w:rPr>
      </w:pPr>
    </w:p>
    <w:p w14:paraId="71F3DEB7"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Any decline in the dry bulk carrier charter market may have additional adverse consequences for our industry, including an absence of financing for vessels, no active secondhand market for the sale of vessels, charterers seeking to renegotiate the rates for existing time charters, and widespread loan covenant defaults in the dry bulk shipping industry. Accordingly, the value of our common shares could be substantially reduced or eliminated.</w:t>
      </w:r>
    </w:p>
    <w:p w14:paraId="71F3DEB8" w14:textId="77777777" w:rsidR="001A40C9" w:rsidRDefault="001A40C9" w:rsidP="00A0643F">
      <w:pPr>
        <w:pBdr>
          <w:top w:val="nil"/>
          <w:left w:val="nil"/>
          <w:bottom w:val="nil"/>
          <w:right w:val="nil"/>
          <w:between w:val="nil"/>
          <w:bar w:val="nil"/>
        </w:pBdr>
        <w:jc w:val="both"/>
        <w:rPr>
          <w:rFonts w:eastAsia="Arial" w:cs="Arial"/>
          <w:bdr w:val="nil"/>
          <w:lang w:val="en-US"/>
        </w:rPr>
      </w:pPr>
    </w:p>
    <w:p w14:paraId="71F3DEB9" w14:textId="77777777" w:rsidR="00896984" w:rsidRDefault="003A4815" w:rsidP="00F00101">
      <w:pPr>
        <w:pStyle w:val="Heading3"/>
        <w:pBdr>
          <w:top w:val="nil"/>
          <w:left w:val="nil"/>
          <w:bottom w:val="nil"/>
          <w:right w:val="nil"/>
          <w:between w:val="nil"/>
          <w:bar w:val="nil"/>
        </w:pBdr>
        <w:rPr>
          <w:rFonts w:eastAsia="Arial" w:cs="Arial"/>
          <w:bdr w:val="nil"/>
          <w:lang w:val="en-US"/>
        </w:rPr>
      </w:pPr>
      <w:r w:rsidRPr="00F00101">
        <w:rPr>
          <w:rFonts w:eastAsia="Arial" w:cs="Arial"/>
          <w:bdr w:val="none" w:sz="0" w:space="0" w:color="auto" w:frame="1"/>
          <w:lang w:val="en-US"/>
        </w:rPr>
        <w:t>Worldwide inflationary pressures could negatively impact our results of operations and cash</w:t>
      </w:r>
      <w:r w:rsidRPr="00896984">
        <w:rPr>
          <w:rFonts w:eastAsia="Arial" w:cs="Arial"/>
          <w:bdr w:val="none" w:sz="0" w:space="0" w:color="auto" w:frame="1"/>
          <w:lang w:val="en-US"/>
        </w:rPr>
        <w:t xml:space="preserve"> flows.</w:t>
      </w:r>
    </w:p>
    <w:p w14:paraId="71F3DEBA" w14:textId="77777777" w:rsidR="00896984" w:rsidRPr="00896984" w:rsidRDefault="00896984" w:rsidP="00D67F50">
      <w:pPr>
        <w:keepNext/>
        <w:keepLines/>
        <w:pBdr>
          <w:top w:val="nil"/>
          <w:left w:val="nil"/>
          <w:bottom w:val="nil"/>
          <w:right w:val="nil"/>
          <w:between w:val="nil"/>
          <w:bar w:val="nil"/>
        </w:pBdr>
        <w:jc w:val="both"/>
        <w:rPr>
          <w:rFonts w:eastAsia="Arial" w:cs="Arial"/>
          <w:bdr w:val="nil"/>
          <w:lang w:val="en-US"/>
        </w:rPr>
      </w:pPr>
    </w:p>
    <w:p w14:paraId="71F3DEBB" w14:textId="77777777" w:rsidR="00896984" w:rsidRPr="00C6769C" w:rsidRDefault="003A4815" w:rsidP="00896984">
      <w:pPr>
        <w:pBdr>
          <w:top w:val="nil"/>
          <w:left w:val="nil"/>
          <w:bottom w:val="nil"/>
          <w:right w:val="nil"/>
          <w:between w:val="nil"/>
          <w:bar w:val="nil"/>
        </w:pBdr>
        <w:jc w:val="both"/>
        <w:rPr>
          <w:rFonts w:eastAsia="Arial" w:cs="Arial"/>
          <w:bdr w:val="nil"/>
          <w:lang w:val="en-US"/>
        </w:rPr>
      </w:pPr>
      <w:r w:rsidRPr="00C6769C">
        <w:rPr>
          <w:rFonts w:ascii="Arial" w:eastAsia="Arial" w:hAnsi="Arial" w:cs="Arial"/>
          <w:bdr w:val="none" w:sz="0" w:space="0" w:color="auto" w:frame="1"/>
          <w:lang w:val="en-US"/>
        </w:rPr>
        <w:t>The previous year</w:t>
      </w:r>
      <w:r w:rsidR="00CB7A4B" w:rsidRPr="00C6769C">
        <w:rPr>
          <w:rFonts w:ascii="Arial" w:eastAsia="Arial" w:hAnsi="Arial" w:cs="Arial"/>
          <w:bdr w:val="none" w:sz="0" w:space="0" w:color="auto" w:frame="1"/>
          <w:lang w:val="en-US"/>
        </w:rPr>
        <w:t xml:space="preserve"> worldwide economies experienced inflationary pressures, with price increases seen across many sectors globally. For example, the U.S. consumer price index, an inflation gauge that measures costs across dozens of items</w:t>
      </w:r>
      <w:r w:rsidRPr="00C6769C">
        <w:rPr>
          <w:rFonts w:ascii="Arial" w:eastAsia="Arial" w:hAnsi="Arial" w:cs="Arial"/>
          <w:bdr w:val="none" w:sz="0" w:space="0" w:color="auto" w:frame="1"/>
          <w:lang w:val="en-US"/>
        </w:rPr>
        <w:t xml:space="preserve"> </w:t>
      </w:r>
      <w:r w:rsidR="001A40C9">
        <w:rPr>
          <w:rFonts w:ascii="Arial" w:eastAsia="Arial" w:hAnsi="Arial" w:cs="Arial"/>
          <w:bdr w:val="none" w:sz="0" w:space="0" w:color="auto" w:frame="1"/>
          <w:lang w:val="en-US"/>
        </w:rPr>
        <w:t>r</w:t>
      </w:r>
      <w:r w:rsidR="001A40C9" w:rsidRPr="001A40C9">
        <w:rPr>
          <w:rFonts w:ascii="Arial" w:eastAsia="Arial" w:hAnsi="Arial" w:cs="Arial"/>
          <w:bdr w:val="none" w:sz="0" w:space="0" w:color="auto" w:frame="1"/>
          <w:lang w:val="en-US"/>
        </w:rPr>
        <w:t xml:space="preserve">ose </w:t>
      </w:r>
      <w:r w:rsidR="00D83DE1">
        <w:rPr>
          <w:rFonts w:ascii="Arial" w:eastAsia="Arial" w:hAnsi="Arial" w:cs="Arial"/>
          <w:bdr w:val="none" w:sz="0" w:space="0" w:color="auto" w:frame="1"/>
          <w:lang w:val="en-US"/>
        </w:rPr>
        <w:t>2</w:t>
      </w:r>
      <w:r w:rsidR="001A40C9" w:rsidRPr="001A40C9">
        <w:rPr>
          <w:rFonts w:ascii="Arial" w:eastAsia="Arial" w:hAnsi="Arial" w:cs="Arial"/>
          <w:bdr w:val="none" w:sz="0" w:space="0" w:color="auto" w:frame="1"/>
          <w:lang w:val="en-US"/>
        </w:rPr>
        <w:t>.</w:t>
      </w:r>
      <w:r w:rsidR="00D83DE1">
        <w:rPr>
          <w:rFonts w:ascii="Arial" w:eastAsia="Arial" w:hAnsi="Arial" w:cs="Arial"/>
          <w:bdr w:val="none" w:sz="0" w:space="0" w:color="auto" w:frame="1"/>
          <w:lang w:val="en-US"/>
        </w:rPr>
        <w:t>9</w:t>
      </w:r>
      <w:r w:rsidR="001A40C9" w:rsidRPr="001A40C9">
        <w:rPr>
          <w:rFonts w:ascii="Arial" w:eastAsia="Arial" w:hAnsi="Arial" w:cs="Arial"/>
          <w:bdr w:val="none" w:sz="0" w:space="0" w:color="auto" w:frame="1"/>
          <w:lang w:val="en-US"/>
        </w:rPr>
        <w:t xml:space="preserve">% and </w:t>
      </w:r>
      <w:r w:rsidR="00280AE6" w:rsidRPr="00280AE6">
        <w:rPr>
          <w:rFonts w:ascii="Arial" w:eastAsia="Arial" w:hAnsi="Arial" w:cs="Arial"/>
          <w:bdr w:val="none" w:sz="0" w:space="0" w:color="auto" w:frame="1"/>
          <w:lang w:val="en-US"/>
        </w:rPr>
        <w:t>2.7</w:t>
      </w:r>
      <w:r w:rsidR="00C97DAC" w:rsidRPr="00280AE6">
        <w:rPr>
          <w:rFonts w:ascii="Arial" w:eastAsia="Arial" w:hAnsi="Arial" w:cs="Arial"/>
          <w:bdr w:val="none" w:sz="0" w:space="0" w:color="auto" w:frame="1"/>
          <w:lang w:val="en-US"/>
        </w:rPr>
        <w:t>%</w:t>
      </w:r>
      <w:r w:rsidR="00C97DAC" w:rsidRPr="00C6769C">
        <w:rPr>
          <w:rFonts w:ascii="Arial" w:eastAsia="Arial" w:hAnsi="Arial" w:cs="Arial"/>
          <w:bdr w:val="none" w:sz="0" w:space="0" w:color="auto" w:frame="1"/>
          <w:lang w:val="en-US"/>
        </w:rPr>
        <w:t xml:space="preserve"> in </w:t>
      </w:r>
      <w:r w:rsidRPr="00C6769C">
        <w:rPr>
          <w:rFonts w:ascii="Arial" w:eastAsia="Arial" w:hAnsi="Arial" w:cs="Arial"/>
          <w:bdr w:val="none" w:sz="0" w:space="0" w:color="auto" w:frame="1"/>
          <w:lang w:val="en-US"/>
        </w:rPr>
        <w:t>December</w:t>
      </w:r>
      <w:r w:rsidR="001A40C9">
        <w:rPr>
          <w:rFonts w:ascii="Arial" w:eastAsia="Arial" w:hAnsi="Arial" w:cs="Arial"/>
          <w:bdr w:val="none" w:sz="0" w:space="0" w:color="auto" w:frame="1"/>
          <w:lang w:val="en-US"/>
        </w:rPr>
        <w:t xml:space="preserve"> </w:t>
      </w:r>
      <w:r w:rsidR="001A40C9" w:rsidRPr="001A40C9">
        <w:rPr>
          <w:rFonts w:ascii="Arial" w:eastAsia="Arial" w:hAnsi="Arial" w:cs="Arial"/>
          <w:bdr w:val="none" w:sz="0" w:space="0" w:color="auto" w:frame="1"/>
          <w:lang w:val="en-US"/>
        </w:rPr>
        <w:t>202</w:t>
      </w:r>
      <w:r w:rsidR="00D83DE1">
        <w:rPr>
          <w:rFonts w:ascii="Arial" w:eastAsia="Arial" w:hAnsi="Arial" w:cs="Arial"/>
          <w:bdr w:val="none" w:sz="0" w:space="0" w:color="auto" w:frame="1"/>
          <w:lang w:val="en-US"/>
        </w:rPr>
        <w:t>4</w:t>
      </w:r>
      <w:r w:rsidR="001A40C9" w:rsidRPr="001A40C9">
        <w:rPr>
          <w:rFonts w:ascii="Arial" w:eastAsia="Arial" w:hAnsi="Arial" w:cs="Arial"/>
          <w:bdr w:val="none" w:sz="0" w:space="0" w:color="auto" w:frame="1"/>
          <w:lang w:val="en-US"/>
        </w:rPr>
        <w:t xml:space="preserve"> and 202</w:t>
      </w:r>
      <w:r w:rsidR="00D83DE1">
        <w:rPr>
          <w:rFonts w:ascii="Arial" w:eastAsia="Arial" w:hAnsi="Arial" w:cs="Arial"/>
          <w:bdr w:val="none" w:sz="0" w:space="0" w:color="auto" w:frame="1"/>
          <w:lang w:val="en-US"/>
        </w:rPr>
        <w:t>5</w:t>
      </w:r>
      <w:r w:rsidR="001A40C9" w:rsidRPr="001A40C9">
        <w:rPr>
          <w:rFonts w:ascii="Arial" w:eastAsia="Arial" w:hAnsi="Arial" w:cs="Arial"/>
          <w:bdr w:val="none" w:sz="0" w:space="0" w:color="auto" w:frame="1"/>
          <w:lang w:val="en-US"/>
        </w:rPr>
        <w:t>, respectively, compared to the prior year. It</w:t>
      </w:r>
      <w:r w:rsidRPr="00C6769C">
        <w:rPr>
          <w:rFonts w:ascii="Arial" w:eastAsia="Arial" w:hAnsi="Arial" w:cs="Arial"/>
          <w:bdr w:val="none" w:sz="0" w:space="0" w:color="auto" w:frame="1"/>
          <w:lang w:val="en-US"/>
        </w:rPr>
        <w:t xml:space="preserve"> </w:t>
      </w:r>
      <w:r w:rsidR="00CB7A4B" w:rsidRPr="00C6769C">
        <w:rPr>
          <w:rFonts w:ascii="Arial" w:eastAsia="Arial" w:hAnsi="Arial" w:cs="Arial"/>
          <w:bdr w:val="none" w:sz="0" w:space="0" w:color="auto" w:frame="1"/>
          <w:lang w:val="en-US"/>
        </w:rPr>
        <w:t xml:space="preserve">remains to be seen whether inflationary pressures will </w:t>
      </w:r>
      <w:r w:rsidRPr="00C6769C">
        <w:rPr>
          <w:rFonts w:ascii="Arial" w:eastAsia="Arial" w:hAnsi="Arial" w:cs="Arial"/>
          <w:bdr w:val="none" w:sz="0" w:space="0" w:color="auto" w:frame="1"/>
          <w:lang w:val="en-US"/>
        </w:rPr>
        <w:t>increase again</w:t>
      </w:r>
      <w:r w:rsidR="00CB7A4B" w:rsidRPr="00C6769C">
        <w:rPr>
          <w:rFonts w:ascii="Arial" w:eastAsia="Arial" w:hAnsi="Arial" w:cs="Arial"/>
          <w:bdr w:val="none" w:sz="0" w:space="0" w:color="auto" w:frame="1"/>
          <w:lang w:val="en-US"/>
        </w:rPr>
        <w:t xml:space="preserve"> and to what degree. In the event that inflation becomes a significant factor in the global economy generally and in the shipping industry more specifically, inflationary pressures would result in increased operating, voyage and administrative costs. Furthermore, the effects of inflation on the supply and demand of the products we transport could alter demand for our services. Interventions in the economy by central banks in response to inflationary pressures may slow down economic activity, including by altering consumer purchasing habits and reducing demand for the commodities and products we carry, and cause a reduction in trade. As a result, the volumes of goods we deliver and/or charter rates for our vessels may be affected. Any of these factors could have an adverse effect on our business, financial condition, cash flows and operating results.</w:t>
      </w:r>
    </w:p>
    <w:p w14:paraId="71F3DEBC" w14:textId="77777777" w:rsidR="00F05393" w:rsidRPr="000D35C6" w:rsidRDefault="00F05393" w:rsidP="000D1E2E">
      <w:pPr>
        <w:pBdr>
          <w:top w:val="nil"/>
          <w:left w:val="nil"/>
          <w:bottom w:val="nil"/>
          <w:right w:val="nil"/>
          <w:between w:val="nil"/>
          <w:bar w:val="nil"/>
        </w:pBdr>
        <w:jc w:val="both"/>
        <w:rPr>
          <w:rFonts w:eastAsia="Arial" w:cs="Arial"/>
          <w:bdr w:val="nil"/>
          <w:lang w:val="en-US"/>
        </w:rPr>
      </w:pPr>
    </w:p>
    <w:p w14:paraId="71F3DEBD" w14:textId="77777777" w:rsidR="0030537F" w:rsidRPr="001520C1" w:rsidRDefault="003A4815" w:rsidP="00F00101">
      <w:pPr>
        <w:pStyle w:val="Heading3"/>
        <w:pBdr>
          <w:top w:val="nil"/>
          <w:left w:val="nil"/>
          <w:bottom w:val="nil"/>
          <w:right w:val="nil"/>
          <w:between w:val="nil"/>
          <w:bar w:val="nil"/>
        </w:pBdr>
        <w:rPr>
          <w:rFonts w:eastAsia="Arial" w:cs="Arial"/>
          <w:bdr w:val="nil"/>
          <w:lang w:val="en-US"/>
        </w:rPr>
      </w:pPr>
      <w:r w:rsidRPr="001520C1">
        <w:rPr>
          <w:rFonts w:eastAsia="Arial" w:cs="Arial"/>
          <w:lang w:val="en-US"/>
        </w:rPr>
        <w:t>Our operations expose us to global risks, such as political instability, terrorist or other attacks, war, international hostilities</w:t>
      </w:r>
      <w:r w:rsidR="00D83DE1">
        <w:rPr>
          <w:rFonts w:eastAsia="Arial" w:cs="Arial"/>
          <w:lang w:val="en-US"/>
        </w:rPr>
        <w:t>,</w:t>
      </w:r>
      <w:r w:rsidR="001C2F05" w:rsidRPr="001520C1">
        <w:rPr>
          <w:rFonts w:eastAsia="Arial" w:cs="Arial"/>
          <w:lang w:val="en-US"/>
        </w:rPr>
        <w:t xml:space="preserve"> economic sanctions</w:t>
      </w:r>
      <w:r w:rsidR="00D83DE1">
        <w:rPr>
          <w:rFonts w:eastAsia="Arial" w:cs="Arial"/>
          <w:lang w:val="en-US"/>
        </w:rPr>
        <w:t xml:space="preserve"> or other trade</w:t>
      </w:r>
      <w:r w:rsidR="001C2F05" w:rsidRPr="001520C1">
        <w:rPr>
          <w:rFonts w:eastAsia="Arial" w:cs="Arial"/>
          <w:lang w:val="en-US"/>
        </w:rPr>
        <w:t xml:space="preserve"> restrictions</w:t>
      </w:r>
      <w:r w:rsidR="00D83DE1">
        <w:rPr>
          <w:rFonts w:eastAsia="Arial" w:cs="Arial"/>
          <w:lang w:val="en-US"/>
        </w:rPr>
        <w:t>, and public health concerns,</w:t>
      </w:r>
      <w:r w:rsidRPr="001520C1">
        <w:rPr>
          <w:rFonts w:eastAsia="Arial" w:cs="Arial"/>
          <w:lang w:val="en-US"/>
        </w:rPr>
        <w:t xml:space="preserve"> which may affect the seaborne transportation industry and adversely affect our business.</w:t>
      </w:r>
    </w:p>
    <w:p w14:paraId="71F3DEBE" w14:textId="77777777" w:rsidR="000D1E2E" w:rsidRPr="00556E39" w:rsidRDefault="000D1E2E" w:rsidP="001520C1">
      <w:pPr>
        <w:pBdr>
          <w:top w:val="nil"/>
          <w:left w:val="nil"/>
          <w:bottom w:val="nil"/>
          <w:right w:val="nil"/>
          <w:between w:val="nil"/>
          <w:bar w:val="nil"/>
        </w:pBdr>
        <w:jc w:val="both"/>
        <w:rPr>
          <w:rFonts w:eastAsia="Arial" w:cs="Arial"/>
          <w:bdr w:val="nil"/>
          <w:lang w:val="en-US"/>
        </w:rPr>
      </w:pPr>
    </w:p>
    <w:p w14:paraId="71F3DEBF" w14:textId="77777777" w:rsidR="0030537F" w:rsidRDefault="003A4815" w:rsidP="001C2F05">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We are an international shipping company and primarily conduct most of our operations outside the United States, and our business, results of operations, cash flows, financial condition and ability to pay dividends, if any, may be adversely affected by changing economic, political and government conditions in the countries and regions where our vessels are employed or registered. Moreover, we operate in a sector of the economy that is likely to be adversely impacted by the effects of political conflicts</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including the current political instability in the Middle East,</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Ukraine, the South China Sea region and other geographic countries and areas, geopolitical events,</w:t>
      </w:r>
      <w:r w:rsidR="001C2F05">
        <w:rPr>
          <w:rFonts w:ascii="Arial" w:eastAsia="Arial" w:hAnsi="Arial" w:cs="Arial"/>
          <w:iCs/>
          <w:bdr w:val="none" w:sz="0" w:space="0" w:color="auto" w:frame="1"/>
          <w:lang w:val="en-US"/>
        </w:rPr>
        <w:t xml:space="preserve"> </w:t>
      </w:r>
      <w:r w:rsidR="006A6577" w:rsidRPr="006A6577">
        <w:rPr>
          <w:rFonts w:ascii="Arial" w:eastAsia="Arial" w:hAnsi="Arial" w:cs="Arial"/>
          <w:iCs/>
          <w:bdr w:val="none" w:sz="0" w:space="0" w:color="auto" w:frame="1"/>
          <w:lang w:val="en-US"/>
        </w:rPr>
        <w:t>acts of terrorism, war or threatened war, and related international hostilities</w:t>
      </w:r>
      <w:r w:rsidR="001C2F05" w:rsidRPr="001C2F05">
        <w:rPr>
          <w:rFonts w:ascii="Arial" w:eastAsia="Arial" w:hAnsi="Arial" w:cs="Arial"/>
          <w:iCs/>
          <w:bdr w:val="none" w:sz="0" w:space="0" w:color="auto" w:frame="1"/>
          <w:lang w:val="en-US"/>
        </w:rPr>
        <w:t>. The response of the United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States and others to terrorist attacks, as well as the threat of future terrorist attacks around the world,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continues to cause uncertainty in the world’s financial markets and may affect our business, operating</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 xml:space="preserve">results, and financial condition. Continuing conflicts and recent developments in </w:t>
      </w:r>
      <w:r w:rsidR="00140D5C">
        <w:rPr>
          <w:rFonts w:ascii="Arial" w:eastAsia="Arial" w:hAnsi="Arial" w:cs="Arial"/>
          <w:iCs/>
          <w:bdr w:val="none" w:sz="0" w:space="0" w:color="auto" w:frame="1"/>
          <w:lang w:val="en-US"/>
        </w:rPr>
        <w:t xml:space="preserve">Venezuela, </w:t>
      </w:r>
      <w:r w:rsidR="001C2F05" w:rsidRPr="001C2F05">
        <w:rPr>
          <w:rFonts w:ascii="Arial" w:eastAsia="Arial" w:hAnsi="Arial" w:cs="Arial"/>
          <w:iCs/>
          <w:bdr w:val="none" w:sz="0" w:space="0" w:color="auto" w:frame="1"/>
          <w:lang w:val="en-US"/>
        </w:rPr>
        <w:t>Ukraine and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the Middle</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 xml:space="preserve">East, </w:t>
      </w:r>
      <w:r w:rsidR="00140D5C">
        <w:rPr>
          <w:rFonts w:ascii="Arial" w:eastAsia="Arial" w:hAnsi="Arial" w:cs="Arial"/>
          <w:iCs/>
          <w:bdr w:val="none" w:sz="0" w:space="0" w:color="auto" w:frame="1"/>
          <w:lang w:val="en-US"/>
        </w:rPr>
        <w:t>along with</w:t>
      </w:r>
      <w:r w:rsidR="001C2F05" w:rsidRPr="001C2F05">
        <w:rPr>
          <w:rFonts w:ascii="Arial" w:eastAsia="Arial" w:hAnsi="Arial" w:cs="Arial"/>
          <w:iCs/>
          <w:bdr w:val="none" w:sz="0" w:space="0" w:color="auto" w:frame="1"/>
          <w:lang w:val="en-US"/>
        </w:rPr>
        <w:t xml:space="preserve"> increased tensions between the U.S. and China, Russia, Iran and certain terrorist</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organizations, as well as the presence of U.S. or other armed forces in various other regions, may lead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to</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additional acts of terrorism and armed conflict around the world, which may contribute to further</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economic instability in the global financial markets. As a result of the above, insurers have increased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premiums and reduced or restricted coverage for losses caused by terrorist acts generally. These</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uncertainties could also adversely affect our ability to obtain additional financing on terms acceptable to</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us or at all. Any of these occurrences could have a material adverse impact on our operating results,</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revenues and costs. Additionally, events in other jurisdictions could impact global markets, including</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foreign exchange and securities markets; any resulting changes in currency exchange rates, tariffs,</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treaties and other regulatory matters could in turn adversely impact our business and operations.</w:t>
      </w:r>
    </w:p>
    <w:p w14:paraId="71F3DEC0" w14:textId="77777777" w:rsidR="009462D7" w:rsidRDefault="009462D7" w:rsidP="001C2F05">
      <w:pPr>
        <w:pBdr>
          <w:top w:val="nil"/>
          <w:left w:val="nil"/>
          <w:bottom w:val="nil"/>
          <w:right w:val="nil"/>
          <w:between w:val="nil"/>
          <w:bar w:val="nil"/>
        </w:pBdr>
        <w:jc w:val="both"/>
        <w:rPr>
          <w:rFonts w:eastAsia="Arial" w:cs="Arial"/>
          <w:iCs/>
          <w:bdr w:val="nil"/>
          <w:lang w:val="en-US"/>
        </w:rPr>
      </w:pPr>
    </w:p>
    <w:p w14:paraId="71F3DEC1" w14:textId="77777777" w:rsidR="009462D7" w:rsidRDefault="003A4815" w:rsidP="001C2F05">
      <w:pPr>
        <w:pBdr>
          <w:top w:val="nil"/>
          <w:left w:val="nil"/>
          <w:bottom w:val="nil"/>
          <w:right w:val="nil"/>
          <w:between w:val="nil"/>
          <w:bar w:val="nil"/>
        </w:pBdr>
        <w:jc w:val="both"/>
        <w:rPr>
          <w:rFonts w:eastAsia="Arial" w:cs="Arial"/>
          <w:iCs/>
          <w:bdr w:val="nil"/>
          <w:lang w:val="en-US"/>
        </w:rPr>
      </w:pPr>
      <w:r w:rsidRPr="009462D7">
        <w:rPr>
          <w:rFonts w:ascii="Arial" w:eastAsia="Arial" w:hAnsi="Arial" w:cs="Arial"/>
          <w:iCs/>
          <w:bdr w:val="none" w:sz="0" w:space="0" w:color="auto" w:frame="1"/>
          <w:lang w:val="en-US"/>
        </w:rPr>
        <w:t>In addition, the recent armed conflict between the U.S. and its allies and Iran has led to severe disruption and an effective shutdown of the Strait of Hormuz and further disrupted trade routes in the Red Sea and the Gulf of Aden, which have been affected by armed attacks on ships traveling in those regions. The continued disruption of such critical trade routes could have significant impacts in the Middle East region and on the global economy, which may adversely impact oil markets and the demand for dry-bulk vessel capacity and charter rates. Currently, the Company’s charter contracts, or our operations, have not been negatively affected by the events of the Ukraine War, nor the Middle East, but trade routes have been disrupted. It is possible that in the future third parties with whom the Company has or will have charter contracts may be impacted by such events. The Company cannot predict what effect the higher price of oil, refined petroleum products or certain dry-bulk commodities will have on demand, and it is possible that the conflicts in the Ukraine, the Middle East and elsewhere could adversely affect the Company’s financial condition, results of operations, and future performance.</w:t>
      </w:r>
    </w:p>
    <w:p w14:paraId="71F3DEC2"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C3"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F00101">
        <w:rPr>
          <w:rFonts w:eastAsia="Arial" w:cs="Arial"/>
          <w:bdr w:val="none" w:sz="0" w:space="0" w:color="auto" w:frame="1"/>
          <w:lang w:val="en-US"/>
        </w:rPr>
        <w:t>Currently, the world economy faces a number of challenges, including trade tensions between the United States and China, stabilizing growth in China, continuing threat of terrorist attacks around the world, continuing instability and conflicts and other ongoing occurrences in the Middle East, Ukraine, and in other geographic areas and countries,</w:t>
      </w:r>
      <w:r w:rsidR="00140D5C">
        <w:rPr>
          <w:rFonts w:eastAsia="Arial" w:cs="Arial"/>
          <w:bdr w:val="none" w:sz="0" w:space="0" w:color="auto" w:frame="1"/>
          <w:lang w:val="en-US"/>
        </w:rPr>
        <w:t xml:space="preserve"> along with</w:t>
      </w:r>
      <w:r w:rsidRPr="00F00101">
        <w:rPr>
          <w:rFonts w:eastAsia="Arial" w:cs="Arial"/>
          <w:bdr w:val="none" w:sz="0" w:space="0" w:color="auto" w:frame="1"/>
          <w:lang w:val="en-US"/>
        </w:rPr>
        <w:t xml:space="preserve"> economic sanctions</w:t>
      </w:r>
      <w:r w:rsidR="00140D5C">
        <w:rPr>
          <w:rFonts w:eastAsia="Arial" w:cs="Arial"/>
          <w:bdr w:val="none" w:sz="0" w:space="0" w:color="auto" w:frame="1"/>
          <w:lang w:val="en-US"/>
        </w:rPr>
        <w:t xml:space="preserve"> or other trade</w:t>
      </w:r>
      <w:r>
        <w:rPr>
          <w:rFonts w:eastAsia="Arial" w:cs="Arial"/>
          <w:lang w:val="en-US"/>
        </w:rPr>
        <w:t xml:space="preserve"> restrictions</w:t>
      </w:r>
      <w:r w:rsidRPr="000D35C6">
        <w:rPr>
          <w:rFonts w:eastAsia="Arial" w:cs="Arial"/>
          <w:bdr w:val="none" w:sz="0" w:space="0" w:color="auto" w:frame="1"/>
          <w:lang w:val="en-US"/>
        </w:rPr>
        <w:t xml:space="preserve">. </w:t>
      </w:r>
    </w:p>
    <w:p w14:paraId="71F3DEC4" w14:textId="77777777" w:rsidR="000D1E2E" w:rsidRPr="000D35C6" w:rsidRDefault="000D1E2E" w:rsidP="00D67F50">
      <w:pPr>
        <w:keepNext/>
        <w:keepLines/>
        <w:pBdr>
          <w:top w:val="nil"/>
          <w:left w:val="nil"/>
          <w:bottom w:val="nil"/>
          <w:right w:val="nil"/>
          <w:between w:val="nil"/>
          <w:bar w:val="nil"/>
        </w:pBdr>
        <w:jc w:val="both"/>
        <w:rPr>
          <w:rFonts w:eastAsia="Arial" w:cs="Arial"/>
          <w:iCs/>
          <w:bdr w:val="nil"/>
          <w:lang w:val="en-US"/>
        </w:rPr>
      </w:pPr>
    </w:p>
    <w:p w14:paraId="71F3DEC5" w14:textId="77777777" w:rsidR="0030537F" w:rsidRDefault="003A4815" w:rsidP="00A0643F">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In the past, political instability has also resulted in attacks on vessels, mining of waterways and other efforts to disrupt international shipping, particularly in the Arabian Gulf region</w:t>
      </w:r>
      <w:r w:rsidR="001C2F05">
        <w:rPr>
          <w:rFonts w:ascii="Arial" w:eastAsia="Arial" w:hAnsi="Arial" w:cs="Arial"/>
          <w:iCs/>
          <w:bdr w:val="none" w:sz="0" w:space="0" w:color="auto" w:frame="1"/>
          <w:lang w:val="en-US"/>
        </w:rPr>
        <w:t>,</w:t>
      </w:r>
      <w:r w:rsidRPr="000D35C6">
        <w:rPr>
          <w:rFonts w:ascii="Arial" w:eastAsia="Arial" w:hAnsi="Arial" w:cs="Arial"/>
          <w:iCs/>
          <w:bdr w:val="none" w:sz="0" w:space="0" w:color="auto" w:frame="1"/>
          <w:lang w:val="en-US"/>
        </w:rPr>
        <w:t xml:space="preserve"> in the Black Sea in connection with the conflict between Russia and Ukraine</w:t>
      </w:r>
      <w:r>
        <w:rPr>
          <w:rFonts w:ascii="Arial" w:eastAsia="Arial" w:hAnsi="Arial" w:cs="Arial"/>
          <w:iCs/>
          <w:lang w:val="en-US"/>
        </w:rPr>
        <w:t>, and in</w:t>
      </w:r>
      <w:r w:rsidR="001C2F05">
        <w:rPr>
          <w:rFonts w:ascii="Arial" w:eastAsia="Arial" w:hAnsi="Arial" w:cs="Arial"/>
          <w:iCs/>
          <w:lang w:val="en-US"/>
        </w:rPr>
        <w:t xml:space="preserve"> and around</w:t>
      </w:r>
      <w:r>
        <w:rPr>
          <w:rFonts w:ascii="Arial" w:eastAsia="Arial" w:hAnsi="Arial" w:cs="Arial"/>
          <w:iCs/>
          <w:lang w:val="en-US"/>
        </w:rPr>
        <w:t xml:space="preserve"> the Red Sea in connection with the conflict between Israel and Hamas.</w:t>
      </w:r>
      <w:r w:rsidRPr="000D35C6">
        <w:rPr>
          <w:rFonts w:ascii="Arial" w:eastAsia="Arial" w:hAnsi="Arial" w:cs="Arial"/>
          <w:iCs/>
          <w:bdr w:val="none" w:sz="0" w:space="0" w:color="auto" w:frame="1"/>
          <w:lang w:val="en-US"/>
        </w:rPr>
        <w:t xml:space="preserve"> Acts of terrorism and piracy have also affected vessels trading in regions such as the South China Sea and the Gulf of Aden off the coast of Somalia</w:t>
      </w:r>
      <w:r w:rsidR="001C2F05">
        <w:rPr>
          <w:rFonts w:ascii="Arial" w:eastAsia="Arial" w:hAnsi="Arial" w:cs="Arial"/>
          <w:iCs/>
          <w:bdr w:val="none" w:sz="0" w:space="0" w:color="auto" w:frame="1"/>
          <w:lang w:val="en-US"/>
        </w:rPr>
        <w:t>, among others</w:t>
      </w:r>
      <w:r w:rsidRPr="000D35C6">
        <w:rPr>
          <w:rFonts w:ascii="Arial" w:eastAsia="Arial" w:hAnsi="Arial" w:cs="Arial"/>
          <w:iCs/>
          <w:bdr w:val="none" w:sz="0" w:space="0" w:color="auto" w:frame="1"/>
          <w:lang w:val="en-US"/>
        </w:rPr>
        <w:t>. Any of these occurrences could have a material adverse impact on our future performance, results of operation, cash flows and financial position.</w:t>
      </w:r>
    </w:p>
    <w:p w14:paraId="71F3DEC6"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C7" w14:textId="77777777" w:rsidR="0030537F" w:rsidRDefault="003A4815" w:rsidP="001C2F05">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 xml:space="preserve">Beginning in February of 2022, </w:t>
      </w:r>
      <w:r w:rsidR="001C2F05" w:rsidRPr="001C2F05">
        <w:rPr>
          <w:rFonts w:ascii="Arial" w:eastAsia="Arial" w:hAnsi="Arial" w:cs="Arial"/>
          <w:iCs/>
          <w:bdr w:val="none" w:sz="0" w:space="0" w:color="auto" w:frame="1"/>
          <w:lang w:val="en-US"/>
        </w:rPr>
        <w:t>the United States, the United Kingdom and</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the European Union, among other countries,</w:t>
      </w:r>
      <w:r w:rsidRPr="000D35C6">
        <w:rPr>
          <w:rFonts w:ascii="Arial" w:eastAsia="Arial" w:hAnsi="Arial" w:cs="Arial"/>
          <w:iCs/>
          <w:bdr w:val="none" w:sz="0" w:space="0" w:color="auto" w:frame="1"/>
          <w:lang w:val="en-US"/>
        </w:rPr>
        <w:t xml:space="preserve"> announced various economic sanctions against Russia in connection with the aforementioned conflicts in the Ukraine region, which may adversely impact our business.</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The ongoing conflict could result in the imposition of further economic sanctions or</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new categories of export restrictions against persons in or connected to Russia. While in general much</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uncertainty remains regarding the global impact of the</w:t>
      </w:r>
      <w:r w:rsidR="00140D5C">
        <w:rPr>
          <w:rFonts w:ascii="Arial" w:eastAsia="Arial" w:hAnsi="Arial" w:cs="Arial"/>
          <w:iCs/>
          <w:bdr w:val="none" w:sz="0" w:space="0" w:color="auto" w:frame="1"/>
          <w:lang w:val="en-US"/>
        </w:rPr>
        <w:t xml:space="preserve"> continuation of the</w:t>
      </w:r>
      <w:r w:rsidR="001C2F05" w:rsidRPr="001C2F05">
        <w:rPr>
          <w:rFonts w:ascii="Arial" w:eastAsia="Arial" w:hAnsi="Arial" w:cs="Arial"/>
          <w:iCs/>
          <w:bdr w:val="none" w:sz="0" w:space="0" w:color="auto" w:frame="1"/>
          <w:lang w:val="en-US"/>
        </w:rPr>
        <w:t xml:space="preserve"> conflict in Ukraine</w:t>
      </w:r>
      <w:r w:rsidR="00140D5C">
        <w:rPr>
          <w:rFonts w:ascii="Arial" w:eastAsia="Arial" w:hAnsi="Arial" w:cs="Arial"/>
          <w:iCs/>
          <w:bdr w:val="none" w:sz="0" w:space="0" w:color="auto" w:frame="1"/>
          <w:lang w:val="en-US"/>
        </w:rPr>
        <w:t xml:space="preserve"> and any other potential resolution thereof</w:t>
      </w:r>
      <w:r w:rsidR="001C2F05" w:rsidRPr="001C2F05">
        <w:rPr>
          <w:rFonts w:ascii="Arial" w:eastAsia="Arial" w:hAnsi="Arial" w:cs="Arial"/>
          <w:iCs/>
          <w:bdr w:val="none" w:sz="0" w:space="0" w:color="auto" w:frame="1"/>
          <w:lang w:val="en-US"/>
        </w:rPr>
        <w:t>, it is possible that such tensions</w:t>
      </w:r>
      <w:r w:rsidR="001C2F05">
        <w:rPr>
          <w:rFonts w:ascii="Arial" w:eastAsia="Arial" w:hAnsi="Arial" w:cs="Arial"/>
          <w:iCs/>
          <w:bdr w:val="none" w:sz="0" w:space="0" w:color="auto" w:frame="1"/>
          <w:lang w:val="en-US"/>
        </w:rPr>
        <w:t xml:space="preserve"> </w:t>
      </w:r>
      <w:r w:rsidR="001C2F05" w:rsidRPr="001C2F05">
        <w:rPr>
          <w:rFonts w:ascii="Arial" w:eastAsia="Arial" w:hAnsi="Arial" w:cs="Arial"/>
          <w:iCs/>
          <w:bdr w:val="none" w:sz="0" w:space="0" w:color="auto" w:frame="1"/>
          <w:lang w:val="en-US"/>
        </w:rPr>
        <w:t>could adversely affect the Company’s business, financial condition, results of operation and cash flows.</w:t>
      </w:r>
    </w:p>
    <w:p w14:paraId="71F3DEC8"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C9" w14:textId="77777777" w:rsidR="001753A5" w:rsidRDefault="003A4815" w:rsidP="001753A5">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The United States has issued several Executive Orders that prohibit certain transactions related to Russia, including the importation of certain energy products of Russian Federation origin (including crude oil, petroleum, petroleum fuels, oils, liquefied natural gas and coal), and all new investments in Russia by U.S. persons, among other prohibitions and export controls</w:t>
      </w:r>
      <w:r w:rsidRPr="001753A5">
        <w:rPr>
          <w:rFonts w:ascii="Arial" w:eastAsia="Arial" w:hAnsi="Arial" w:cs="Arial"/>
          <w:iCs/>
          <w:bdr w:val="none" w:sz="0" w:space="0" w:color="auto" w:frame="1"/>
          <w:lang w:val="en-US"/>
        </w:rPr>
        <w:t>, and has issued numerous determinations authorizing the imposition of</w:t>
      </w:r>
      <w:r>
        <w:rPr>
          <w:rFonts w:ascii="Arial" w:eastAsia="Arial" w:hAnsi="Arial" w:cs="Arial"/>
          <w:iCs/>
          <w:bdr w:val="none" w:sz="0" w:space="0" w:color="auto" w:frame="1"/>
          <w:lang w:val="en-US"/>
        </w:rPr>
        <w:t xml:space="preserve"> </w:t>
      </w:r>
      <w:r w:rsidRPr="001753A5">
        <w:rPr>
          <w:rFonts w:ascii="Arial" w:eastAsia="Arial" w:hAnsi="Arial" w:cs="Arial"/>
          <w:iCs/>
          <w:bdr w:val="none" w:sz="0" w:space="0" w:color="auto" w:frame="1"/>
          <w:lang w:val="en-US"/>
        </w:rPr>
        <w:t>sanctions on persons who operate or have operated in the energy, metals and mining, and marine</w:t>
      </w:r>
      <w:r>
        <w:rPr>
          <w:rFonts w:ascii="Arial" w:eastAsia="Arial" w:hAnsi="Arial" w:cs="Arial"/>
          <w:iCs/>
          <w:bdr w:val="none" w:sz="0" w:space="0" w:color="auto" w:frame="1"/>
          <w:lang w:val="en-US"/>
        </w:rPr>
        <w:t xml:space="preserve"> </w:t>
      </w:r>
      <w:r w:rsidRPr="001753A5">
        <w:rPr>
          <w:rFonts w:ascii="Arial" w:eastAsia="Arial" w:hAnsi="Arial" w:cs="Arial"/>
          <w:iCs/>
          <w:bdr w:val="none" w:sz="0" w:space="0" w:color="auto" w:frame="1"/>
          <w:lang w:val="en-US"/>
        </w:rPr>
        <w:t>sectors of the Russian Federation economy, among others.</w:t>
      </w:r>
      <w:r w:rsidR="00140D5C" w:rsidRPr="00140D5C">
        <w:rPr>
          <w:rFonts w:ascii="Arial" w:eastAsia="Arial" w:hAnsi="Arial" w:cs="Arial"/>
          <w:iCs/>
          <w:bdr w:val="none" w:sz="0" w:space="0" w:color="auto" w:frame="1"/>
          <w:lang w:val="en-US"/>
        </w:rPr>
        <w:t xml:space="preserve"> Designations under these sanctions programs are continuing, including in October 2025 against Lukoil and Rosneft, and certain of their subsidiaries.</w:t>
      </w:r>
      <w:r w:rsidRPr="001753A5">
        <w:rPr>
          <w:rFonts w:ascii="Arial" w:eastAsia="Arial" w:hAnsi="Arial" w:cs="Arial"/>
          <w:iCs/>
          <w:bdr w:val="none" w:sz="0" w:space="0" w:color="auto" w:frame="1"/>
          <w:lang w:val="en-US"/>
        </w:rPr>
        <w:t xml:space="preserve"> Increased restrictions on these sectors, or</w:t>
      </w:r>
      <w:r>
        <w:rPr>
          <w:rFonts w:ascii="Arial" w:eastAsia="Arial" w:hAnsi="Arial" w:cs="Arial"/>
          <w:iCs/>
          <w:bdr w:val="none" w:sz="0" w:space="0" w:color="auto" w:frame="1"/>
          <w:lang w:val="en-US"/>
        </w:rPr>
        <w:t xml:space="preserve"> </w:t>
      </w:r>
      <w:r w:rsidRPr="001753A5">
        <w:rPr>
          <w:rFonts w:ascii="Arial" w:eastAsia="Arial" w:hAnsi="Arial" w:cs="Arial"/>
          <w:iCs/>
          <w:bdr w:val="none" w:sz="0" w:space="0" w:color="auto" w:frame="1"/>
          <w:lang w:val="en-US"/>
        </w:rPr>
        <w:t>the expansion of sanctions to new sectors, may pose additional risks that could adversely affect our</w:t>
      </w:r>
      <w:r>
        <w:rPr>
          <w:rFonts w:ascii="Arial" w:eastAsia="Arial" w:hAnsi="Arial" w:cs="Arial"/>
          <w:iCs/>
          <w:bdr w:val="none" w:sz="0" w:space="0" w:color="auto" w:frame="1"/>
          <w:lang w:val="en-US"/>
        </w:rPr>
        <w:t xml:space="preserve"> </w:t>
      </w:r>
      <w:r w:rsidRPr="001753A5">
        <w:rPr>
          <w:rFonts w:ascii="Arial" w:eastAsia="Arial" w:hAnsi="Arial" w:cs="Arial"/>
          <w:iCs/>
          <w:bdr w:val="none" w:sz="0" w:space="0" w:color="auto" w:frame="1"/>
          <w:lang w:val="en-US"/>
        </w:rPr>
        <w:t>business and operations.</w:t>
      </w:r>
    </w:p>
    <w:p w14:paraId="71F3DECA" w14:textId="77777777" w:rsidR="001753A5" w:rsidRDefault="001753A5" w:rsidP="00A0643F">
      <w:pPr>
        <w:pBdr>
          <w:top w:val="nil"/>
          <w:left w:val="nil"/>
          <w:bottom w:val="nil"/>
          <w:right w:val="nil"/>
          <w:between w:val="nil"/>
          <w:bar w:val="nil"/>
        </w:pBdr>
        <w:jc w:val="both"/>
        <w:rPr>
          <w:rFonts w:eastAsia="Arial" w:cs="Arial"/>
          <w:iCs/>
          <w:bdr w:val="nil"/>
          <w:lang w:val="en-US"/>
        </w:rPr>
      </w:pPr>
    </w:p>
    <w:p w14:paraId="71F3DECB" w14:textId="77777777" w:rsidR="006C743D" w:rsidRDefault="003A4815" w:rsidP="001753A5">
      <w:pPr>
        <w:pBdr>
          <w:top w:val="nil"/>
          <w:left w:val="nil"/>
          <w:bottom w:val="nil"/>
          <w:right w:val="nil"/>
          <w:between w:val="nil"/>
          <w:bar w:val="nil"/>
        </w:pBdr>
        <w:jc w:val="both"/>
        <w:rPr>
          <w:rFonts w:eastAsia="Arial" w:cs="Arial"/>
          <w:iCs/>
          <w:bdr w:val="nil"/>
          <w:lang w:val="en-US"/>
        </w:rPr>
      </w:pPr>
      <w:r>
        <w:rPr>
          <w:rFonts w:ascii="Arial" w:eastAsia="Arial" w:hAnsi="Arial" w:cs="Arial"/>
          <w:iCs/>
          <w:lang w:val="en-US"/>
        </w:rPr>
        <w:t>Our business could be adversely impacted by trade tariffs, trade embargoes or other economic sanctions that limit trading activities b</w:t>
      </w:r>
      <w:r w:rsidR="001753A5">
        <w:rPr>
          <w:rFonts w:ascii="Arial" w:eastAsia="Arial" w:hAnsi="Arial" w:cs="Arial"/>
          <w:iCs/>
          <w:lang w:val="en-US"/>
        </w:rPr>
        <w:t>etween</w:t>
      </w:r>
      <w:r>
        <w:rPr>
          <w:rFonts w:ascii="Arial" w:eastAsia="Arial" w:hAnsi="Arial" w:cs="Arial"/>
          <w:iCs/>
          <w:lang w:val="en-US"/>
        </w:rPr>
        <w:t xml:space="preserve"> the United States or other countries </w:t>
      </w:r>
      <w:r w:rsidR="001753A5">
        <w:rPr>
          <w:rFonts w:ascii="Arial" w:eastAsia="Arial" w:hAnsi="Arial" w:cs="Arial"/>
          <w:iCs/>
          <w:lang w:val="en-US"/>
        </w:rPr>
        <w:t>and</w:t>
      </w:r>
      <w:r>
        <w:rPr>
          <w:rFonts w:ascii="Arial" w:eastAsia="Arial" w:hAnsi="Arial" w:cs="Arial"/>
          <w:iCs/>
          <w:lang w:val="en-US"/>
        </w:rPr>
        <w:t xml:space="preserve"> countries in the Middle East, Asia or elsewhere as a result of terrorist attacks, hostilities or diplomatic or political pressures, including as a result of the </w:t>
      </w:r>
      <w:r w:rsidR="001753A5" w:rsidRPr="001753A5">
        <w:rPr>
          <w:rFonts w:ascii="Arial" w:eastAsia="Arial" w:hAnsi="Arial" w:cs="Arial"/>
          <w:iCs/>
          <w:lang w:val="en-US"/>
        </w:rPr>
        <w:t>ongoing</w:t>
      </w:r>
      <w:r w:rsidR="001753A5">
        <w:rPr>
          <w:rFonts w:ascii="Arial" w:eastAsia="Arial" w:hAnsi="Arial" w:cs="Arial"/>
          <w:iCs/>
          <w:lang w:val="en-US"/>
        </w:rPr>
        <w:t xml:space="preserve"> </w:t>
      </w:r>
      <w:r w:rsidR="001753A5" w:rsidRPr="001753A5">
        <w:rPr>
          <w:rFonts w:ascii="Arial" w:eastAsia="Arial" w:hAnsi="Arial" w:cs="Arial"/>
          <w:iCs/>
          <w:lang w:val="en-US"/>
        </w:rPr>
        <w:t>tensions involving Russia, Iran, and China and the current conflicts between Russia and Ukraine and in</w:t>
      </w:r>
      <w:r w:rsidR="001753A5">
        <w:rPr>
          <w:rFonts w:ascii="Arial" w:eastAsia="Arial" w:hAnsi="Arial" w:cs="Arial"/>
          <w:iCs/>
          <w:lang w:val="en-US"/>
        </w:rPr>
        <w:t xml:space="preserve"> </w:t>
      </w:r>
      <w:r w:rsidR="001753A5" w:rsidRPr="001753A5">
        <w:rPr>
          <w:rFonts w:ascii="Arial" w:eastAsia="Arial" w:hAnsi="Arial" w:cs="Arial"/>
          <w:iCs/>
          <w:lang w:val="en-US"/>
        </w:rPr>
        <w:t xml:space="preserve">the Middle East. </w:t>
      </w:r>
    </w:p>
    <w:p w14:paraId="71F3DECC" w14:textId="77777777" w:rsidR="00670B59" w:rsidRDefault="00670B59" w:rsidP="001753A5">
      <w:pPr>
        <w:pBdr>
          <w:top w:val="nil"/>
          <w:left w:val="nil"/>
          <w:bottom w:val="nil"/>
          <w:right w:val="nil"/>
          <w:between w:val="nil"/>
          <w:bar w:val="nil"/>
        </w:pBdr>
        <w:jc w:val="both"/>
        <w:rPr>
          <w:rFonts w:eastAsia="Arial" w:cs="Arial"/>
          <w:iCs/>
          <w:bdr w:val="nil"/>
          <w:lang w:val="en-US"/>
        </w:rPr>
      </w:pPr>
    </w:p>
    <w:p w14:paraId="71F3DECD" w14:textId="77777777" w:rsidR="00670B59" w:rsidRPr="00670B59" w:rsidRDefault="003A4815" w:rsidP="00670B59">
      <w:pPr>
        <w:pBdr>
          <w:top w:val="nil"/>
          <w:left w:val="nil"/>
          <w:bottom w:val="nil"/>
          <w:right w:val="nil"/>
          <w:between w:val="nil"/>
          <w:bar w:val="nil"/>
        </w:pBdr>
        <w:jc w:val="both"/>
        <w:rPr>
          <w:rFonts w:eastAsia="Arial" w:cs="Arial"/>
          <w:b/>
          <w:bCs/>
          <w:i/>
          <w:iCs/>
          <w:bdr w:val="nil"/>
          <w:lang w:val="en-US"/>
        </w:rPr>
      </w:pPr>
      <w:r w:rsidRPr="00670B59">
        <w:rPr>
          <w:rFonts w:ascii="Arial" w:eastAsia="Arial" w:hAnsi="Arial" w:cs="Arial"/>
          <w:b/>
          <w:bCs/>
          <w:i/>
          <w:iCs/>
          <w:lang w:val="en-US"/>
        </w:rPr>
        <w:t>An increase in trade protectionism, the unravelling of multilateral trade agreements and a decrease in the level of China’s export of goods and import of raw materials could have a material adverse impact on our charterers’ business and, in turn, could cause a material adverse impact on our results of operations, financial condition and cash flows.</w:t>
      </w:r>
    </w:p>
    <w:p w14:paraId="71F3DECE"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 </w:t>
      </w:r>
    </w:p>
    <w:p w14:paraId="71F3DECF"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Our operations expose us to the risk that increased trade protectionism may adversely affect our business. Recently, government leaders have declared that their countries may turn to trade barriers to protect or revive their domestic industries in the face of foreign imports, thereby depressing the demand for shipping.</w:t>
      </w:r>
    </w:p>
    <w:p w14:paraId="71F3DED0"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 </w:t>
      </w:r>
    </w:p>
    <w:p w14:paraId="71F3DED1"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The U.S. government has made statements and taken actions that may impact U.S. and international trade policies, including tariffs affecting certain Chinese industries. Additionally,</w:t>
      </w:r>
      <w:r w:rsidR="00140D5C">
        <w:rPr>
          <w:rFonts w:ascii="Arial" w:eastAsia="Arial" w:hAnsi="Arial" w:cs="Arial"/>
          <w:iCs/>
          <w:lang w:val="en-US"/>
        </w:rPr>
        <w:t xml:space="preserve"> </w:t>
      </w:r>
      <w:r w:rsidR="00140D5C" w:rsidRPr="00140D5C">
        <w:rPr>
          <w:rFonts w:ascii="Arial" w:eastAsia="Arial" w:hAnsi="Arial" w:cs="Arial"/>
          <w:iCs/>
          <w:lang w:val="en-US"/>
        </w:rPr>
        <w:t>there is significant uncertainty about the future relationship between the United States and China and other countries, such as Canada, Mexico, and the European Union, among others, with respect to trade policies, treaties, government regulations, and tariffs, some of which remain subject to legal challenge. It is unknown whether and to what extent such tariffs will be retained, expanded, or otherwise modified by the U.S., or the effect that any such actions or any actions taken by other countries in response will have on us or our industry.</w:t>
      </w:r>
      <w:r w:rsidRPr="00670B59">
        <w:rPr>
          <w:rFonts w:ascii="Arial" w:eastAsia="Arial" w:hAnsi="Arial" w:cs="Arial"/>
          <w:iCs/>
          <w:lang w:val="en-US"/>
        </w:rPr>
        <w:t xml:space="preserve"> If any new tariffs, legislation and/or regulations are implemented, or if existing trade agreements are renegotiated or, in particular, if the U.S. government </w:t>
      </w:r>
      <w:r w:rsidR="00140D5C">
        <w:rPr>
          <w:rFonts w:ascii="Arial" w:eastAsia="Arial" w:hAnsi="Arial" w:cs="Arial"/>
          <w:iCs/>
          <w:lang w:val="en-US"/>
        </w:rPr>
        <w:t>pursues additional</w:t>
      </w:r>
      <w:r w:rsidRPr="00670B59">
        <w:rPr>
          <w:rFonts w:ascii="Arial" w:eastAsia="Arial" w:hAnsi="Arial" w:cs="Arial"/>
          <w:iCs/>
          <w:lang w:val="en-US"/>
        </w:rPr>
        <w:t xml:space="preserve"> retaliatory trade actions due to the ongoing U.S.-China trade tension, such changes could have an adverse effect on our business, results of operations and financial condition.</w:t>
      </w:r>
    </w:p>
    <w:p w14:paraId="71F3DED2" w14:textId="77777777" w:rsidR="00670B59" w:rsidRPr="00670B59" w:rsidRDefault="00670B59" w:rsidP="00670B59">
      <w:pPr>
        <w:pBdr>
          <w:top w:val="nil"/>
          <w:left w:val="nil"/>
          <w:bottom w:val="nil"/>
          <w:right w:val="nil"/>
          <w:between w:val="nil"/>
          <w:bar w:val="nil"/>
        </w:pBdr>
        <w:jc w:val="both"/>
        <w:rPr>
          <w:rFonts w:eastAsia="Arial" w:cs="Arial"/>
          <w:iCs/>
          <w:bdr w:val="nil"/>
          <w:lang w:val="en-US"/>
        </w:rPr>
      </w:pPr>
    </w:p>
    <w:p w14:paraId="71F3DED3" w14:textId="77777777" w:rsidR="00140D5C" w:rsidRPr="00140D5C" w:rsidRDefault="003A4815" w:rsidP="00140D5C">
      <w:pPr>
        <w:pBdr>
          <w:top w:val="nil"/>
          <w:left w:val="nil"/>
          <w:bottom w:val="nil"/>
          <w:right w:val="nil"/>
          <w:between w:val="nil"/>
          <w:bar w:val="nil"/>
        </w:pBdr>
        <w:jc w:val="both"/>
        <w:rPr>
          <w:rFonts w:eastAsia="Arial" w:cs="Arial"/>
          <w:iCs/>
          <w:bdr w:val="nil"/>
          <w:lang w:val="en-US"/>
        </w:rPr>
      </w:pPr>
      <w:r w:rsidRPr="00140D5C">
        <w:rPr>
          <w:rFonts w:ascii="Arial" w:eastAsia="Arial" w:hAnsi="Arial" w:cs="Arial"/>
          <w:iCs/>
          <w:lang w:val="en-US"/>
        </w:rPr>
        <w:t>For example, beginning in April 2025, the Office of the United States Trade Representative (USTR) implemented service fees on Chinese vessel operators and owners, as well as operators of Chinese-built vessels, and for certain car carriers and roll-on/roll-off vessels calling at U.S. ports. Such service fees were initially imposed as scheduled beginning on October 14, 2025, but were suspended for one year as of November 10, 2025 as a result of broader trade negotiations between the U.S. and China. China had imposed retaliatory service fees on U.S. vessels, which were also suspended for a period of one year on the same date. It is unknown whether and to what extent these port fees will be reimposed following the one-year suspension, or the effect that they might have on us or our industry generally.</w:t>
      </w:r>
    </w:p>
    <w:p w14:paraId="71F3DED4" w14:textId="77777777" w:rsidR="00670B59" w:rsidRPr="00670B59" w:rsidRDefault="00670B59" w:rsidP="00670B59">
      <w:pPr>
        <w:pBdr>
          <w:top w:val="nil"/>
          <w:left w:val="nil"/>
          <w:bottom w:val="nil"/>
          <w:right w:val="nil"/>
          <w:between w:val="nil"/>
          <w:bar w:val="nil"/>
        </w:pBdr>
        <w:jc w:val="both"/>
        <w:rPr>
          <w:rFonts w:eastAsia="Arial" w:cs="Arial"/>
          <w:iCs/>
          <w:bdr w:val="nil"/>
          <w:lang w:val="en-US"/>
        </w:rPr>
      </w:pPr>
    </w:p>
    <w:p w14:paraId="71F3DED5"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Furthermore, the government of China has implemented economic policies aimed at increasing domestic consumption of Chinese-made goods. This may have the effect of reducing the supply of goods available for export and may, in turn, result in a decrease of demand for shipping. Many of the reforms, particularly some limited price reforms that result in the prices for certain commodities being principally determined by market forces, are unprecedented or experimental and may be subject to revision, change or abolition.</w:t>
      </w:r>
    </w:p>
    <w:p w14:paraId="71F3DED6" w14:textId="77777777" w:rsidR="00670B59" w:rsidRP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 </w:t>
      </w:r>
    </w:p>
    <w:p w14:paraId="71F3DED7" w14:textId="77777777" w:rsidR="00670B59" w:rsidRDefault="003A4815" w:rsidP="00670B59">
      <w:pPr>
        <w:pBdr>
          <w:top w:val="nil"/>
          <w:left w:val="nil"/>
          <w:bottom w:val="nil"/>
          <w:right w:val="nil"/>
          <w:between w:val="nil"/>
          <w:bar w:val="nil"/>
        </w:pBdr>
        <w:jc w:val="both"/>
        <w:rPr>
          <w:rFonts w:eastAsia="Arial" w:cs="Arial"/>
          <w:iCs/>
          <w:bdr w:val="nil"/>
          <w:lang w:val="en-US"/>
        </w:rPr>
      </w:pPr>
      <w:r w:rsidRPr="00670B59">
        <w:rPr>
          <w:rFonts w:ascii="Arial" w:eastAsia="Arial" w:hAnsi="Arial" w:cs="Arial"/>
          <w:iCs/>
          <w:lang w:val="en-US"/>
        </w:rPr>
        <w:t>Restrictions on imports, including in the form of tariffs, could have a major impact on global trade and demand for shipping. Specifically, increasing trade protectionism in the markets that our charterers serve may cause an increase in (i) the cost of goods exported from exporting countries, (ii) the length of time required to deliver goods from exporting countries, (iii) the costs of such delivery and (iv) the risks associated with exporting goods. These factors may result in a decrease in the quantity of goods to be shipped, shipping time schedules, voyage costs and other associated costs. Protectionist developments, or the perception they may occur, may have a material adverse effect on global economic conditions, and may significantly reduce global trade, including trade between the United States and China. These developments would also have an adverse impact on our charterers’ business, operating results and financial condition which could, in turn, affect our charterers’ ability to make timely charter hire payments to us and impair our ability to renew charters and grow our business. Any of these developments could have a material adverse effect on our business, results of operations and financial condition, as well as our cash flows, including cash available for dividends to our stockholders.</w:t>
      </w:r>
    </w:p>
    <w:p w14:paraId="71F3DED8" w14:textId="77777777" w:rsidR="0030537F" w:rsidRDefault="0030537F" w:rsidP="00A0643F">
      <w:pPr>
        <w:pBdr>
          <w:top w:val="nil"/>
          <w:left w:val="nil"/>
          <w:bottom w:val="nil"/>
          <w:right w:val="nil"/>
          <w:between w:val="nil"/>
          <w:bar w:val="nil"/>
        </w:pBdr>
        <w:jc w:val="both"/>
        <w:rPr>
          <w:rFonts w:eastAsia="Arial" w:cs="Arial"/>
          <w:iCs/>
          <w:bdr w:val="nil"/>
          <w:lang w:val="en-US"/>
        </w:rPr>
      </w:pPr>
    </w:p>
    <w:p w14:paraId="71F3DED9" w14:textId="77777777" w:rsidR="0030537F" w:rsidRDefault="003A4815" w:rsidP="001520C1">
      <w:pPr>
        <w:pStyle w:val="Heading3"/>
        <w:pBdr>
          <w:top w:val="nil"/>
          <w:left w:val="nil"/>
          <w:bottom w:val="nil"/>
          <w:right w:val="nil"/>
          <w:between w:val="nil"/>
          <w:bar w:val="nil"/>
        </w:pBdr>
        <w:rPr>
          <w:rFonts w:eastAsia="Arial" w:cs="Arial"/>
          <w:bdr w:val="nil"/>
          <w:lang w:val="en-US"/>
        </w:rPr>
      </w:pPr>
      <w:bookmarkStart w:id="78" w:name="_Hlk128486283"/>
      <w:r w:rsidRPr="000D35C6">
        <w:rPr>
          <w:rFonts w:eastAsia="Arial" w:cs="Arial"/>
          <w:bdr w:val="none" w:sz="0" w:space="0" w:color="auto" w:frame="1"/>
          <w:lang w:val="en-US"/>
        </w:rPr>
        <w:t>Outbreaks of epidemic and pandemic diseases and governmental responses thereto could adversely affect our business.</w:t>
      </w:r>
    </w:p>
    <w:p w14:paraId="71F3DEDA" w14:textId="77777777" w:rsidR="000D1E2E" w:rsidRPr="000D35C6" w:rsidRDefault="000D1E2E" w:rsidP="00D67F50">
      <w:pPr>
        <w:keepNext/>
        <w:keepLines/>
        <w:pBdr>
          <w:top w:val="nil"/>
          <w:left w:val="nil"/>
          <w:bottom w:val="nil"/>
          <w:right w:val="nil"/>
          <w:between w:val="nil"/>
          <w:bar w:val="nil"/>
        </w:pBdr>
        <w:jc w:val="both"/>
        <w:rPr>
          <w:rFonts w:eastAsia="Arial" w:cs="Arial"/>
          <w:b/>
          <w:bCs/>
          <w:i/>
          <w:iCs/>
          <w:bdr w:val="nil"/>
          <w:lang w:val="en-US"/>
        </w:rPr>
      </w:pPr>
    </w:p>
    <w:p w14:paraId="71F3DEDB" w14:textId="77777777" w:rsidR="0030537F" w:rsidRDefault="003A4815" w:rsidP="00A0643F">
      <w:pPr>
        <w:pBdr>
          <w:top w:val="nil"/>
          <w:left w:val="nil"/>
          <w:bottom w:val="nil"/>
          <w:right w:val="nil"/>
          <w:between w:val="nil"/>
          <w:bar w:val="nil"/>
        </w:pBdr>
        <w:jc w:val="both"/>
        <w:rPr>
          <w:rFonts w:eastAsia="Arial" w:cs="Arial"/>
          <w:iCs/>
          <w:bdr w:val="nil"/>
          <w:lang w:val="en-US"/>
        </w:rPr>
      </w:pPr>
      <w:r>
        <w:rPr>
          <w:rFonts w:ascii="Arial" w:eastAsia="Arial" w:hAnsi="Arial" w:cs="Arial"/>
          <w:iCs/>
          <w:lang w:val="en-US"/>
        </w:rPr>
        <w:t>Our operations are subject to risks related to pandemics, epidemics or other infectious disease outbreaks and government responses thereto.</w:t>
      </w:r>
    </w:p>
    <w:p w14:paraId="71F3DEDC"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DD" w14:textId="77777777" w:rsidR="000D1E2E" w:rsidRDefault="003A4815" w:rsidP="009736CC">
      <w:pPr>
        <w:pBdr>
          <w:top w:val="nil"/>
          <w:left w:val="nil"/>
          <w:bottom w:val="nil"/>
          <w:right w:val="nil"/>
          <w:between w:val="nil"/>
          <w:bar w:val="nil"/>
        </w:pBdr>
        <w:jc w:val="both"/>
        <w:rPr>
          <w:rFonts w:eastAsia="Arial" w:cs="Arial"/>
          <w:iCs/>
          <w:bdr w:val="nil"/>
          <w:lang w:val="en-US"/>
        </w:rPr>
      </w:pPr>
      <w:r>
        <w:rPr>
          <w:rFonts w:ascii="Arial" w:eastAsia="Arial" w:hAnsi="Arial" w:cs="Arial"/>
          <w:iCs/>
          <w:lang w:val="en-US"/>
        </w:rPr>
        <w:t>The extent to which our business, the global economy and dry bulk transportation industry may be negatively affected by future pandemics, epidemics or other outbreaks of infectious diseases is highly uncertain and will depend on numerous evolving factors that we cannot predict, including, but not limited to (i) the duration and severity of the infectious disease outbreak; (ii) the imposition of restrictive measures to combat the outbreak and slow disease transmission; (iii) the introduction of financial support measures to reduce the impact of the outbreak on the economy; (iv) volatility in the demand for and price of oil and gas; (v) shortages or reductions in the supply of essential goods, services or labor; (vi)</w:t>
      </w:r>
      <w:r w:rsidR="009736CC">
        <w:rPr>
          <w:rFonts w:ascii="Arial" w:eastAsia="Arial" w:hAnsi="Arial" w:cs="Arial"/>
          <w:iCs/>
          <w:lang w:val="en-US"/>
        </w:rPr>
        <w:t xml:space="preserve"> </w:t>
      </w:r>
      <w:r w:rsidR="009736CC" w:rsidRPr="009736CC">
        <w:rPr>
          <w:rFonts w:ascii="Arial" w:eastAsia="Arial" w:hAnsi="Arial" w:cs="Arial"/>
          <w:iCs/>
          <w:lang w:val="en-US"/>
        </w:rPr>
        <w:t>the</w:t>
      </w:r>
      <w:r w:rsidR="009736CC">
        <w:rPr>
          <w:rFonts w:ascii="Arial" w:eastAsia="Arial" w:hAnsi="Arial" w:cs="Arial"/>
          <w:iCs/>
          <w:lang w:val="en-US"/>
        </w:rPr>
        <w:t xml:space="preserve"> </w:t>
      </w:r>
      <w:r w:rsidR="009736CC" w:rsidRPr="009736CC">
        <w:rPr>
          <w:rFonts w:ascii="Arial" w:eastAsia="Arial" w:hAnsi="Arial" w:cs="Arial"/>
          <w:iCs/>
          <w:lang w:val="en-US"/>
        </w:rPr>
        <w:t>effect such an outbreak would have on the global business environment and the demand for the goods</w:t>
      </w:r>
      <w:r w:rsidR="009736CC">
        <w:rPr>
          <w:rFonts w:ascii="Arial" w:eastAsia="Arial" w:hAnsi="Arial" w:cs="Arial"/>
          <w:iCs/>
          <w:lang w:val="en-US"/>
        </w:rPr>
        <w:t xml:space="preserve"> </w:t>
      </w:r>
      <w:r w:rsidR="009736CC" w:rsidRPr="009736CC">
        <w:rPr>
          <w:rFonts w:ascii="Arial" w:eastAsia="Arial" w:hAnsi="Arial" w:cs="Arial"/>
          <w:iCs/>
          <w:lang w:val="en-US"/>
        </w:rPr>
        <w:t>we transport; (vii) governmental responses; and (viii)</w:t>
      </w:r>
      <w:r>
        <w:rPr>
          <w:rFonts w:ascii="Arial" w:eastAsia="Arial" w:hAnsi="Arial" w:cs="Arial"/>
          <w:iCs/>
          <w:lang w:val="en-US"/>
        </w:rPr>
        <w:t xml:space="preserve"> fluctuations in general economic or financial conditions tied to the outbreak, such as a sharp increase in interest rates or reduction in the availability of credit. We cannot predict the effect that any future infectious disease outbreak, pandemic or epidemic may have on our business, results of operations and financial condition, which could be material and adverse.</w:t>
      </w:r>
    </w:p>
    <w:p w14:paraId="71F3DEDE" w14:textId="77777777" w:rsidR="006C743D" w:rsidRPr="000D35C6" w:rsidRDefault="006C743D" w:rsidP="00A0643F">
      <w:pPr>
        <w:pBdr>
          <w:top w:val="nil"/>
          <w:left w:val="nil"/>
          <w:bottom w:val="nil"/>
          <w:right w:val="nil"/>
          <w:between w:val="nil"/>
          <w:bar w:val="nil"/>
        </w:pBdr>
        <w:jc w:val="both"/>
        <w:rPr>
          <w:rFonts w:eastAsia="Arial" w:cs="Arial"/>
          <w:iCs/>
          <w:bdr w:val="nil"/>
          <w:lang w:val="en-US"/>
        </w:rPr>
      </w:pPr>
    </w:p>
    <w:bookmarkEnd w:id="78"/>
    <w:p w14:paraId="71F3DEDF"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Our operating results may be affected by seasonal fluctuations.</w:t>
      </w:r>
    </w:p>
    <w:p w14:paraId="71F3DEE0" w14:textId="77777777" w:rsidR="000D1E2E" w:rsidRPr="000D35C6" w:rsidRDefault="000D1E2E" w:rsidP="00D67F50">
      <w:pPr>
        <w:keepNext/>
        <w:keepLines/>
        <w:pBdr>
          <w:top w:val="nil"/>
          <w:left w:val="nil"/>
          <w:bottom w:val="nil"/>
          <w:right w:val="nil"/>
          <w:between w:val="nil"/>
          <w:bar w:val="nil"/>
        </w:pBdr>
        <w:jc w:val="both"/>
        <w:rPr>
          <w:rFonts w:eastAsia="Arial" w:cs="Arial"/>
          <w:bdr w:val="nil"/>
          <w:lang w:val="en-US"/>
        </w:rPr>
      </w:pPr>
    </w:p>
    <w:p w14:paraId="71F3DEE1"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We operate our vessels in markets that have historically exhibited seasonal variations in demand and, as a result, in charter hire rates. This seasonality may result in quarter-to-quarter volatility in our operating results. The dry bulk carrier market is typically stronger in the fall and winter months in anticipation of increased consumption of coal and other raw materials in the northern hemisphere during the winter months. </w:t>
      </w:r>
      <w:r w:rsidR="00442C8A" w:rsidRPr="00442C8A">
        <w:rPr>
          <w:rFonts w:ascii="Arial" w:eastAsia="Arial" w:hAnsi="Arial" w:cs="Arial"/>
          <w:bdr w:val="none" w:sz="0" w:space="0" w:color="auto" w:frame="1"/>
          <w:lang w:val="en-US"/>
        </w:rPr>
        <w:t>As China is the most significant market for dry bulk shipping, the public holidays in relation to the Chinese New Year during the first quarter usually results in a decrease in market activity during this period</w:t>
      </w:r>
      <w:r w:rsidR="00442C8A">
        <w:rPr>
          <w:rFonts w:ascii="Arial" w:eastAsia="Arial" w:hAnsi="Arial" w:cs="Arial"/>
          <w:bdr w:val="none" w:sz="0" w:space="0" w:color="auto" w:frame="1"/>
          <w:lang w:val="en-US"/>
        </w:rPr>
        <w:t xml:space="preserve">. </w:t>
      </w:r>
      <w:r w:rsidRPr="000D35C6">
        <w:rPr>
          <w:rFonts w:ascii="Arial" w:eastAsia="Arial" w:hAnsi="Arial" w:cs="Arial"/>
          <w:bdr w:val="none" w:sz="0" w:space="0" w:color="auto" w:frame="1"/>
          <w:lang w:val="en-US"/>
        </w:rPr>
        <w:t xml:space="preserve">In addition, unpredictable weather patterns in these months tend to disrupt vessel scheduling and supplies of certain commodities. As a result, </w:t>
      </w:r>
      <w:r w:rsidR="00261A76" w:rsidRPr="00261A76">
        <w:rPr>
          <w:rFonts w:ascii="Arial" w:eastAsia="Arial" w:hAnsi="Arial" w:cs="Arial"/>
          <w:bdr w:val="none" w:sz="0" w:space="0" w:color="auto" w:frame="1"/>
          <w:lang w:val="en-US"/>
        </w:rPr>
        <w:t>our revenues may be weaker during the fiscal quarters ending March 31 and June 30, and, conversely, our revenues  may be stronger in fiscal quarters ending September 30 and December 31</w:t>
      </w:r>
      <w:r w:rsidR="00261A76">
        <w:rPr>
          <w:rFonts w:ascii="Arial" w:eastAsia="Arial" w:hAnsi="Arial" w:cs="Arial"/>
          <w:bdr w:val="none" w:sz="0" w:space="0" w:color="auto" w:frame="1"/>
          <w:lang w:val="en-US"/>
        </w:rPr>
        <w:t>.</w:t>
      </w:r>
      <w:r w:rsidRPr="000D35C6">
        <w:rPr>
          <w:rFonts w:ascii="Arial" w:eastAsia="Arial" w:hAnsi="Arial" w:cs="Arial"/>
          <w:bdr w:val="none" w:sz="0" w:space="0" w:color="auto" w:frame="1"/>
          <w:lang w:val="en-US"/>
        </w:rPr>
        <w:t xml:space="preserve"> While this seasonality does not directly affect our operating results, it could materially affect our operating results to the extent our vessels are employed in the spot market in the future.</w:t>
      </w:r>
    </w:p>
    <w:p w14:paraId="71F3DEE2"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EE3" w14:textId="77777777" w:rsidR="0030537F" w:rsidRDefault="003A4815" w:rsidP="001520C1">
      <w:pPr>
        <w:pStyle w:val="Heading3"/>
        <w:pBdr>
          <w:top w:val="nil"/>
          <w:left w:val="nil"/>
          <w:bottom w:val="nil"/>
          <w:right w:val="nil"/>
          <w:between w:val="nil"/>
          <w:bar w:val="nil"/>
        </w:pBdr>
        <w:rPr>
          <w:rFonts w:eastAsia="Arial" w:cs="Arial"/>
          <w:bdr w:val="nil"/>
          <w:lang w:val="en-US"/>
        </w:rPr>
      </w:pPr>
      <w:bookmarkStart w:id="79" w:name="_Hlk130290305"/>
      <w:r w:rsidRPr="000D35C6">
        <w:rPr>
          <w:rFonts w:eastAsia="Arial" w:cs="Arial"/>
          <w:bdr w:val="none" w:sz="0" w:space="0" w:color="auto" w:frame="1"/>
          <w:lang w:val="en-US"/>
        </w:rPr>
        <w:t>An increase in the price of fuel, or bunkers, may adversely affect our profits.</w:t>
      </w:r>
    </w:p>
    <w:p w14:paraId="71F3DEE4" w14:textId="77777777" w:rsidR="000D1E2E" w:rsidRPr="000D35C6" w:rsidRDefault="000D1E2E" w:rsidP="00D67F50">
      <w:pPr>
        <w:keepNext/>
        <w:keepLines/>
        <w:pBdr>
          <w:top w:val="nil"/>
          <w:left w:val="nil"/>
          <w:bottom w:val="nil"/>
          <w:right w:val="nil"/>
          <w:between w:val="nil"/>
          <w:bar w:val="nil"/>
        </w:pBdr>
        <w:jc w:val="both"/>
        <w:rPr>
          <w:rFonts w:eastAsia="Arial" w:cs="Arial"/>
          <w:bdr w:val="nil"/>
          <w:lang w:val="en-US"/>
        </w:rPr>
      </w:pPr>
    </w:p>
    <w:p w14:paraId="71F3DEE5" w14:textId="77777777" w:rsidR="0030537F" w:rsidRDefault="003A4815" w:rsidP="00D67F50">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While we generally will not bear the cost of fuel or bunkers for vessels operating on time charters, fuel is a significant factor in negotiating charter rates. As a result, an increase in the price of fuel beyond our expectations may adversely affect our profitability at the time of charter negotiation. Fuel is also a significant, if not the largest, expense in shipping when vessels are under voyage charter. </w:t>
      </w:r>
      <w:r w:rsidR="009462D7" w:rsidRPr="009462D7">
        <w:rPr>
          <w:rFonts w:ascii="Arial" w:eastAsia="Arial" w:hAnsi="Arial" w:cs="Arial"/>
          <w:bdr w:val="none" w:sz="0" w:space="0" w:color="auto" w:frame="1"/>
          <w:lang w:val="en-US"/>
        </w:rPr>
        <w:t>The price and supply of fuel is unpredictable and fluctuates based on events outside our control, including geopolitical developments, such as the ongoing conflict between Russia and Ukraine and between the U.S. and its allies, and Iran, supply and demand for oil and gas, actions by the Organization of Petroleum Exporting Countries (the "OPEC"), and other oil and gas producers, war and unrest in oil producing countries and regions, regional production patterns and environmental concerns. Any future increase in the cost of fuel may reduce the profitability and competitiveness of our business.</w:t>
      </w:r>
    </w:p>
    <w:p w14:paraId="71F3DEE6" w14:textId="77777777" w:rsidR="006C743D" w:rsidRDefault="006C743D" w:rsidP="00D67F50">
      <w:pPr>
        <w:pBdr>
          <w:top w:val="nil"/>
          <w:left w:val="nil"/>
          <w:bottom w:val="nil"/>
          <w:right w:val="nil"/>
          <w:between w:val="nil"/>
          <w:bar w:val="nil"/>
        </w:pBdr>
        <w:jc w:val="both"/>
        <w:rPr>
          <w:rFonts w:eastAsia="Arial" w:cs="Arial"/>
          <w:bdr w:val="nil"/>
          <w:lang w:val="en-US"/>
        </w:rPr>
      </w:pPr>
    </w:p>
    <w:bookmarkEnd w:id="79"/>
    <w:p w14:paraId="71F3DEE7"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We are subject to complex laws and regulations, including environmental regulations that can adversely affect the cost, manner or feasibility of doing business.</w:t>
      </w:r>
    </w:p>
    <w:p w14:paraId="71F3DEE8" w14:textId="77777777" w:rsidR="000D1E2E" w:rsidRPr="000D35C6" w:rsidRDefault="000D1E2E" w:rsidP="00A0643F">
      <w:pPr>
        <w:keepNext/>
        <w:keepLines/>
        <w:pBdr>
          <w:top w:val="nil"/>
          <w:left w:val="nil"/>
          <w:bottom w:val="nil"/>
          <w:right w:val="nil"/>
          <w:between w:val="nil"/>
          <w:bar w:val="nil"/>
        </w:pBdr>
        <w:jc w:val="both"/>
        <w:rPr>
          <w:rFonts w:eastAsia="Arial" w:cs="Arial"/>
          <w:bCs/>
          <w:iCs/>
          <w:bdr w:val="nil"/>
          <w:lang w:val="en-US"/>
        </w:rPr>
      </w:pPr>
    </w:p>
    <w:p w14:paraId="71F3DEE9"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Our business and the operations of our vessels are materially affected by environmental regulation in the form of international conventions, national, state and local laws and regulations in force in the jurisdictions in which our vessels operate, as well as in the country or countries of their registration, including those governing the management and disposal of hazardous substances and wastes, the cleanup of oil spills and other contamination, air emissions (including greenhouse gases), water discharges and ballast water management. These regulations include, but are not limited to, European Union regulations, the U.S. Oil Pollution Act of 1990, requirements of the U.S. Coast Guard, or USCG and the U.S. Environmental Protection Agency, the U.S. Clean Air Act of 1970 (including its amendments of 1977 and 1990), the U.S. Clean Water Act, and the U.S. Maritime Transportation Security Act of 2002, and regulations of the IMO, including the International Convention on Civil Liability for Oil Pollution Damage of 1969, the International Convention for the Prevention of Pollution from Ships of 1973, as modified by the Protocol of 1978, collectively referred to as MARPOL 73/78 or MARPOL, including designations of Emission Control Areas, thereunder</w:t>
      </w:r>
      <w:r w:rsidR="00FF35A5">
        <w:rPr>
          <w:rFonts w:ascii="Arial" w:eastAsia="Arial" w:hAnsi="Arial" w:cs="Arial"/>
          <w:bdr w:val="none" w:sz="0" w:space="0" w:color="auto" w:frame="1"/>
          <w:lang w:val="en-US"/>
        </w:rPr>
        <w:t>,</w:t>
      </w:r>
      <w:r w:rsidRPr="000D35C6">
        <w:rPr>
          <w:rFonts w:ascii="Arial" w:eastAsia="Arial" w:hAnsi="Arial" w:cs="Arial"/>
          <w:bdr w:val="none" w:sz="0" w:space="0" w:color="auto" w:frame="1"/>
          <w:lang w:val="en-US"/>
        </w:rPr>
        <w:t xml:space="preserve"> </w:t>
      </w:r>
      <w:r w:rsidR="00261A76">
        <w:rPr>
          <w:rFonts w:ascii="Arial" w:eastAsia="Arial" w:hAnsi="Arial" w:cs="Arial"/>
          <w:bdr w:val="none" w:sz="0" w:space="0" w:color="auto" w:frame="1"/>
          <w:lang w:val="en-US"/>
        </w:rPr>
        <w:t>the International Convention for the Safety of Life at Sea (</w:t>
      </w:r>
      <w:r w:rsidRPr="000D35C6">
        <w:rPr>
          <w:rFonts w:ascii="Arial" w:eastAsia="Arial" w:hAnsi="Arial" w:cs="Arial"/>
          <w:bdr w:val="none" w:sz="0" w:space="0" w:color="auto" w:frame="1"/>
          <w:lang w:val="en-US"/>
        </w:rPr>
        <w:t>SOLAS</w:t>
      </w:r>
      <w:r w:rsidR="00261A76">
        <w:rPr>
          <w:rFonts w:ascii="Arial" w:eastAsia="Arial" w:hAnsi="Arial" w:cs="Arial"/>
          <w:bdr w:val="none" w:sz="0" w:space="0" w:color="auto" w:frame="1"/>
          <w:lang w:val="en-US"/>
        </w:rPr>
        <w:t>)</w:t>
      </w:r>
      <w:r w:rsidRPr="000D35C6">
        <w:rPr>
          <w:rFonts w:ascii="Arial" w:eastAsia="Arial" w:hAnsi="Arial" w:cs="Arial"/>
          <w:bdr w:val="none" w:sz="0" w:space="0" w:color="auto" w:frame="1"/>
          <w:lang w:val="en-US"/>
        </w:rPr>
        <w:t xml:space="preserve">, the International Convention on Load Lines of 1966, the International Convention of Civil Liability for Bunker Oil Pollution Damage, and the </w:t>
      </w:r>
      <w:r w:rsidR="00261A76">
        <w:rPr>
          <w:rFonts w:ascii="Arial" w:eastAsia="Arial" w:hAnsi="Arial" w:cs="Arial"/>
          <w:bdr w:val="none" w:sz="0" w:space="0" w:color="auto" w:frame="1"/>
          <w:lang w:val="en-US"/>
        </w:rPr>
        <w:t>International Safety Management (</w:t>
      </w:r>
      <w:r w:rsidRPr="000D35C6">
        <w:rPr>
          <w:rFonts w:ascii="Arial" w:eastAsia="Arial" w:hAnsi="Arial" w:cs="Arial"/>
          <w:bdr w:val="none" w:sz="0" w:space="0" w:color="auto" w:frame="1"/>
          <w:lang w:val="en-US"/>
        </w:rPr>
        <w:t>ISM</w:t>
      </w:r>
      <w:r w:rsidR="00261A76">
        <w:rPr>
          <w:rFonts w:ascii="Arial" w:eastAsia="Arial" w:hAnsi="Arial" w:cs="Arial"/>
          <w:bdr w:val="none" w:sz="0" w:space="0" w:color="auto" w:frame="1"/>
          <w:lang w:val="en-US"/>
        </w:rPr>
        <w:t>)</w:t>
      </w:r>
      <w:r w:rsidRPr="000D35C6">
        <w:rPr>
          <w:rFonts w:ascii="Arial" w:eastAsia="Arial" w:hAnsi="Arial" w:cs="Arial"/>
          <w:bdr w:val="none" w:sz="0" w:space="0" w:color="auto" w:frame="1"/>
          <w:lang w:val="en-US"/>
        </w:rPr>
        <w:t xml:space="preserve"> Code. Because such conventions, laws, and regulations are often revised, we cannot predict the ultimate cost of complying with such requirements or the impact thereof on the re-sale price or useful life of any vessel that we own or will acquire. Additional conventions, laws and regulations may be adopted that could limit our ability to do business or increase the cost of our doing business and which may materially adversely affect our operations. Government regulation of vessels, particularly in the areas of safety and environmental requirements, continue to change, requiring us to incur significant capital expenditures on our vessels to keep them in compliance, or even to scrap or sell certain vessels altogether. In addition, we may incur significant costs in meeting new maintenance and inspection requirements, in developing contingency arrangements for potential environmental violations and in obtaining insurance coverage.</w:t>
      </w:r>
    </w:p>
    <w:p w14:paraId="71F3DEEA"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EEB"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In addition, we are required by various governmental and quasi-governmental agencies to obtain certain permits, licenses, certificates, approvals and financial assurances with respect to our operations. Our failure to maintain necessary permits, licenses, certificates, approvals or financial assurances could require us to incur substantial costs or temporarily suspend operation of one or more of the vessels in our fleet or lead to the invalidation or reduction of our insurance coverage.</w:t>
      </w:r>
    </w:p>
    <w:p w14:paraId="71F3DEEC"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EED" w14:textId="77777777" w:rsidR="002A6B33"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Environmental requirements can also affect the resale value or useful lives of our vessels, require a reduction in cargo capacity, ship modifications or operational changes or restrictions, lead to decreased availability of insurance coverage for environmental matters or result in the denial of access to certain jurisdictional waters or ports, or detention in certain ports. Under local, national and foreign laws, as well as international treaties and conventions, we could incur material liabilities, </w:t>
      </w:r>
      <w:r w:rsidR="004839F2" w:rsidRPr="000D35C6">
        <w:rPr>
          <w:rFonts w:ascii="Arial" w:eastAsia="Arial" w:hAnsi="Arial" w:cs="Arial"/>
          <w:bdr w:val="none" w:sz="0" w:space="0" w:color="auto" w:frame="1"/>
          <w:lang w:val="en-US"/>
        </w:rPr>
        <w:t>including</w:t>
      </w:r>
      <w:r w:rsidRPr="000D35C6">
        <w:rPr>
          <w:rFonts w:ascii="Arial" w:eastAsia="Arial" w:hAnsi="Arial" w:cs="Arial"/>
          <w:bdr w:val="none" w:sz="0" w:space="0" w:color="auto" w:frame="1"/>
          <w:lang w:val="en-US"/>
        </w:rPr>
        <w:t xml:space="preserve"> cleanup obligations and natural resource damages, in the event that there is a release of petroleum or hazardous substances from our vessels or otherwise in connection with our operations. We could also become subject to personal injury or property damage claims relating to the release of hazardous substances associated with our existing or historic operations. Violations of, or liabilities under, environmental requirements can result in substantial penalties, fines and other sanctions, including in certain instances, seizure or detention of our vessels.</w:t>
      </w:r>
    </w:p>
    <w:p w14:paraId="71F3DEEE" w14:textId="77777777" w:rsidR="009462D7" w:rsidRDefault="009462D7" w:rsidP="00A0643F">
      <w:pPr>
        <w:pBdr>
          <w:top w:val="nil"/>
          <w:left w:val="nil"/>
          <w:bottom w:val="nil"/>
          <w:right w:val="nil"/>
          <w:between w:val="nil"/>
          <w:bar w:val="nil"/>
        </w:pBdr>
        <w:jc w:val="both"/>
        <w:rPr>
          <w:rFonts w:eastAsia="Arial" w:cs="Arial"/>
          <w:bdr w:val="nil"/>
          <w:lang w:val="en-US"/>
        </w:rPr>
      </w:pPr>
    </w:p>
    <w:p w14:paraId="71F3DEEF" w14:textId="77777777" w:rsidR="009462D7" w:rsidRDefault="003A4815" w:rsidP="00A0643F">
      <w:pPr>
        <w:pBdr>
          <w:top w:val="nil"/>
          <w:left w:val="nil"/>
          <w:bottom w:val="nil"/>
          <w:right w:val="nil"/>
          <w:between w:val="nil"/>
          <w:bar w:val="nil"/>
        </w:pBdr>
        <w:jc w:val="both"/>
        <w:rPr>
          <w:rFonts w:eastAsia="Arial" w:cs="Arial"/>
          <w:bdr w:val="nil"/>
          <w:lang w:val="en-US"/>
        </w:rPr>
      </w:pPr>
      <w:r w:rsidRPr="009462D7">
        <w:rPr>
          <w:rFonts w:ascii="Arial" w:eastAsia="Arial" w:hAnsi="Arial" w:cs="Arial"/>
          <w:bdr w:val="none" w:sz="0" w:space="0" w:color="auto" w:frame="1"/>
          <w:lang w:val="en-US"/>
        </w:rPr>
        <w:t>These numerous and sometimes conflicting laws and regulations include, among others, data privacy requirements (in particular the European General Data Protection Regulation, enforceable as from May 25, 2018, labor relations laws, tax laws, anti-competition regulations, import and trade restrictions, export requirements, U.S. laws such as the FCPA and other U.S. federal laws and regulations established by the OFAC or other local laws which prohibit corrupt payments to governmental officials or certain payments or remunerations to customers.</w:t>
      </w:r>
    </w:p>
    <w:p w14:paraId="71F3DEF0"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EF1" w14:textId="77777777" w:rsidR="002A6B33"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Increased inspection procedures, tighter import and export controls and new security regulations could increase costs and disrupt our business.</w:t>
      </w:r>
    </w:p>
    <w:p w14:paraId="71F3DEF2" w14:textId="77777777" w:rsidR="000D1E2E" w:rsidRPr="000D35C6" w:rsidRDefault="000D1E2E" w:rsidP="00D67F50">
      <w:pPr>
        <w:keepNext/>
        <w:keepLines/>
        <w:pBdr>
          <w:top w:val="nil"/>
          <w:left w:val="nil"/>
          <w:bottom w:val="nil"/>
          <w:right w:val="nil"/>
          <w:between w:val="nil"/>
          <w:bar w:val="nil"/>
        </w:pBdr>
        <w:jc w:val="both"/>
        <w:rPr>
          <w:rFonts w:eastAsia="Arial" w:cs="Arial"/>
          <w:b/>
          <w:bCs/>
          <w:i/>
          <w:bdr w:val="nil"/>
          <w:lang w:val="en-US"/>
        </w:rPr>
      </w:pPr>
    </w:p>
    <w:p w14:paraId="71F3DEF3" w14:textId="77777777" w:rsidR="00530364"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International shipping is subject to various security and customs inspection and related procedures in countries of origin, destination and trans-shipment points. Under the U.S. Maritime Transportation Security Act of 2002 (“MTSA”), the U.S. Coast Guard issued regulations requiring the implementation of certain security requirements aboard vessels operating in waters subject to the jurisdiction of the United States and at certain ports and facilities. These security procedures may result in cargo seizure, delays in the loading, offloading, trans-shipment or delivery and the levying of customs duties, fines or other penalties against us. It is possible that changes to inspection procedures could impose additional financial and legal obligations on us. Changes to inspection procedures could also impose additional costs and obligations on our customers and may, in certain cases, render the shipment of certain types of cargo uneconomical or impractical. Any such changes or developments may have a material adverse effect on our business, customer relations, financial condition and earnings. </w:t>
      </w:r>
    </w:p>
    <w:p w14:paraId="71F3DEF4"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EF5" w14:textId="77777777" w:rsidR="002A6B33"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 xml:space="preserve">Operational risks and damage to our vessels could adversely impact our performance. </w:t>
      </w:r>
    </w:p>
    <w:p w14:paraId="71F3DEF6" w14:textId="77777777" w:rsidR="000D1E2E" w:rsidRPr="000D35C6" w:rsidRDefault="000D1E2E" w:rsidP="00D67F50">
      <w:pPr>
        <w:keepNext/>
        <w:keepLines/>
        <w:pBdr>
          <w:top w:val="nil"/>
          <w:left w:val="nil"/>
          <w:bottom w:val="nil"/>
          <w:right w:val="nil"/>
          <w:between w:val="nil"/>
          <w:bar w:val="nil"/>
        </w:pBdr>
        <w:jc w:val="both"/>
        <w:rPr>
          <w:rFonts w:eastAsia="Arial" w:cs="Arial"/>
          <w:b/>
          <w:bCs/>
          <w:i/>
          <w:iCs/>
          <w:bdr w:val="nil"/>
          <w:lang w:val="en-US"/>
        </w:rPr>
      </w:pPr>
    </w:p>
    <w:p w14:paraId="71F3DEF7" w14:textId="77777777" w:rsidR="002A6B33" w:rsidRDefault="003A4815" w:rsidP="006C2FD7">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The operation of an ocean-going vessel carries inherent risks. Our vessels and their cargoes are at risk of being damaged or lost because of events such as marine disasters,</w:t>
      </w:r>
      <w:r w:rsidR="009736CC" w:rsidRPr="009736CC">
        <w:rPr>
          <w:rFonts w:ascii="Arial" w:eastAsia="Arial" w:hAnsi="Arial" w:cs="Arial"/>
          <w:lang w:val="en-US"/>
        </w:rPr>
        <w:t xml:space="preserve"> </w:t>
      </w:r>
      <w:r w:rsidR="009736CC" w:rsidRPr="009736CC">
        <w:rPr>
          <w:rFonts w:ascii="Arial" w:eastAsia="Arial" w:hAnsi="Arial" w:cs="Arial"/>
          <w:iCs/>
          <w:bdr w:val="none" w:sz="0" w:space="0" w:color="auto" w:frame="1"/>
          <w:lang w:val="en-US"/>
        </w:rPr>
        <w:t>environmental accidents,</w:t>
      </w:r>
      <w:r w:rsidRPr="000D35C6">
        <w:rPr>
          <w:rFonts w:ascii="Arial" w:eastAsia="Arial" w:hAnsi="Arial" w:cs="Arial"/>
          <w:iCs/>
          <w:bdr w:val="none" w:sz="0" w:space="0" w:color="auto" w:frame="1"/>
          <w:lang w:val="en-US"/>
        </w:rPr>
        <w:t xml:space="preserve"> bad weather and </w:t>
      </w:r>
      <w:r w:rsidR="009736CC" w:rsidRPr="009736CC">
        <w:rPr>
          <w:rFonts w:ascii="Arial" w:eastAsia="Arial" w:hAnsi="Arial" w:cs="Arial"/>
          <w:iCs/>
          <w:bdr w:val="none" w:sz="0" w:space="0" w:color="auto" w:frame="1"/>
          <w:lang w:val="en-US"/>
        </w:rPr>
        <w:t>natural disasters or other disasters outside our control and</w:t>
      </w:r>
      <w:r w:rsidR="009736CC">
        <w:rPr>
          <w:rFonts w:ascii="Arial" w:eastAsia="Arial" w:hAnsi="Arial" w:cs="Arial"/>
          <w:iCs/>
          <w:bdr w:val="none" w:sz="0" w:space="0" w:color="auto" w:frame="1"/>
          <w:lang w:val="en-US"/>
        </w:rPr>
        <w:t xml:space="preserve"> </w:t>
      </w:r>
      <w:r w:rsidRPr="000D35C6">
        <w:rPr>
          <w:rFonts w:ascii="Arial" w:eastAsia="Arial" w:hAnsi="Arial" w:cs="Arial"/>
          <w:iCs/>
          <w:bdr w:val="none" w:sz="0" w:space="0" w:color="auto" w:frame="1"/>
          <w:lang w:val="en-US"/>
        </w:rPr>
        <w:t>other acts of God, business interruptions caused by mechanical failures, grounding, fire, explosions and collisions, human error, war, terrorism, piracy,</w:t>
      </w:r>
      <w:r w:rsidR="009736CC">
        <w:rPr>
          <w:rFonts w:ascii="Arial" w:eastAsia="Arial" w:hAnsi="Arial" w:cs="Arial"/>
          <w:iCs/>
          <w:bdr w:val="none" w:sz="0" w:space="0" w:color="auto" w:frame="1"/>
          <w:lang w:val="en-US"/>
        </w:rPr>
        <w:t xml:space="preserve"> robbery,</w:t>
      </w:r>
      <w:r w:rsidRPr="000D35C6">
        <w:rPr>
          <w:rFonts w:ascii="Arial" w:eastAsia="Arial" w:hAnsi="Arial" w:cs="Arial"/>
          <w:iCs/>
          <w:bdr w:val="none" w:sz="0" w:space="0" w:color="auto" w:frame="1"/>
          <w:lang w:val="en-US"/>
        </w:rPr>
        <w:t xml:space="preserve"> labor strikes, boycotts and other circumstances or events. Changing economic, regulatory and political conditions in some countries, including political and military conflicts, have from time to time resulted in attacks on vessels, mining of waterways, piracy, terrorism, labor strikes and boycotts. Damage to the environment could also result from our operations, particularly through spillage of fuel, lubricants or other chemicals and substances used in operations, or extensive uncontrolled fires. These hazards may result in death or injury to persons, loss of revenues or property, the payment of ransoms, environmental damage, higher insurance rates, damage to our customer relationships and market disruptions, delay or rerouting, any of which may </w:t>
      </w:r>
      <w:r w:rsidR="006C2FD7" w:rsidRPr="006C2FD7">
        <w:rPr>
          <w:rFonts w:ascii="Arial" w:eastAsia="Arial" w:hAnsi="Arial" w:cs="Arial"/>
          <w:iCs/>
          <w:bdr w:val="none" w:sz="0" w:space="0" w:color="auto" w:frame="1"/>
          <w:lang w:val="en-US"/>
        </w:rPr>
        <w:t>reduce our revenue or</w:t>
      </w:r>
      <w:r w:rsidR="006C2FD7">
        <w:rPr>
          <w:rFonts w:ascii="Arial" w:eastAsia="Arial" w:hAnsi="Arial" w:cs="Arial"/>
          <w:iCs/>
          <w:bdr w:val="none" w:sz="0" w:space="0" w:color="auto" w:frame="1"/>
          <w:lang w:val="en-US"/>
        </w:rPr>
        <w:t xml:space="preserve"> </w:t>
      </w:r>
      <w:r w:rsidR="006C2FD7" w:rsidRPr="006C2FD7">
        <w:rPr>
          <w:rFonts w:ascii="Arial" w:eastAsia="Arial" w:hAnsi="Arial" w:cs="Arial"/>
          <w:iCs/>
          <w:bdr w:val="none" w:sz="0" w:space="0" w:color="auto" w:frame="1"/>
          <w:lang w:val="en-US"/>
        </w:rPr>
        <w:t>increase our expenses and also</w:t>
      </w:r>
      <w:r w:rsidR="006C2FD7">
        <w:rPr>
          <w:rFonts w:ascii="Arial" w:eastAsia="Arial" w:hAnsi="Arial" w:cs="Arial"/>
          <w:iCs/>
          <w:bdr w:val="none" w:sz="0" w:space="0" w:color="auto" w:frame="1"/>
          <w:lang w:val="en-US"/>
        </w:rPr>
        <w:t xml:space="preserve"> </w:t>
      </w:r>
      <w:r w:rsidRPr="000D35C6">
        <w:rPr>
          <w:rFonts w:ascii="Arial" w:eastAsia="Arial" w:hAnsi="Arial" w:cs="Arial"/>
          <w:iCs/>
          <w:bdr w:val="none" w:sz="0" w:space="0" w:color="auto" w:frame="1"/>
          <w:lang w:val="en-US"/>
        </w:rPr>
        <w:t>subject us to litigation. As a result, we could be exposed to substantial liabilities not recoverable under our insurances. Further, the involvement of our vessels in a serious accident</w:t>
      </w:r>
      <w:r w:rsidR="006C2FD7">
        <w:rPr>
          <w:rFonts w:ascii="Arial" w:eastAsia="Arial" w:hAnsi="Arial" w:cs="Arial"/>
          <w:iCs/>
          <w:bdr w:val="none" w:sz="0" w:space="0" w:color="auto" w:frame="1"/>
          <w:lang w:val="en-US"/>
        </w:rPr>
        <w:t xml:space="preserve"> </w:t>
      </w:r>
      <w:r w:rsidR="006C2FD7" w:rsidRPr="006C2FD7">
        <w:rPr>
          <w:rFonts w:ascii="Arial" w:eastAsia="Arial" w:hAnsi="Arial" w:cs="Arial"/>
          <w:iCs/>
          <w:bdr w:val="none" w:sz="0" w:space="0" w:color="auto" w:frame="1"/>
          <w:lang w:val="en-US"/>
        </w:rPr>
        <w:t>or the loss of any of our vessels</w:t>
      </w:r>
      <w:r w:rsidRPr="000D35C6">
        <w:rPr>
          <w:rFonts w:ascii="Arial" w:eastAsia="Arial" w:hAnsi="Arial" w:cs="Arial"/>
          <w:iCs/>
          <w:bdr w:val="none" w:sz="0" w:space="0" w:color="auto" w:frame="1"/>
          <w:lang w:val="en-US"/>
        </w:rPr>
        <w:t xml:space="preserve"> could harm our reputation as a safe and reliable vessel operator and lead to a loss of business. Epidemics and other public health incidents may also lead to crew member illness, which can disrupt the operations of our vessels, or to public health measures, which may prevent our vessels from calling on ports or discharging cargo in the affected areas or in other locations after having visited the affected areas. </w:t>
      </w:r>
    </w:p>
    <w:p w14:paraId="71F3DEF8"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F9" w14:textId="77777777" w:rsidR="002A6B33" w:rsidRDefault="003A4815" w:rsidP="006C2FD7">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If our vessels suffer damage, they may need to be repaired at a drydocking facility. The costs of drydock repairs are unpredictable and may be substantial. We may have to pay drydocking costs that our insurance does not cover at all or in full. The loss of revenues while these vessels are being repaired and repositioned, as well as the actual cost of these repairs</w:t>
      </w:r>
      <w:r w:rsidR="006C2FD7">
        <w:rPr>
          <w:rFonts w:ascii="Arial" w:eastAsia="Arial" w:hAnsi="Arial" w:cs="Arial"/>
          <w:iCs/>
          <w:bdr w:val="none" w:sz="0" w:space="0" w:color="auto" w:frame="1"/>
          <w:lang w:val="en-US"/>
        </w:rPr>
        <w:t xml:space="preserve"> </w:t>
      </w:r>
      <w:r w:rsidR="006C2FD7" w:rsidRPr="006C2FD7">
        <w:rPr>
          <w:rFonts w:ascii="Arial" w:eastAsia="Arial" w:hAnsi="Arial" w:cs="Arial"/>
          <w:iCs/>
          <w:bdr w:val="none" w:sz="0" w:space="0" w:color="auto" w:frame="1"/>
          <w:lang w:val="en-US"/>
        </w:rPr>
        <w:t>not covered by our insurance, would decrease</w:t>
      </w:r>
      <w:r w:rsidR="006C2FD7">
        <w:rPr>
          <w:rFonts w:ascii="Arial" w:eastAsia="Arial" w:hAnsi="Arial" w:cs="Arial"/>
          <w:iCs/>
          <w:bdr w:val="none" w:sz="0" w:space="0" w:color="auto" w:frame="1"/>
          <w:lang w:val="en-US"/>
        </w:rPr>
        <w:t xml:space="preserve"> </w:t>
      </w:r>
      <w:r w:rsidR="006C2FD7" w:rsidRPr="006C2FD7">
        <w:rPr>
          <w:rFonts w:ascii="Arial" w:eastAsia="Arial" w:hAnsi="Arial" w:cs="Arial"/>
          <w:iCs/>
          <w:bdr w:val="none" w:sz="0" w:space="0" w:color="auto" w:frame="1"/>
          <w:lang w:val="en-US"/>
        </w:rPr>
        <w:t>our earnings and available cash and</w:t>
      </w:r>
      <w:r w:rsidRPr="000D35C6">
        <w:rPr>
          <w:rFonts w:ascii="Arial" w:eastAsia="Arial" w:hAnsi="Arial" w:cs="Arial"/>
          <w:iCs/>
          <w:bdr w:val="none" w:sz="0" w:space="0" w:color="auto" w:frame="1"/>
          <w:lang w:val="en-US"/>
        </w:rPr>
        <w:t xml:space="preserve"> may adversely affect our business and financial condition. In addition, space at drydocking facilities is sometimes limited and not all drydocking facilities are conveniently located. We may be unable to find space at a suitable drydocking facility or our vessels may be forced to travel to a drydocking facility that is not conveniently located relative to our vessels' positions. The loss of earnings while these vessels are forced to wait for space or to travel to more distant drydocking facilities may adversely affect our business and financial condition.</w:t>
      </w:r>
    </w:p>
    <w:p w14:paraId="71F3DEFA"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FB" w14:textId="77777777" w:rsidR="002A6B33" w:rsidRDefault="003A4815" w:rsidP="00A0643F">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 xml:space="preserve">The operation of dry bulk vessels has certain unique operational risks. With a dry bulk vessel, the cargo itself and its interaction with the ship can be a risk factor. By their nature, dry bulk cargoes are often heavy, dense and easily shifted, and react badly to water exposure. In addition, dry bulk vessels are often subjected to battering treatment during unloading operations with grabs, jackhammers (to pry encrusted cargoes out of the hold), and small bulldozers. This treatment may cause damage to the dry bulk vessel. Dry bulk vessels damaged due to treatment during unloading procedures may be more susceptible to a breach at sea. Hull breaches in dry bulk vessels may lead to the flooding of their holds. If flooding occurs in the forward holds, the bulk cargo may become so waterlogged that the vessel's bulkheads may buckle under the resulting pressure leading to the loss of the dry bulk vessel. These risks may also impact the risk of loss of life or harm to our </w:t>
      </w:r>
      <w:r w:rsidR="00442C8A" w:rsidRPr="000D35C6">
        <w:rPr>
          <w:rFonts w:ascii="Arial" w:eastAsia="Arial" w:hAnsi="Arial" w:cs="Arial"/>
          <w:iCs/>
          <w:bdr w:val="none" w:sz="0" w:space="0" w:color="auto" w:frame="1"/>
          <w:lang w:val="en-US"/>
        </w:rPr>
        <w:t>crew,</w:t>
      </w:r>
      <w:r w:rsidR="00442C8A">
        <w:rPr>
          <w:rFonts w:ascii="Arial" w:eastAsia="Arial" w:hAnsi="Arial" w:cs="Arial"/>
          <w:iCs/>
          <w:bdr w:val="none" w:sz="0" w:space="0" w:color="auto" w:frame="1"/>
          <w:lang w:val="en-US"/>
        </w:rPr>
        <w:t xml:space="preserve"> </w:t>
      </w:r>
      <w:r w:rsidR="00442C8A" w:rsidRPr="00442C8A">
        <w:rPr>
          <w:rFonts w:ascii="Arial" w:eastAsia="Arial" w:hAnsi="Arial" w:cs="Arial"/>
          <w:iCs/>
          <w:bdr w:val="none" w:sz="0" w:space="0" w:color="auto" w:frame="1"/>
          <w:lang w:val="en-US"/>
        </w:rPr>
        <w:t>which could harm our reputation as a safe and reliable vessel owner and operator.</w:t>
      </w:r>
    </w:p>
    <w:p w14:paraId="71F3DEFC"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FD" w14:textId="77777777" w:rsidR="002A6B33" w:rsidRDefault="003A4815" w:rsidP="00A0643F">
      <w:pPr>
        <w:pBdr>
          <w:top w:val="nil"/>
          <w:left w:val="nil"/>
          <w:bottom w:val="nil"/>
          <w:right w:val="nil"/>
          <w:between w:val="nil"/>
          <w:bar w:val="nil"/>
        </w:pBdr>
        <w:jc w:val="both"/>
        <w:rPr>
          <w:rFonts w:eastAsia="Arial" w:cs="Arial"/>
          <w:iCs/>
          <w:bdr w:val="nil"/>
          <w:lang w:val="en-US"/>
        </w:rPr>
      </w:pPr>
      <w:r w:rsidRPr="000D35C6">
        <w:rPr>
          <w:rFonts w:ascii="Arial" w:eastAsia="Arial" w:hAnsi="Arial" w:cs="Arial"/>
          <w:iCs/>
          <w:bdr w:val="none" w:sz="0" w:space="0" w:color="auto" w:frame="1"/>
          <w:lang w:val="en-US"/>
        </w:rPr>
        <w:t>If we are unable to adequately maintain or safeguard our vessels, we may be unable to prevent these events. Any of these circumstances or events could negatively impact our business, financial condition or results of operations.</w:t>
      </w:r>
    </w:p>
    <w:p w14:paraId="71F3DEFE" w14:textId="77777777" w:rsidR="000D1E2E" w:rsidRPr="000D35C6" w:rsidRDefault="000D1E2E" w:rsidP="00A0643F">
      <w:pPr>
        <w:pBdr>
          <w:top w:val="nil"/>
          <w:left w:val="nil"/>
          <w:bottom w:val="nil"/>
          <w:right w:val="nil"/>
          <w:between w:val="nil"/>
          <w:bar w:val="nil"/>
        </w:pBdr>
        <w:jc w:val="both"/>
        <w:rPr>
          <w:rFonts w:eastAsia="Arial" w:cs="Arial"/>
          <w:iCs/>
          <w:bdr w:val="nil"/>
          <w:lang w:val="en-US"/>
        </w:rPr>
      </w:pPr>
    </w:p>
    <w:p w14:paraId="71F3DEFF" w14:textId="77777777" w:rsidR="002A6B33"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 xml:space="preserve">If our vessels call on ports located in countries or territories that are the subject of sanctions or embargoes imposed by the U.S. government, the </w:t>
      </w:r>
      <w:r w:rsidR="006C2FD7" w:rsidRPr="006C2FD7">
        <w:rPr>
          <w:rFonts w:eastAsia="Arial" w:cs="Arial"/>
          <w:bdr w:val="none" w:sz="0" w:space="0" w:color="auto" w:frame="1"/>
          <w:lang w:val="en-US"/>
        </w:rPr>
        <w:t>United Kingdom, the European Union, the</w:t>
      </w:r>
      <w:r w:rsidR="006C2FD7">
        <w:rPr>
          <w:rFonts w:eastAsia="Arial" w:cs="Arial"/>
          <w:bdr w:val="none" w:sz="0" w:space="0" w:color="auto" w:frame="1"/>
          <w:lang w:val="en-US"/>
        </w:rPr>
        <w:t xml:space="preserve"> </w:t>
      </w:r>
      <w:r w:rsidR="006C2FD7" w:rsidRPr="006C2FD7">
        <w:rPr>
          <w:rFonts w:eastAsia="Arial" w:cs="Arial"/>
          <w:bdr w:val="none" w:sz="0" w:space="0" w:color="auto" w:frame="1"/>
          <w:lang w:val="en-US"/>
        </w:rPr>
        <w:t>United Nations, or other governmental authorities, or engage in other such transactions or</w:t>
      </w:r>
      <w:r w:rsidR="006C2FD7">
        <w:rPr>
          <w:rFonts w:eastAsia="Arial" w:cs="Arial"/>
          <w:bdr w:val="none" w:sz="0" w:space="0" w:color="auto" w:frame="1"/>
          <w:lang w:val="en-US"/>
        </w:rPr>
        <w:t xml:space="preserve"> </w:t>
      </w:r>
      <w:r w:rsidR="006C2FD7" w:rsidRPr="006C2FD7">
        <w:rPr>
          <w:rFonts w:eastAsia="Arial" w:cs="Arial"/>
          <w:bdr w:val="none" w:sz="0" w:space="0" w:color="auto" w:frame="1"/>
          <w:lang w:val="en-US"/>
        </w:rPr>
        <w:t>dealings that would be violative of applicable sanctions laws,</w:t>
      </w:r>
      <w:r w:rsidRPr="000D35C6">
        <w:rPr>
          <w:rFonts w:eastAsia="Arial" w:cs="Arial"/>
          <w:bdr w:val="none" w:sz="0" w:space="0" w:color="auto" w:frame="1"/>
          <w:lang w:val="en-US"/>
        </w:rPr>
        <w:t xml:space="preserve"> it could lead to monetary fines or</w:t>
      </w:r>
      <w:r w:rsidR="006C2FD7">
        <w:rPr>
          <w:rFonts w:eastAsia="Arial" w:cs="Arial"/>
          <w:bdr w:val="none" w:sz="0" w:space="0" w:color="auto" w:frame="1"/>
          <w:lang w:val="en-US"/>
        </w:rPr>
        <w:t xml:space="preserve"> </w:t>
      </w:r>
      <w:r w:rsidRPr="000D35C6">
        <w:rPr>
          <w:rFonts w:eastAsia="Arial" w:cs="Arial"/>
          <w:bdr w:val="none" w:sz="0" w:space="0" w:color="auto" w:frame="1"/>
          <w:lang w:val="en-US"/>
        </w:rPr>
        <w:t>penalties and may adversely affect our reputation and the market for our securities.</w:t>
      </w:r>
    </w:p>
    <w:p w14:paraId="71F3DF00" w14:textId="77777777" w:rsidR="000D1E2E" w:rsidRPr="000D35C6" w:rsidRDefault="000D1E2E" w:rsidP="00D67F50">
      <w:pPr>
        <w:keepNext/>
        <w:keepLines/>
        <w:pBdr>
          <w:top w:val="nil"/>
          <w:left w:val="nil"/>
          <w:bottom w:val="nil"/>
          <w:right w:val="nil"/>
          <w:between w:val="nil"/>
          <w:bar w:val="nil"/>
        </w:pBdr>
        <w:jc w:val="both"/>
        <w:rPr>
          <w:rFonts w:eastAsia="Arial" w:cs="Arial"/>
          <w:b/>
          <w:bCs/>
          <w:i/>
          <w:iCs/>
          <w:color w:val="000000"/>
          <w:bdr w:val="nil"/>
          <w:lang w:val="en-US"/>
        </w:rPr>
      </w:pPr>
    </w:p>
    <w:p w14:paraId="71F3DF01" w14:textId="77777777" w:rsidR="002A6B33" w:rsidRDefault="003A4815" w:rsidP="00A0643F">
      <w:pPr>
        <w:pBdr>
          <w:top w:val="nil"/>
          <w:left w:val="nil"/>
          <w:bottom w:val="nil"/>
          <w:right w:val="nil"/>
          <w:between w:val="nil"/>
          <w:bar w:val="nil"/>
        </w:pBdr>
        <w:jc w:val="both"/>
        <w:rPr>
          <w:rFonts w:eastAsia="Arial" w:cs="Arial"/>
          <w:color w:val="000000"/>
          <w:bdr w:val="nil"/>
          <w:lang w:val="en-US"/>
        </w:rPr>
      </w:pPr>
      <w:r w:rsidRPr="000D35C6">
        <w:rPr>
          <w:rFonts w:ascii="Arial" w:eastAsia="Arial" w:hAnsi="Arial" w:cs="Arial"/>
          <w:color w:val="000000"/>
          <w:bdr w:val="none" w:sz="0" w:space="0" w:color="auto" w:frame="1"/>
          <w:lang w:val="en-US"/>
        </w:rPr>
        <w:t>Our contracts with our charterers prohibit them from causing our vessels to call on ports located in sanctioned countries or territories or carrying cargo for entities</w:t>
      </w:r>
      <w:r w:rsidR="006C2FD7">
        <w:rPr>
          <w:rFonts w:ascii="Arial" w:eastAsia="Arial" w:hAnsi="Arial" w:cs="Arial"/>
          <w:color w:val="000000"/>
          <w:bdr w:val="none" w:sz="0" w:space="0" w:color="auto" w:frame="1"/>
          <w:lang w:val="en-US"/>
        </w:rPr>
        <w:t xml:space="preserve"> </w:t>
      </w:r>
      <w:r w:rsidR="006C2FD7" w:rsidRPr="006C2FD7">
        <w:rPr>
          <w:rFonts w:ascii="Arial" w:eastAsia="Arial" w:hAnsi="Arial" w:cs="Arial"/>
          <w:color w:val="000000"/>
          <w:bdr w:val="none" w:sz="0" w:space="0" w:color="auto" w:frame="1"/>
          <w:lang w:val="en-US"/>
        </w:rPr>
        <w:t>or from countries and territories</w:t>
      </w:r>
      <w:r w:rsidRPr="000D35C6">
        <w:rPr>
          <w:rFonts w:ascii="Arial" w:eastAsia="Arial" w:hAnsi="Arial" w:cs="Arial"/>
          <w:color w:val="000000"/>
          <w:bdr w:val="none" w:sz="0" w:space="0" w:color="auto" w:frame="1"/>
          <w:lang w:val="en-US"/>
        </w:rPr>
        <w:t xml:space="preserve"> that are the subject of sanctions. Although our charterers may, in certain </w:t>
      </w:r>
      <w:r>
        <w:rPr>
          <w:rFonts w:ascii="Arial" w:eastAsia="Arial" w:hAnsi="Arial" w:cs="Arial"/>
          <w:color w:val="000000"/>
          <w:bdr w:val="none" w:sz="0" w:space="0" w:color="auto" w:frame="1"/>
          <w:lang w:val="en-US"/>
        </w:rPr>
        <w:t>cases</w:t>
      </w:r>
      <w:r w:rsidRPr="000D35C6">
        <w:rPr>
          <w:rFonts w:ascii="Arial" w:eastAsia="Arial" w:hAnsi="Arial" w:cs="Arial"/>
          <w:color w:val="000000"/>
          <w:bdr w:val="none" w:sz="0" w:space="0" w:color="auto" w:frame="1"/>
          <w:lang w:val="en-US"/>
        </w:rPr>
        <w:t>, control the operation of our vessels, we have monitoring processes in place to ensure our compliance with applicable economic sanctions and embargo laws. Nevertheless, it remains possible that our charterers may cause our vessels to trade in violation of sanctions provisions without our consent. If such activities result in a violation of applicable sanctions or embargo laws, we could be subject to monetary fines, penalties, or other sanctions, and our reputation and the market for our common shares could be adversely affected.</w:t>
      </w:r>
    </w:p>
    <w:p w14:paraId="71F3DF02" w14:textId="77777777" w:rsidR="000D1E2E" w:rsidRPr="000D35C6" w:rsidRDefault="000D1E2E" w:rsidP="00A0643F">
      <w:pPr>
        <w:pBdr>
          <w:top w:val="nil"/>
          <w:left w:val="nil"/>
          <w:bottom w:val="nil"/>
          <w:right w:val="nil"/>
          <w:between w:val="nil"/>
          <w:bar w:val="nil"/>
        </w:pBdr>
        <w:jc w:val="both"/>
        <w:rPr>
          <w:rFonts w:eastAsia="Arial" w:cs="Arial"/>
          <w:color w:val="000000"/>
          <w:bdr w:val="nil"/>
          <w:lang w:val="en-US"/>
        </w:rPr>
      </w:pPr>
    </w:p>
    <w:p w14:paraId="71F3DF03" w14:textId="77777777" w:rsidR="002A6B33" w:rsidRDefault="003A4815" w:rsidP="00A0643F">
      <w:pPr>
        <w:pBdr>
          <w:top w:val="nil"/>
          <w:left w:val="nil"/>
          <w:bottom w:val="nil"/>
          <w:right w:val="nil"/>
          <w:between w:val="nil"/>
          <w:bar w:val="nil"/>
        </w:pBdr>
        <w:jc w:val="both"/>
        <w:rPr>
          <w:rFonts w:eastAsia="Arial" w:cs="Arial"/>
          <w:color w:val="000000"/>
          <w:bdr w:val="nil"/>
          <w:lang w:val="en-US"/>
        </w:rPr>
      </w:pPr>
      <w:r w:rsidRPr="000D35C6">
        <w:rPr>
          <w:rFonts w:ascii="Arial" w:eastAsia="Arial" w:hAnsi="Arial" w:cs="Arial"/>
          <w:color w:val="000000"/>
          <w:bdr w:val="none" w:sz="0" w:space="0" w:color="auto" w:frame="1"/>
          <w:lang w:val="en-US"/>
        </w:rPr>
        <w:t>The applicable sanctions and embargo laws and regulations vary in their application</w:t>
      </w:r>
      <w:r w:rsidR="006C2FD7" w:rsidRPr="006C2FD7">
        <w:rPr>
          <w:rFonts w:ascii="Arial" w:eastAsia="Arial" w:hAnsi="Arial" w:cs="Arial"/>
          <w:color w:val="000000"/>
          <w:bdr w:val="none" w:sz="0" w:space="0" w:color="auto" w:frame="1"/>
          <w:lang w:val="en-US"/>
        </w:rPr>
        <w:t>, and by jurisdiction, and</w:t>
      </w:r>
      <w:r w:rsidR="006C2FD7">
        <w:rPr>
          <w:rFonts w:ascii="Arial" w:eastAsia="Arial" w:hAnsi="Arial" w:cs="Arial"/>
          <w:color w:val="000000"/>
          <w:bdr w:val="none" w:sz="0" w:space="0" w:color="auto" w:frame="1"/>
          <w:lang w:val="en-US"/>
        </w:rPr>
        <w:t xml:space="preserve"> </w:t>
      </w:r>
      <w:r w:rsidRPr="000D35C6">
        <w:rPr>
          <w:rFonts w:ascii="Arial" w:eastAsia="Arial" w:hAnsi="Arial" w:cs="Arial"/>
          <w:color w:val="000000"/>
          <w:bdr w:val="none" w:sz="0" w:space="0" w:color="auto" w:frame="1"/>
          <w:lang w:val="en-US"/>
        </w:rPr>
        <w:t>do not all apply to the same covered persons or proscribe the same activities. In addition, the sanctions and embargo laws and regulations of each jurisdiction may be amended to increase or reduce the restrictions they impose over time, and the lists of persons and entities designated under these laws and regulations are amended frequently. Moreover, most sanctions regimes provide that entities owned or controlled by the persons or entities designated in such lists are also subject to sanctions. The U.S.</w:t>
      </w:r>
      <w:r w:rsidR="006C2FD7">
        <w:rPr>
          <w:rFonts w:ascii="Arial" w:eastAsia="Arial" w:hAnsi="Arial" w:cs="Arial"/>
          <w:color w:val="000000"/>
          <w:bdr w:val="none" w:sz="0" w:space="0" w:color="auto" w:frame="1"/>
          <w:lang w:val="en-US"/>
        </w:rPr>
        <w:t>, U.K.</w:t>
      </w:r>
      <w:r w:rsidRPr="000D35C6">
        <w:rPr>
          <w:rFonts w:ascii="Arial" w:eastAsia="Arial" w:hAnsi="Arial" w:cs="Arial"/>
          <w:color w:val="000000"/>
          <w:bdr w:val="none" w:sz="0" w:space="0" w:color="auto" w:frame="1"/>
          <w:lang w:val="en-US"/>
        </w:rPr>
        <w:t xml:space="preserve"> and EU have enacted new sanctions programs in recent years. Additional countries or territories, as well as additional persons or entities within or affiliated with those countries or territories, have, and in the future will, become the target of sanctions. These require us to be diligent in ensuring our compliance with sanctions laws. Further, the U.S. has increased its focus on sanctions enforcement with respect to the shipping sector. Current or future counterparties of ours may be affiliated with persons or entities that are or may be in the future the subject of sanctions</w:t>
      </w:r>
      <w:r w:rsidR="00442C8A">
        <w:rPr>
          <w:rFonts w:ascii="Arial" w:eastAsia="Arial" w:hAnsi="Arial" w:cs="Arial"/>
          <w:color w:val="000000"/>
          <w:bdr w:val="none" w:sz="0" w:space="0" w:color="auto" w:frame="1"/>
          <w:lang w:val="en-US"/>
        </w:rPr>
        <w:t>,</w:t>
      </w:r>
      <w:r w:rsidRPr="000D35C6">
        <w:rPr>
          <w:rFonts w:ascii="Arial" w:eastAsia="Arial" w:hAnsi="Arial" w:cs="Arial"/>
          <w:color w:val="000000"/>
          <w:bdr w:val="none" w:sz="0" w:space="0" w:color="auto" w:frame="1"/>
          <w:lang w:val="en-US"/>
        </w:rPr>
        <w:t xml:space="preserve"> embargoes</w:t>
      </w:r>
      <w:r w:rsidR="00442C8A">
        <w:rPr>
          <w:rFonts w:ascii="Arial" w:eastAsia="Arial" w:hAnsi="Arial" w:cs="Arial"/>
          <w:color w:val="000000"/>
          <w:bdr w:val="none" w:sz="0" w:space="0" w:color="auto" w:frame="1"/>
          <w:lang w:val="en-US"/>
        </w:rPr>
        <w:t xml:space="preserve"> or blockades</w:t>
      </w:r>
      <w:r w:rsidRPr="000D35C6">
        <w:rPr>
          <w:rFonts w:ascii="Arial" w:eastAsia="Arial" w:hAnsi="Arial" w:cs="Arial"/>
          <w:color w:val="000000"/>
          <w:bdr w:val="none" w:sz="0" w:space="0" w:color="auto" w:frame="1"/>
          <w:lang w:val="en-US"/>
        </w:rPr>
        <w:t xml:space="preserve"> imposed by the United States,</w:t>
      </w:r>
      <w:r>
        <w:rPr>
          <w:rFonts w:ascii="Arial" w:eastAsia="Arial" w:hAnsi="Arial" w:cs="Arial"/>
          <w:color w:val="000000"/>
          <w:bdr w:val="none" w:sz="0" w:space="0" w:color="auto" w:frame="1"/>
          <w:lang w:val="en-US"/>
        </w:rPr>
        <w:t xml:space="preserve"> U.K.,</w:t>
      </w:r>
      <w:r w:rsidRPr="000D35C6">
        <w:rPr>
          <w:rFonts w:ascii="Arial" w:eastAsia="Arial" w:hAnsi="Arial" w:cs="Arial"/>
          <w:color w:val="000000"/>
          <w:bdr w:val="none" w:sz="0" w:space="0" w:color="auto" w:frame="1"/>
          <w:lang w:val="en-US"/>
        </w:rPr>
        <w:t xml:space="preserve"> EU, and/or other international bodies. If we determine that such sanctions require us to terminate existing or future contracts to which we, or our subsidiaries, are party or if we are found to be in violation of such applicable sanctions, our results of operations may be adversely affected, or we may suffer reputational harm.</w:t>
      </w:r>
    </w:p>
    <w:p w14:paraId="71F3DF04" w14:textId="77777777" w:rsidR="000D1E2E" w:rsidRPr="000D35C6" w:rsidRDefault="000D1E2E" w:rsidP="00A0643F">
      <w:pPr>
        <w:pBdr>
          <w:top w:val="nil"/>
          <w:left w:val="nil"/>
          <w:bottom w:val="nil"/>
          <w:right w:val="nil"/>
          <w:between w:val="nil"/>
          <w:bar w:val="nil"/>
        </w:pBdr>
        <w:jc w:val="both"/>
        <w:rPr>
          <w:rFonts w:eastAsia="Arial" w:cs="Arial"/>
          <w:color w:val="000000"/>
          <w:bdr w:val="nil"/>
          <w:lang w:val="en-US"/>
        </w:rPr>
      </w:pPr>
    </w:p>
    <w:p w14:paraId="71F3DF05" w14:textId="77777777" w:rsidR="002A6B33" w:rsidRDefault="003A4815" w:rsidP="00A0643F">
      <w:pPr>
        <w:pBdr>
          <w:top w:val="nil"/>
          <w:left w:val="nil"/>
          <w:bottom w:val="nil"/>
          <w:right w:val="nil"/>
          <w:between w:val="nil"/>
          <w:bar w:val="nil"/>
        </w:pBdr>
        <w:jc w:val="both"/>
        <w:rPr>
          <w:rFonts w:eastAsia="Arial" w:cs="Arial"/>
          <w:color w:val="000000"/>
          <w:bdr w:val="nil"/>
          <w:lang w:val="en-US"/>
        </w:rPr>
      </w:pPr>
      <w:bookmarkStart w:id="80" w:name="_Hlk130496767"/>
      <w:r w:rsidRPr="000D35C6">
        <w:rPr>
          <w:rFonts w:ascii="Arial" w:eastAsia="Arial" w:hAnsi="Arial" w:cs="Arial"/>
          <w:color w:val="000000"/>
          <w:bdr w:val="none" w:sz="0" w:space="0" w:color="auto" w:frame="1"/>
          <w:lang w:val="en-US"/>
        </w:rPr>
        <w:t xml:space="preserve">As a result of Russia’s actions in Ukraine, the U.S., EU and United Kingdom, together with numerous other countries, have imposed significant sanctions on persons and entities associated with Russia and Belarus, as well as comprehensive sanctions on certain areas within the Donbas region of Ukraine, and such sanctions apply to entities owned or controlled by such designated persons or entities. These sanctions adversely affect our ability to operate in the region and also restrict parties whose cargo we may carry. </w:t>
      </w:r>
    </w:p>
    <w:bookmarkEnd w:id="80"/>
    <w:p w14:paraId="71F3DF06" w14:textId="77777777" w:rsidR="000D1E2E" w:rsidRPr="000D35C6" w:rsidRDefault="000D1E2E" w:rsidP="00A0643F">
      <w:pPr>
        <w:pBdr>
          <w:top w:val="nil"/>
          <w:left w:val="nil"/>
          <w:bottom w:val="nil"/>
          <w:right w:val="nil"/>
          <w:between w:val="nil"/>
          <w:bar w:val="nil"/>
        </w:pBdr>
        <w:jc w:val="both"/>
        <w:rPr>
          <w:rFonts w:eastAsia="Arial" w:cs="Arial"/>
          <w:color w:val="000000"/>
          <w:bdr w:val="nil"/>
          <w:lang w:val="en-US"/>
        </w:rPr>
      </w:pPr>
    </w:p>
    <w:p w14:paraId="71F3DF07" w14:textId="77777777" w:rsidR="0030537F" w:rsidRDefault="003A4815" w:rsidP="00A0643F">
      <w:pPr>
        <w:pBdr>
          <w:top w:val="nil"/>
          <w:left w:val="nil"/>
          <w:bottom w:val="nil"/>
          <w:right w:val="nil"/>
          <w:between w:val="nil"/>
          <w:bar w:val="nil"/>
        </w:pBdr>
        <w:jc w:val="both"/>
        <w:rPr>
          <w:rFonts w:eastAsia="Arial" w:cs="Arial"/>
          <w:color w:val="000000"/>
          <w:bdr w:val="nil"/>
          <w:lang w:val="en-US"/>
        </w:rPr>
      </w:pPr>
      <w:bookmarkStart w:id="81" w:name="_Hlk130496803"/>
      <w:r w:rsidRPr="000D35C6">
        <w:rPr>
          <w:rFonts w:ascii="Arial" w:eastAsia="Arial" w:hAnsi="Arial" w:cs="Arial"/>
          <w:color w:val="000000"/>
          <w:bdr w:val="none" w:sz="0" w:space="0" w:color="auto" w:frame="1"/>
          <w:lang w:val="en-US"/>
        </w:rPr>
        <w:t>Although we believe that we have been in compliance with all applicable sanctions and embargo laws and regulations in 202</w:t>
      </w:r>
      <w:r w:rsidR="00442C8A">
        <w:rPr>
          <w:rFonts w:ascii="Arial" w:eastAsia="Arial" w:hAnsi="Arial" w:cs="Arial"/>
          <w:color w:val="000000"/>
          <w:bdr w:val="none" w:sz="0" w:space="0" w:color="auto" w:frame="1"/>
          <w:lang w:val="en-US"/>
        </w:rPr>
        <w:t>5</w:t>
      </w:r>
      <w:r w:rsidRPr="000D35C6">
        <w:rPr>
          <w:rFonts w:ascii="Arial" w:eastAsia="Arial" w:hAnsi="Arial" w:cs="Arial"/>
          <w:color w:val="000000"/>
          <w:bdr w:val="none" w:sz="0" w:space="0" w:color="auto" w:frame="1"/>
          <w:lang w:val="en-US"/>
        </w:rPr>
        <w:t xml:space="preserve"> and up to the date of this annual report, and intend to maintain such compliance, there can be no assurance that we or our charterers will be in compliance in the future, particularly as the scope of certain laws may be unclear and may be subject to changing interpretations. Any such violation could result in fines, penalties or other sanctions that could severely impact our ability to access U.S. capital markets and conduct our business and could result in our reputation and the markets for our securities to be adversely affected and/or in some investors deciding, or being required, to divest their interest, or not to invest, in us.</w:t>
      </w:r>
      <w:bookmarkEnd w:id="81"/>
      <w:r w:rsidRPr="000D35C6">
        <w:rPr>
          <w:rFonts w:ascii="Arial" w:eastAsia="Arial" w:hAnsi="Arial" w:cs="Arial"/>
          <w:color w:val="000000"/>
          <w:bdr w:val="none" w:sz="0" w:space="0" w:color="auto" w:frame="1"/>
          <w:lang w:val="en-US"/>
        </w:rPr>
        <w:t xml:space="preserve"> In addition, certain institutional investors may have investment policies or restrictions that prevent them from holding securities of companies that have contracts with countries or territories identified by the U.S. government as state sponsors of terrorism. The determination by these investors not to invest in, or to divest from, our shares may adversely affect the price at which our shares trade. Moreover, our charterers may violate applicable sanctions and embargo laws and regulations as a result of actions that do not involve us or our vessels, and those violations could in turn negatively affect our reputation. </w:t>
      </w:r>
      <w:r w:rsidRPr="00530364">
        <w:rPr>
          <w:rFonts w:ascii="Arial" w:eastAsia="Arial" w:hAnsi="Arial" w:cs="Arial"/>
          <w:color w:val="000000"/>
          <w:bdr w:val="none" w:sz="0" w:space="0" w:color="auto" w:frame="1"/>
          <w:lang w:val="en-US"/>
        </w:rPr>
        <w:t>Further, our reputation and the market for our securities may be adversely affected if, for example, we enter into charters with individuals or entities who, pursuant to contracts with third parties, provide services to or engage in operations associated with countries or territories that are the subject of certain U.S. sanctions or embargo laws.</w:t>
      </w:r>
      <w:r w:rsidRPr="000D35C6">
        <w:rPr>
          <w:rFonts w:ascii="Arial" w:eastAsia="Arial" w:hAnsi="Arial" w:cs="Arial"/>
          <w:color w:val="000000"/>
          <w:bdr w:val="none" w:sz="0" w:space="0" w:color="auto" w:frame="1"/>
          <w:lang w:val="en-US"/>
        </w:rPr>
        <w:t xml:space="preserve"> Investor perception of the value of our common stock may</w:t>
      </w:r>
      <w:r>
        <w:rPr>
          <w:rFonts w:ascii="Arial" w:eastAsia="Arial" w:hAnsi="Arial" w:cs="Arial"/>
          <w:color w:val="000000"/>
          <w:bdr w:val="none" w:sz="0" w:space="0" w:color="auto" w:frame="1"/>
          <w:lang w:val="en-US"/>
        </w:rPr>
        <w:t xml:space="preserve"> also</w:t>
      </w:r>
      <w:r w:rsidRPr="000D35C6">
        <w:rPr>
          <w:rFonts w:ascii="Arial" w:eastAsia="Arial" w:hAnsi="Arial" w:cs="Arial"/>
          <w:color w:val="000000"/>
          <w:bdr w:val="none" w:sz="0" w:space="0" w:color="auto" w:frame="1"/>
          <w:lang w:val="en-US"/>
        </w:rPr>
        <w:t xml:space="preserve"> be adversely affected by the consequences of war, the effects of terrorism, civil unrest and governmental actions in countries or territories that we operate in.</w:t>
      </w:r>
    </w:p>
    <w:p w14:paraId="71F3DF08" w14:textId="77777777" w:rsidR="000D1E2E" w:rsidRPr="000D35C6" w:rsidRDefault="000D1E2E" w:rsidP="00A0643F">
      <w:pPr>
        <w:pBdr>
          <w:top w:val="nil"/>
          <w:left w:val="nil"/>
          <w:bottom w:val="nil"/>
          <w:right w:val="nil"/>
          <w:between w:val="nil"/>
          <w:bar w:val="nil"/>
        </w:pBdr>
        <w:jc w:val="both"/>
        <w:rPr>
          <w:rFonts w:eastAsia="Arial" w:cs="Arial"/>
          <w:color w:val="000000"/>
          <w:bdr w:val="nil"/>
          <w:lang w:val="en-US"/>
        </w:rPr>
      </w:pPr>
    </w:p>
    <w:p w14:paraId="71F3DF09"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The smuggling of drugs or other contraband onto our vessels may lead to governmental claims against us.</w:t>
      </w:r>
    </w:p>
    <w:p w14:paraId="71F3DF0A" w14:textId="77777777" w:rsidR="000D1E2E" w:rsidRPr="000D35C6" w:rsidRDefault="000D1E2E" w:rsidP="00A0643F">
      <w:pPr>
        <w:keepNext/>
        <w:keepLines/>
        <w:pBdr>
          <w:top w:val="nil"/>
          <w:left w:val="nil"/>
          <w:bottom w:val="nil"/>
          <w:right w:val="nil"/>
          <w:between w:val="nil"/>
          <w:bar w:val="nil"/>
        </w:pBdr>
        <w:jc w:val="both"/>
        <w:rPr>
          <w:rFonts w:eastAsia="Arial" w:cs="Arial"/>
          <w:bdr w:val="nil"/>
          <w:lang w:val="en-US"/>
        </w:rPr>
      </w:pPr>
    </w:p>
    <w:p w14:paraId="71F3DF0B" w14:textId="77777777" w:rsidR="0030537F" w:rsidRDefault="003A4815" w:rsidP="00B64CC4">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We expect that our vessels will call in ports in areas where smugglers attempt to hide drugs and other contraband on vessels, with or without the knowledge of crew members. To the extent our vessels are found with contraband,</w:t>
      </w:r>
      <w:r>
        <w:rPr>
          <w:rFonts w:ascii="Arial" w:eastAsia="Arial" w:hAnsi="Arial" w:cs="Arial"/>
          <w:bdr w:val="none" w:sz="0" w:space="0" w:color="auto" w:frame="1"/>
          <w:lang w:val="en-US"/>
        </w:rPr>
        <w:t xml:space="preserve"> </w:t>
      </w:r>
      <w:r w:rsidRPr="00B64CC4">
        <w:rPr>
          <w:rFonts w:ascii="Arial" w:eastAsia="Arial" w:hAnsi="Arial" w:cs="Arial"/>
          <w:bdr w:val="none" w:sz="0" w:space="0" w:color="auto" w:frame="1"/>
          <w:lang w:val="en-US"/>
        </w:rPr>
        <w:t>or stowaways</w:t>
      </w:r>
      <w:r>
        <w:rPr>
          <w:rFonts w:ascii="Arial" w:eastAsia="Arial" w:hAnsi="Arial" w:cs="Arial"/>
          <w:bdr w:val="none" w:sz="0" w:space="0" w:color="auto" w:frame="1"/>
          <w:lang w:val="en-US"/>
        </w:rPr>
        <w:t>,</w:t>
      </w:r>
      <w:r w:rsidRPr="000D35C6">
        <w:rPr>
          <w:rFonts w:ascii="Arial" w:eastAsia="Arial" w:hAnsi="Arial" w:cs="Arial"/>
          <w:bdr w:val="none" w:sz="0" w:space="0" w:color="auto" w:frame="1"/>
          <w:lang w:val="en-US"/>
        </w:rPr>
        <w:t xml:space="preserve"> whether inside or attached to the hull of our vessel and whether with or without the knowledge of any of our crew, we may face governmental or other regulatory claims which could have an adverse effect on our business, results of operations, cash flows and financial condition.</w:t>
      </w:r>
      <w:r>
        <w:rPr>
          <w:rFonts w:ascii="Arial" w:eastAsia="Arial" w:hAnsi="Arial" w:cs="Arial"/>
          <w:bdr w:val="none" w:sz="0" w:space="0" w:color="auto" w:frame="1"/>
          <w:lang w:val="en-US"/>
        </w:rPr>
        <w:t xml:space="preserve"> </w:t>
      </w:r>
      <w:r w:rsidRPr="00B64CC4">
        <w:rPr>
          <w:rFonts w:ascii="Arial" w:eastAsia="Arial" w:hAnsi="Arial" w:cs="Arial"/>
          <w:bdr w:val="none" w:sz="0" w:space="0" w:color="auto" w:frame="1"/>
          <w:lang w:val="en-US"/>
        </w:rPr>
        <w:t>Under some jurisdictions, vessels used for the conveyance of illegal drugs could result in</w:t>
      </w:r>
      <w:r>
        <w:rPr>
          <w:rFonts w:ascii="Arial" w:eastAsia="Arial" w:hAnsi="Arial" w:cs="Arial"/>
          <w:bdr w:val="none" w:sz="0" w:space="0" w:color="auto" w:frame="1"/>
          <w:lang w:val="en-US"/>
        </w:rPr>
        <w:t xml:space="preserve"> </w:t>
      </w:r>
      <w:r w:rsidRPr="00B64CC4">
        <w:rPr>
          <w:rFonts w:ascii="Arial" w:eastAsia="Arial" w:hAnsi="Arial" w:cs="Arial"/>
          <w:bdr w:val="none" w:sz="0" w:space="0" w:color="auto" w:frame="1"/>
          <w:lang w:val="en-US"/>
        </w:rPr>
        <w:t>forfeiture of the subject vessel to the government of such jurisdiction.</w:t>
      </w:r>
    </w:p>
    <w:p w14:paraId="71F3DF0C"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F0D"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Maritime claimants could arrest or attach one or more of our vessels, which could interrupt our business or have a negative effect on our cash flows.</w:t>
      </w:r>
    </w:p>
    <w:p w14:paraId="71F3DF0E" w14:textId="77777777" w:rsidR="000D1E2E" w:rsidRPr="000D35C6" w:rsidRDefault="000D1E2E" w:rsidP="000D1E2E">
      <w:pPr>
        <w:keepNext/>
        <w:keepLines/>
        <w:pBdr>
          <w:top w:val="nil"/>
          <w:left w:val="nil"/>
          <w:bottom w:val="nil"/>
          <w:right w:val="nil"/>
          <w:between w:val="nil"/>
          <w:bar w:val="nil"/>
        </w:pBdr>
        <w:jc w:val="both"/>
        <w:rPr>
          <w:rFonts w:eastAsia="Arial" w:cs="Arial"/>
          <w:bdr w:val="nil"/>
          <w:lang w:val="en-US"/>
        </w:rPr>
      </w:pPr>
    </w:p>
    <w:p w14:paraId="71F3DF0F"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Crew members, suppliers of goods and services to a vessel, shippers of cargo, lenders, and other parties may be entitled to a maritime lien against a vessel for unsatisfied debts, claims or damages. In many jurisdictions, a maritime lien holder may enforce its lien by “arresting” or “attaching” a vessel through judicial or foreclosure proceedings. The arrest or attachment of one or more of our vessels could interrupt the cash flow of the charterer and/or require us to pay a significant amount of money to have the arrest or attachment lifted, which would have an adverse effect on our cash flows.</w:t>
      </w:r>
    </w:p>
    <w:p w14:paraId="71F3DF10" w14:textId="77777777" w:rsidR="000D1E2E" w:rsidRPr="000D35C6" w:rsidRDefault="000D1E2E" w:rsidP="00B92DC0">
      <w:pPr>
        <w:pBdr>
          <w:top w:val="nil"/>
          <w:left w:val="nil"/>
          <w:bottom w:val="nil"/>
          <w:right w:val="nil"/>
          <w:between w:val="nil"/>
          <w:bar w:val="nil"/>
        </w:pBdr>
        <w:jc w:val="both"/>
        <w:rPr>
          <w:rFonts w:eastAsia="Arial" w:cs="Arial"/>
          <w:bdr w:val="nil"/>
          <w:lang w:val="en-US"/>
        </w:rPr>
      </w:pPr>
    </w:p>
    <w:p w14:paraId="71F3DF11" w14:textId="77777777" w:rsidR="0030537F" w:rsidRDefault="003A4815" w:rsidP="00F00101">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In addition, in some jurisdictions, such as South Africa, under the “sister-ship” theory of liability, a claimant may arrest both the vessel that is subject to the claimant’s maritime lien and any “associated” vessel, which is any vessel owned or controlled by the same owner. Claimants could try to assert “sister-ship” liability against one vessel in our fleet for claims relating to another of our ships. Under some of our present charters, if the vessel is arrested or detained as a result of a claim against us, we may be in default of our charter and the charterer may suspend the payment of hire under the charter and charge us with any additional expenses incurred during that period, which may negatively impact our revenues and cash flows.</w:t>
      </w:r>
    </w:p>
    <w:p w14:paraId="71F3DF12" w14:textId="77777777" w:rsidR="000D1E2E" w:rsidRPr="000D35C6" w:rsidRDefault="000D1E2E" w:rsidP="00B92DC0">
      <w:pPr>
        <w:pBdr>
          <w:top w:val="nil"/>
          <w:left w:val="nil"/>
          <w:bottom w:val="nil"/>
          <w:right w:val="nil"/>
          <w:between w:val="nil"/>
          <w:bar w:val="nil"/>
        </w:pBdr>
        <w:jc w:val="both"/>
        <w:rPr>
          <w:rFonts w:eastAsia="Arial" w:cs="Arial"/>
          <w:bdr w:val="nil"/>
          <w:lang w:val="en-US"/>
        </w:rPr>
      </w:pPr>
    </w:p>
    <w:p w14:paraId="71F3DF13"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We conduct business in China, where the legal system has inherent uncertainties that could limit the legal protections available to us.</w:t>
      </w:r>
    </w:p>
    <w:p w14:paraId="71F3DF14" w14:textId="77777777" w:rsidR="000D1E2E" w:rsidRPr="000D35C6" w:rsidRDefault="000D1E2E" w:rsidP="00D67F50">
      <w:pPr>
        <w:keepNext/>
        <w:keepLines/>
        <w:pBdr>
          <w:top w:val="nil"/>
          <w:left w:val="nil"/>
          <w:bottom w:val="nil"/>
          <w:right w:val="nil"/>
          <w:between w:val="nil"/>
          <w:bar w:val="nil"/>
        </w:pBdr>
        <w:jc w:val="both"/>
        <w:rPr>
          <w:rFonts w:eastAsia="Arial" w:cs="Arial"/>
          <w:bdr w:val="nil"/>
          <w:lang w:val="en-US"/>
        </w:rPr>
      </w:pPr>
    </w:p>
    <w:p w14:paraId="71F3DF15" w14:textId="77777777" w:rsidR="0030537F" w:rsidRDefault="003A4815" w:rsidP="00A0643F">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Some of our vessels may be chartered to Chinese customers and from time to time on our charterers' instructions, our vessels may call on Chinese ports. Such charters and voyages may be subject to regulations in China that may require us to incur new or additional compliance or other administrative costs and may require that we pay to the Chinese government new taxes or other fees. Applicable laws and regulations in China may not be well publicized and may not be known to us or to our charterers in advance of us or our charterers becoming subject to them, and the implementation of such laws and regulations may be inconsistent. Changes in Chinese laws and regulations, including with regards to tax matters, or changes in their implementation by local authorities could affect our vessels if chartered to Chinese customers as well as our vessels calling to Chinese ports and could have a material adverse impact on our business, financial condition and results of operations.</w:t>
      </w:r>
    </w:p>
    <w:p w14:paraId="71F3DF16"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F17" w14:textId="77777777" w:rsidR="0030537F" w:rsidRDefault="003A4815" w:rsidP="001520C1">
      <w:pPr>
        <w:pStyle w:val="Heading3"/>
        <w:pBdr>
          <w:top w:val="nil"/>
          <w:left w:val="nil"/>
          <w:bottom w:val="nil"/>
          <w:right w:val="nil"/>
          <w:between w:val="nil"/>
          <w:bar w:val="nil"/>
        </w:pBdr>
        <w:rPr>
          <w:rFonts w:eastAsia="Arial" w:cs="Arial"/>
          <w:bdr w:val="nil"/>
          <w:lang w:val="en-US"/>
        </w:rPr>
      </w:pPr>
      <w:r w:rsidRPr="000D35C6">
        <w:rPr>
          <w:rFonts w:eastAsia="Arial" w:cs="Arial"/>
          <w:bdr w:val="none" w:sz="0" w:space="0" w:color="auto" w:frame="1"/>
          <w:lang w:val="en-US"/>
        </w:rPr>
        <w:t>Governments could requisition our vessels during a period of war or emergency, resulting in a loss of earnings.</w:t>
      </w:r>
    </w:p>
    <w:p w14:paraId="71F3DF18" w14:textId="77777777" w:rsidR="000D1E2E" w:rsidRPr="000D35C6" w:rsidRDefault="000D1E2E" w:rsidP="00D67F50">
      <w:pPr>
        <w:keepNext/>
        <w:keepLines/>
        <w:pBdr>
          <w:top w:val="nil"/>
          <w:left w:val="nil"/>
          <w:bottom w:val="nil"/>
          <w:right w:val="nil"/>
          <w:between w:val="nil"/>
          <w:bar w:val="nil"/>
        </w:pBdr>
        <w:jc w:val="both"/>
        <w:rPr>
          <w:rFonts w:eastAsia="Arial" w:cs="Arial"/>
          <w:bdr w:val="nil"/>
          <w:lang w:val="en-US"/>
        </w:rPr>
      </w:pPr>
    </w:p>
    <w:p w14:paraId="71F3DF19" w14:textId="77777777" w:rsidR="0030537F" w:rsidRDefault="003A4815" w:rsidP="00B64CC4">
      <w:pPr>
        <w:pBdr>
          <w:top w:val="nil"/>
          <w:left w:val="nil"/>
          <w:bottom w:val="nil"/>
          <w:right w:val="nil"/>
          <w:between w:val="nil"/>
          <w:bar w:val="nil"/>
        </w:pBdr>
        <w:jc w:val="both"/>
        <w:rPr>
          <w:rFonts w:eastAsia="Arial" w:cs="Arial"/>
          <w:bdr w:val="nil"/>
          <w:lang w:val="en-US"/>
        </w:rPr>
      </w:pPr>
      <w:r w:rsidRPr="000D35C6">
        <w:rPr>
          <w:rFonts w:ascii="Arial" w:eastAsia="Arial" w:hAnsi="Arial" w:cs="Arial"/>
          <w:bdr w:val="none" w:sz="0" w:space="0" w:color="auto" w:frame="1"/>
          <w:lang w:val="en-US"/>
        </w:rPr>
        <w:t xml:space="preserve">A government could requisition one or more of our vessels for title or for hire. Requisition for title occurs when a government takes control of a vessel and becomes her owner, while requisition for hire occurs when a government takes control of a vessel and effectively becomes her charterer at dictated charter rates. Generally, requisitions occur during periods of war or emergency, although governments may elect to requisition vessels in other circumstances. Although we would be entitled to compensation in the event of a requisition of one or more of our vessels, the amount and timing of payment would be uncertain. </w:t>
      </w:r>
      <w:r w:rsidRPr="00B64CC4">
        <w:rPr>
          <w:rFonts w:ascii="Arial" w:eastAsia="Arial" w:hAnsi="Arial" w:cs="Arial"/>
          <w:bdr w:val="none" w:sz="0" w:space="0" w:color="auto" w:frame="1"/>
          <w:lang w:val="en-US"/>
        </w:rPr>
        <w:t>Although none of our vessels have been requisitioned by a government for title or hire, a</w:t>
      </w:r>
      <w:r>
        <w:rPr>
          <w:rFonts w:ascii="Arial" w:eastAsia="Arial" w:hAnsi="Arial" w:cs="Arial"/>
          <w:bdr w:val="none" w:sz="0" w:space="0" w:color="auto" w:frame="1"/>
          <w:lang w:val="en-US"/>
        </w:rPr>
        <w:t xml:space="preserve"> </w:t>
      </w:r>
      <w:r w:rsidR="00705959" w:rsidRPr="00B64CC4">
        <w:rPr>
          <w:rFonts w:ascii="Arial" w:eastAsia="Arial" w:hAnsi="Arial" w:cs="Arial"/>
          <w:bdr w:val="none" w:sz="0" w:space="0" w:color="auto" w:frame="1"/>
          <w:lang w:val="en-US"/>
        </w:rPr>
        <w:t>government</w:t>
      </w:r>
      <w:r>
        <w:rPr>
          <w:rFonts w:ascii="Arial" w:eastAsia="Arial" w:hAnsi="Arial" w:cs="Arial"/>
          <w:bdr w:val="none" w:sz="0" w:space="0" w:color="auto" w:frame="1"/>
          <w:lang w:val="en-US"/>
        </w:rPr>
        <w:t xml:space="preserve"> </w:t>
      </w:r>
      <w:r w:rsidRPr="000D35C6">
        <w:rPr>
          <w:rFonts w:ascii="Arial" w:eastAsia="Arial" w:hAnsi="Arial" w:cs="Arial"/>
          <w:bdr w:val="none" w:sz="0" w:space="0" w:color="auto" w:frame="1"/>
          <w:lang w:val="en-US"/>
        </w:rPr>
        <w:t>requisition of one or more of our vessels may negatively impact our revenues and reduce the amount of cash we may have available for distribution as dividends to our shareholders, if any such dividends are declared.</w:t>
      </w:r>
    </w:p>
    <w:p w14:paraId="71F3DF1A" w14:textId="77777777" w:rsidR="000D1E2E" w:rsidRPr="000D35C6" w:rsidRDefault="000D1E2E" w:rsidP="00A0643F">
      <w:pPr>
        <w:pBdr>
          <w:top w:val="nil"/>
          <w:left w:val="nil"/>
          <w:bottom w:val="nil"/>
          <w:right w:val="nil"/>
          <w:between w:val="nil"/>
          <w:bar w:val="nil"/>
        </w:pBdr>
        <w:jc w:val="both"/>
        <w:rPr>
          <w:rFonts w:eastAsia="Arial" w:cs="Arial"/>
          <w:bdr w:val="nil"/>
          <w:lang w:val="en-US"/>
        </w:rPr>
      </w:pPr>
    </w:p>
    <w:p w14:paraId="71F3DF1B" w14:textId="77777777" w:rsidR="0030537F" w:rsidRPr="00F00101" w:rsidRDefault="003A4815" w:rsidP="001520C1">
      <w:pPr>
        <w:pStyle w:val="Heading3"/>
        <w:pBdr>
          <w:top w:val="nil"/>
          <w:left w:val="nil"/>
          <w:bottom w:val="nil"/>
          <w:right w:val="nil"/>
          <w:between w:val="nil"/>
          <w:bar w:val="nil"/>
        </w:pBdr>
        <w:rPr>
          <w:rFonts w:eastAsia="Arial" w:cs="Arial"/>
          <w:bdr w:val="nil"/>
          <w:lang w:val="en-US"/>
        </w:rPr>
      </w:pPr>
      <w:r w:rsidRPr="00F00101">
        <w:rPr>
          <w:rFonts w:eastAsia="Arial" w:cs="Arial"/>
          <w:bdr w:val="none" w:sz="0" w:space="0" w:color="auto" w:frame="1"/>
          <w:lang w:val="en-US"/>
        </w:rPr>
        <w:t>Failure to comply with the U.S. Foreign Corrupt Practices Act could result in fines, criminal penalties and an adverse effect on our business.</w:t>
      </w:r>
    </w:p>
    <w:p w14:paraId="71F3DF1C" w14:textId="77777777" w:rsidR="000D1E2E" w:rsidRPr="000D35C6" w:rsidRDefault="000D1E2E" w:rsidP="000D1E2E">
      <w:pPr>
        <w:keepNext/>
        <w:keepLines/>
        <w:pBdr>
          <w:top w:val="nil"/>
          <w:left w:val="nil"/>
          <w:bottom w:val="nil"/>
          <w:right w:val="nil"/>
          <w:between w:val="nil"/>
          <w:bar w:val="nil"/>
        </w:pBdr>
        <w:jc w:val="both"/>
        <w:rPr>
          <w:rFonts w:eastAsia="Arial" w:cs="Arial"/>
          <w:bCs/>
          <w:iCs/>
          <w:bdr w:val="nil"/>
          <w:lang w:val="en-US"/>
        </w:rPr>
      </w:pPr>
    </w:p>
    <w:p w14:paraId="71F3DF1D" w14:textId="77777777" w:rsidR="0030537F" w:rsidRDefault="003A4815" w:rsidP="00A0643F">
      <w:pPr>
        <w:pBdr>
          <w:top w:val="nil"/>
          <w:left w:val="nil"/>
          <w:bottom w:val="nil"/>
          <w:right w:val="nil"/>
          <w:between w:val="nil"/>
          <w:bar w:val="nil"/>
        </w:pBdr>
        <w:jc w:val="both"/>
        <w:rPr>
          <w:rFonts w:eastAsia="Arial" w:cs="Arial"/>
          <w:color w:val="000000"/>
          <w:bdr w:val="nil"/>
          <w:lang w:val="en-US"/>
        </w:rPr>
      </w:pPr>
      <w:r w:rsidRPr="000D35C6">
        <w:rPr>
          <w:rFonts w:ascii="Arial" w:eastAsia="Arial" w:hAnsi="Arial" w:cs="Arial"/>
          <w:color w:val="000000"/>
          <w:bdr w:val="none" w:sz="0" w:space="0" w:color="auto" w:frame="1"/>
          <w:lang w:val="en-US"/>
        </w:rPr>
        <w:t>We may operate in a number of countries throughout the world, including countries suspected to have a risk of corruption. We are committed to doing business in accordance with applicable anti-corruption laws and have adopted measures designed to ensure compliance with the U.S. Foreign Corrupt Practices Act of 1977, as amended (the “FCPA”). We are subject, however, to the risk that we, our affiliated entities or their respective officers, directors, employees and agents may take actions determined to be in violation of such anti-corruption laws, including the FCPA. Any such violation could result in substantial fines, sanctions, civil and/or criminal penalties, curtailment of operations in certain jurisdictions, and might adversely affect our business, earnings or financial condition. In addition, actual or alleged violations could damage our reputation and ability to do business. Furthermore, detecting, investigating, and resolving actual or alleged violations is expensive and can consume significant time and attention of our senior management.</w:t>
      </w:r>
    </w:p>
    <w:p w14:paraId="71F3DF1E" w14:textId="77777777" w:rsidR="00510CAA" w:rsidRDefault="00510CAA">
      <w:pPr>
        <w:pBdr>
          <w:top w:val="nil"/>
          <w:left w:val="nil"/>
          <w:bottom w:val="nil"/>
          <w:right w:val="nil"/>
          <w:between w:val="nil"/>
          <w:bar w:val="nil"/>
        </w:pBdr>
        <w:jc w:val="both"/>
        <w:rPr>
          <w:rFonts w:ascii="Arial" w:eastAsia="Arial" w:hAnsi="Arial" w:cs="Arial"/>
          <w:bdr w:val="nil"/>
        </w:rPr>
      </w:pPr>
    </w:p>
    <w:p w14:paraId="71F3DF1F" w14:textId="77777777" w:rsidR="00E95391" w:rsidRPr="0020193E" w:rsidRDefault="003A4815" w:rsidP="00355C2E">
      <w:pPr>
        <w:pStyle w:val="Heading3"/>
        <w:keepLines/>
        <w:pBdr>
          <w:top w:val="nil"/>
          <w:left w:val="nil"/>
          <w:bottom w:val="nil"/>
          <w:right w:val="nil"/>
          <w:between w:val="nil"/>
          <w:bar w:val="nil"/>
        </w:pBdr>
        <w:rPr>
          <w:rFonts w:eastAsia="Arial" w:cs="Arial"/>
          <w:i w:val="0"/>
          <w:sz w:val="24"/>
          <w:szCs w:val="24"/>
          <w:bdr w:val="nil"/>
          <w:lang w:val="en-US"/>
        </w:rPr>
      </w:pPr>
      <w:bookmarkStart w:id="82" w:name="RG_MARKER_23046"/>
      <w:r w:rsidRPr="0020193E">
        <w:rPr>
          <w:rFonts w:eastAsia="Arial" w:cs="Arial"/>
          <w:i w:val="0"/>
          <w:sz w:val="24"/>
          <w:szCs w:val="24"/>
          <w:lang w:val="en-US"/>
        </w:rPr>
        <w:t>Company Specific Risk Factors</w:t>
      </w:r>
      <w:bookmarkEnd w:id="82"/>
    </w:p>
    <w:p w14:paraId="71F3DF20" w14:textId="77777777" w:rsidR="00E95391" w:rsidRPr="00F05FBC" w:rsidRDefault="00E95391" w:rsidP="00355C2E">
      <w:pPr>
        <w:keepNext/>
        <w:keepLines/>
        <w:pBdr>
          <w:top w:val="nil"/>
          <w:left w:val="nil"/>
          <w:bottom w:val="nil"/>
          <w:right w:val="nil"/>
          <w:between w:val="nil"/>
          <w:bar w:val="nil"/>
        </w:pBdr>
        <w:suppressAutoHyphens/>
        <w:jc w:val="both"/>
        <w:rPr>
          <w:rFonts w:ascii="Arial" w:eastAsia="Arial" w:hAnsi="Arial" w:cs="Arial"/>
          <w:bdr w:val="nil"/>
          <w:lang w:val="en-US"/>
        </w:rPr>
      </w:pPr>
    </w:p>
    <w:p w14:paraId="71F3DF21" w14:textId="77777777" w:rsidR="009075F3" w:rsidRPr="00F05FBC" w:rsidRDefault="003A4815" w:rsidP="00F05FBC">
      <w:pPr>
        <w:keepNext/>
        <w:keepLines/>
        <w:pBdr>
          <w:top w:val="nil"/>
          <w:left w:val="nil"/>
          <w:bottom w:val="nil"/>
          <w:right w:val="nil"/>
          <w:between w:val="nil"/>
          <w:bar w:val="nil"/>
        </w:pBdr>
        <w:jc w:val="both"/>
        <w:rPr>
          <w:rFonts w:ascii="Arial" w:eastAsia="Arial" w:hAnsi="Arial" w:cs="Arial"/>
          <w:b/>
          <w:bCs/>
          <w:i/>
          <w:bdr w:val="nil"/>
          <w:lang w:val="en-US" w:eastAsia="x-none"/>
        </w:rPr>
      </w:pPr>
      <w:r w:rsidRPr="00F05FBC">
        <w:rPr>
          <w:rFonts w:ascii="Arial" w:eastAsia="Arial" w:hAnsi="Arial" w:cs="Arial"/>
          <w:b/>
          <w:bCs/>
          <w:i/>
          <w:lang w:val="en-US" w:eastAsia="x-none"/>
        </w:rPr>
        <w:t xml:space="preserve">The market values of our vessels </w:t>
      </w:r>
      <w:r w:rsidR="00E84752" w:rsidRPr="00F05FBC">
        <w:rPr>
          <w:rFonts w:ascii="Arial" w:eastAsia="Arial" w:hAnsi="Arial" w:cs="Arial"/>
          <w:b/>
          <w:bCs/>
          <w:i/>
          <w:lang w:val="en-US" w:eastAsia="x-none"/>
        </w:rPr>
        <w:t>could</w:t>
      </w:r>
      <w:r w:rsidRPr="00F05FBC">
        <w:rPr>
          <w:rFonts w:ascii="Arial" w:eastAsia="Arial" w:hAnsi="Arial" w:cs="Arial"/>
          <w:b/>
          <w:bCs/>
          <w:i/>
          <w:lang w:val="en-US" w:eastAsia="x-none"/>
        </w:rPr>
        <w:t xml:space="preserve"> decline, which could limit the amount of funds that we can borrow and could trigger breaches of certain financial covenants contained in our loan facilities, which could adversely affect our operating results, and we may incur a loss if we sell vessels following a decline in their market values.</w:t>
      </w:r>
    </w:p>
    <w:p w14:paraId="71F3DF22" w14:textId="77777777" w:rsidR="00F626F4" w:rsidRPr="00F05FBC" w:rsidRDefault="00F626F4" w:rsidP="00F05FBC">
      <w:pPr>
        <w:pStyle w:val="Normal15"/>
        <w:keepNext/>
        <w:keepLines/>
        <w:pBdr>
          <w:top w:val="nil"/>
          <w:left w:val="nil"/>
          <w:bottom w:val="nil"/>
          <w:right w:val="nil"/>
          <w:between w:val="nil"/>
          <w:bar w:val="nil"/>
        </w:pBdr>
        <w:suppressAutoHyphens/>
        <w:rPr>
          <w:rFonts w:ascii="Arial" w:eastAsia="Arial" w:hAnsi="Arial" w:cs="Arial"/>
          <w:bdr w:val="nil"/>
          <w:lang w:val="en-US"/>
        </w:rPr>
      </w:pPr>
    </w:p>
    <w:p w14:paraId="71F3DF23" w14:textId="77777777" w:rsidR="009075F3" w:rsidRPr="00F05FBC" w:rsidRDefault="003A4815" w:rsidP="00F05FBC">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lang w:val="en-US"/>
        </w:rPr>
        <w:t>While the market values of vessels and the charter market have a very close relationship as the charter market moves from trough to peak, the time lag between the effect of charter rates on market values of ships can vary.</w:t>
      </w:r>
    </w:p>
    <w:p w14:paraId="71F3DF24" w14:textId="77777777" w:rsidR="009075F3" w:rsidRPr="00F05FBC" w:rsidRDefault="009075F3" w:rsidP="00F05FBC">
      <w:pPr>
        <w:pBdr>
          <w:top w:val="nil"/>
          <w:left w:val="nil"/>
          <w:bottom w:val="nil"/>
          <w:right w:val="nil"/>
          <w:between w:val="nil"/>
          <w:bar w:val="nil"/>
        </w:pBdr>
        <w:jc w:val="both"/>
        <w:rPr>
          <w:rFonts w:ascii="Arial" w:eastAsia="Arial" w:hAnsi="Arial" w:cs="Arial"/>
          <w:bdr w:val="nil"/>
          <w:lang w:val="en-US"/>
        </w:rPr>
      </w:pPr>
    </w:p>
    <w:p w14:paraId="71F3DF25" w14:textId="77777777" w:rsidR="009075F3" w:rsidRPr="00F05FBC" w:rsidRDefault="003A4815" w:rsidP="00F05FBC">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lang w:val="en-US"/>
        </w:rPr>
        <w:t>The market values of our vessels have generally experienced high volatility, and you should expect the market values of our vessels to fluctuate depending on a number of factors including:</w:t>
      </w:r>
    </w:p>
    <w:p w14:paraId="71F3DF26" w14:textId="77777777" w:rsidR="00F626F4" w:rsidRPr="00F05FBC" w:rsidRDefault="00F626F4" w:rsidP="00F05FBC">
      <w:pPr>
        <w:pStyle w:val="Normal15"/>
        <w:pBdr>
          <w:top w:val="nil"/>
          <w:left w:val="nil"/>
          <w:bottom w:val="nil"/>
          <w:right w:val="nil"/>
          <w:between w:val="nil"/>
          <w:bar w:val="nil"/>
        </w:pBdr>
        <w:suppressAutoHyphens/>
        <w:rPr>
          <w:rFonts w:ascii="Arial" w:eastAsia="Arial" w:hAnsi="Arial" w:cs="Arial"/>
          <w:bdr w:val="nil"/>
          <w:lang w:val="en-US"/>
        </w:rPr>
      </w:pPr>
    </w:p>
    <w:p w14:paraId="71F3DF27"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the prevailing level of charter hire rates;</w:t>
      </w:r>
    </w:p>
    <w:p w14:paraId="71F3DF28"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29"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general economic and market conditions affecting the shipping industry;</w:t>
      </w:r>
    </w:p>
    <w:p w14:paraId="71F3DF2A"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2B"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competition from other shipping companies and other modes of transportation;</w:t>
      </w:r>
    </w:p>
    <w:p w14:paraId="71F3DF2C"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2D"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the types, sizes and ages of vessels;</w:t>
      </w:r>
    </w:p>
    <w:p w14:paraId="71F3DF2E"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2F" w14:textId="77777777" w:rsidR="00F626F4"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the supply of and demand for vessels;</w:t>
      </w:r>
    </w:p>
    <w:p w14:paraId="71F3DF30" w14:textId="77777777" w:rsidR="00C9052D" w:rsidRDefault="00C9052D" w:rsidP="00C9052D">
      <w:pPr>
        <w:pStyle w:val="ListParagraph"/>
        <w:pBdr>
          <w:top w:val="nil"/>
          <w:left w:val="nil"/>
          <w:bottom w:val="nil"/>
          <w:right w:val="nil"/>
          <w:between w:val="nil"/>
          <w:bar w:val="nil"/>
        </w:pBdr>
        <w:contextualSpacing w:val="0"/>
        <w:jc w:val="both"/>
        <w:rPr>
          <w:rFonts w:ascii="Arial" w:eastAsia="Arial" w:hAnsi="Arial" w:cs="Arial"/>
          <w:bdr w:val="nil"/>
          <w:lang w:val="en-US"/>
        </w:rPr>
      </w:pPr>
    </w:p>
    <w:p w14:paraId="71F3DF31" w14:textId="77777777" w:rsidR="00C9052D"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Pr>
          <w:rFonts w:ascii="Arial" w:eastAsia="Arial" w:hAnsi="Arial" w:cs="Arial"/>
          <w:lang w:val="en-US"/>
        </w:rPr>
        <w:t>scrap values;</w:t>
      </w:r>
    </w:p>
    <w:p w14:paraId="71F3DF32"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33"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applicable governmental or other regulations;</w:t>
      </w:r>
    </w:p>
    <w:p w14:paraId="71F3DF34"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35" w14:textId="77777777" w:rsidR="00AD0F74" w:rsidRPr="005B6B8E" w:rsidRDefault="003A4815" w:rsidP="005B6B8E">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 xml:space="preserve">technological advances; </w:t>
      </w:r>
    </w:p>
    <w:p w14:paraId="71F3DF36" w14:textId="77777777" w:rsidR="00AD0F74" w:rsidRPr="00F05FBC" w:rsidRDefault="00AD0F74" w:rsidP="00F05FBC">
      <w:pPr>
        <w:pStyle w:val="ListParagraph"/>
        <w:pBdr>
          <w:top w:val="nil"/>
          <w:left w:val="nil"/>
          <w:bottom w:val="nil"/>
          <w:right w:val="nil"/>
          <w:between w:val="nil"/>
          <w:bar w:val="nil"/>
        </w:pBdr>
        <w:contextualSpacing w:val="0"/>
        <w:jc w:val="both"/>
        <w:rPr>
          <w:rFonts w:ascii="Arial" w:eastAsia="Arial" w:hAnsi="Arial" w:cs="Arial"/>
          <w:bdr w:val="nil"/>
          <w:lang w:val="en-US"/>
        </w:rPr>
      </w:pPr>
    </w:p>
    <w:p w14:paraId="71F3DF37"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bdr w:val="none" w:sz="0" w:space="0" w:color="auto" w:frame="1"/>
          <w:lang w:val="en-US"/>
        </w:rPr>
        <w:t>the need to upgrade vessels as a result of cha</w:t>
      </w:r>
      <w:r w:rsidR="00637F06" w:rsidRPr="00F05FBC">
        <w:rPr>
          <w:rFonts w:ascii="Arial" w:eastAsia="Arial" w:hAnsi="Arial" w:cs="Arial"/>
          <w:bdr w:val="none" w:sz="0" w:space="0" w:color="auto" w:frame="1"/>
          <w:lang w:val="en-US"/>
        </w:rPr>
        <w:t>r</w:t>
      </w:r>
      <w:r w:rsidRPr="00F05FBC">
        <w:rPr>
          <w:rFonts w:ascii="Arial" w:eastAsia="Arial" w:hAnsi="Arial" w:cs="Arial"/>
          <w:bdr w:val="none" w:sz="0" w:space="0" w:color="auto" w:frame="1"/>
          <w:lang w:val="en-US"/>
        </w:rPr>
        <w:t>terer requirements, technological advances in vessel design or equipment or otherwise;</w:t>
      </w:r>
      <w:r w:rsidRPr="00F05FBC">
        <w:rPr>
          <w:rFonts w:ascii="Arial" w:eastAsia="Arial" w:hAnsi="Arial" w:cs="Arial"/>
          <w:lang w:val="en-US"/>
        </w:rPr>
        <w:t xml:space="preserve"> and</w:t>
      </w:r>
    </w:p>
    <w:p w14:paraId="71F3DF38" w14:textId="77777777" w:rsidR="00F626F4" w:rsidRPr="00F05FBC" w:rsidRDefault="00F626F4" w:rsidP="00F05FBC">
      <w:pPr>
        <w:pStyle w:val="Normal15"/>
        <w:pBdr>
          <w:top w:val="nil"/>
          <w:left w:val="nil"/>
          <w:bottom w:val="nil"/>
          <w:right w:val="nil"/>
          <w:between w:val="nil"/>
          <w:bar w:val="nil"/>
        </w:pBdr>
        <w:tabs>
          <w:tab w:val="num" w:pos="720"/>
        </w:tabs>
        <w:suppressAutoHyphens/>
        <w:ind w:left="720" w:hanging="360"/>
        <w:rPr>
          <w:rFonts w:ascii="Arial" w:eastAsia="Arial" w:hAnsi="Arial" w:cs="Arial"/>
          <w:bdr w:val="nil"/>
          <w:lang w:val="en-US"/>
        </w:rPr>
      </w:pPr>
    </w:p>
    <w:p w14:paraId="71F3DF39" w14:textId="77777777" w:rsidR="00F626F4" w:rsidRPr="00F05FBC" w:rsidRDefault="003A4815" w:rsidP="00F05FBC">
      <w:pPr>
        <w:pStyle w:val="Normal15"/>
        <w:numPr>
          <w:ilvl w:val="0"/>
          <w:numId w:val="7"/>
        </w:numPr>
        <w:pBdr>
          <w:top w:val="nil"/>
          <w:left w:val="nil"/>
          <w:bottom w:val="nil"/>
          <w:right w:val="nil"/>
          <w:between w:val="nil"/>
          <w:bar w:val="nil"/>
        </w:pBdr>
        <w:suppressAutoHyphens/>
        <w:autoSpaceDE w:val="0"/>
        <w:autoSpaceDN w:val="0"/>
        <w:ind w:left="714" w:hanging="357"/>
        <w:rPr>
          <w:rFonts w:ascii="Arial" w:eastAsia="Arial" w:hAnsi="Arial" w:cs="Arial"/>
          <w:bdr w:val="nil"/>
          <w:lang w:val="en-US"/>
        </w:rPr>
      </w:pPr>
      <w:r w:rsidRPr="00F05FBC">
        <w:rPr>
          <w:rFonts w:ascii="Arial" w:eastAsia="Arial" w:hAnsi="Arial" w:cs="Arial"/>
          <w:lang w:val="en-US"/>
        </w:rPr>
        <w:t>the cost of newbuildings.</w:t>
      </w:r>
    </w:p>
    <w:p w14:paraId="71F3DF3A" w14:textId="77777777" w:rsidR="00F626F4" w:rsidRPr="00F05FBC" w:rsidRDefault="003A4815" w:rsidP="00F05FBC">
      <w:pPr>
        <w:pStyle w:val="Normal15"/>
        <w:pBdr>
          <w:top w:val="nil"/>
          <w:left w:val="nil"/>
          <w:bottom w:val="nil"/>
          <w:right w:val="nil"/>
          <w:between w:val="nil"/>
          <w:bar w:val="nil"/>
        </w:pBdr>
        <w:tabs>
          <w:tab w:val="left" w:pos="3210"/>
        </w:tabs>
        <w:suppressAutoHyphens/>
        <w:ind w:left="720"/>
        <w:rPr>
          <w:rFonts w:ascii="Arial" w:eastAsia="Arial" w:hAnsi="Arial" w:cs="Arial"/>
          <w:bdr w:val="nil"/>
          <w:lang w:val="en-US"/>
        </w:rPr>
      </w:pPr>
      <w:r w:rsidRPr="00F05FBC">
        <w:rPr>
          <w:rFonts w:ascii="Arial" w:eastAsia="Arial" w:hAnsi="Arial" w:cs="Arial"/>
          <w:lang w:val="en-US"/>
        </w:rPr>
        <w:tab/>
      </w:r>
    </w:p>
    <w:p w14:paraId="71F3DF3B" w14:textId="77777777" w:rsidR="004E531F" w:rsidRPr="00F05FBC" w:rsidRDefault="003A4815" w:rsidP="00F05FBC">
      <w:pPr>
        <w:pBdr>
          <w:top w:val="nil"/>
          <w:left w:val="nil"/>
          <w:bottom w:val="nil"/>
          <w:right w:val="nil"/>
          <w:between w:val="nil"/>
          <w:bar w:val="nil"/>
        </w:pBdr>
        <w:jc w:val="both"/>
        <w:rPr>
          <w:rFonts w:ascii="Arial" w:eastAsia="Arial" w:hAnsi="Arial" w:cs="Arial"/>
          <w:bdr w:val="nil"/>
          <w:lang w:val="en-US"/>
        </w:rPr>
      </w:pPr>
      <w:r w:rsidRPr="00C9052D">
        <w:rPr>
          <w:rFonts w:ascii="Arial" w:eastAsia="Arial" w:hAnsi="Arial" w:cs="Arial"/>
          <w:lang w:val="en-US"/>
        </w:rPr>
        <w:t>In addition, as vessels grow older, they generally decline in value.</w:t>
      </w:r>
      <w:r>
        <w:rPr>
          <w:rFonts w:ascii="Arial" w:eastAsia="Arial" w:hAnsi="Arial" w:cs="Arial"/>
          <w:lang w:val="en-US"/>
        </w:rPr>
        <w:t xml:space="preserve"> </w:t>
      </w:r>
      <w:r w:rsidR="000F0B38" w:rsidRPr="00F05FBC">
        <w:rPr>
          <w:rFonts w:ascii="Arial" w:eastAsia="Arial" w:hAnsi="Arial" w:cs="Arial"/>
          <w:lang w:val="en-US"/>
        </w:rPr>
        <w:t>If</w:t>
      </w:r>
      <w:r w:rsidR="009762DA" w:rsidRPr="00F05FBC">
        <w:rPr>
          <w:rFonts w:ascii="Arial" w:eastAsia="Arial" w:hAnsi="Arial" w:cs="Arial"/>
          <w:lang w:val="en-US"/>
        </w:rPr>
        <w:t xml:space="preserve"> the market values of our vessels decline, we may not be in compliance with certain covenants contained in our loan facilities and we may not be able to refinance our debt or obtain additional financing or incur debt on terms that are acceptable to us or at all. As </w:t>
      </w:r>
      <w:r w:rsidR="000F0B38" w:rsidRPr="00F05FBC">
        <w:rPr>
          <w:rFonts w:ascii="Arial" w:eastAsia="Arial" w:hAnsi="Arial" w:cs="Arial"/>
          <w:lang w:val="en-US"/>
        </w:rPr>
        <w:t>of</w:t>
      </w:r>
      <w:r w:rsidR="009762DA" w:rsidRPr="00F05FBC">
        <w:rPr>
          <w:rFonts w:ascii="Arial" w:eastAsia="Arial" w:hAnsi="Arial" w:cs="Arial"/>
          <w:lang w:val="en-US"/>
        </w:rPr>
        <w:t xml:space="preserve"> December 31, 2025, we were in compliance with all of the covenants in our loan facilities. If we are not able to comply with the covenants in our loan facilities or are unable to obtain waivers or amendments or otherwise remedy the relevant breach, our lenders could accelerate our debt and foreclose on our vessels. </w:t>
      </w:r>
    </w:p>
    <w:p w14:paraId="71F3DF3C" w14:textId="77777777" w:rsidR="009075F3" w:rsidRPr="00F05FBC" w:rsidRDefault="009075F3" w:rsidP="00F05FBC">
      <w:pPr>
        <w:pBdr>
          <w:top w:val="nil"/>
          <w:left w:val="nil"/>
          <w:bottom w:val="nil"/>
          <w:right w:val="nil"/>
          <w:between w:val="nil"/>
          <w:bar w:val="nil"/>
        </w:pBdr>
        <w:jc w:val="both"/>
        <w:rPr>
          <w:rFonts w:ascii="Arial" w:eastAsia="Arial" w:hAnsi="Arial" w:cs="Arial"/>
          <w:bdr w:val="nil"/>
          <w:lang w:val="en-US"/>
        </w:rPr>
      </w:pPr>
    </w:p>
    <w:p w14:paraId="71F3DF3D" w14:textId="77777777" w:rsidR="009075F3" w:rsidRPr="00F05FBC" w:rsidRDefault="003A4815" w:rsidP="00C9052D">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lang w:val="en-US"/>
        </w:rPr>
        <w:t>Furthermore, if we sell any of our owned vessels at a time when prices are depressed, our business, results of operations, cash flow and financial condition could be adversely affected. Moreover, if we sell a vessel at a time when vessel prices have fallen, the sale may be at less than the vessel's carrying amount in our financial statements, resulting in a loss and a reduction in earnings. In addition, if vessel values decline, we may have to record an impairment adjustment in our financial statements which could adversely affect our financial results.</w:t>
      </w:r>
      <w:r w:rsidR="00C9052D">
        <w:rPr>
          <w:rFonts w:ascii="Arial" w:eastAsia="Arial" w:hAnsi="Arial" w:cs="Arial"/>
          <w:lang w:val="en-US"/>
        </w:rPr>
        <w:t xml:space="preserve"> </w:t>
      </w:r>
      <w:r w:rsidRPr="00F05FBC">
        <w:rPr>
          <w:rFonts w:ascii="Arial" w:eastAsia="Arial" w:hAnsi="Arial" w:cs="Arial"/>
          <w:lang w:val="en-US"/>
        </w:rPr>
        <w:t xml:space="preserve"> </w:t>
      </w:r>
      <w:r w:rsidR="00C9052D" w:rsidRPr="00C9052D">
        <w:rPr>
          <w:rFonts w:ascii="Arial" w:eastAsia="Arial" w:hAnsi="Arial" w:cs="Arial"/>
          <w:lang w:val="en-US"/>
        </w:rPr>
        <w:t>Conversely, if vessel values are elevated at a time when we wish</w:t>
      </w:r>
      <w:r w:rsidR="00C9052D">
        <w:rPr>
          <w:rFonts w:ascii="Arial" w:eastAsia="Arial" w:hAnsi="Arial" w:cs="Arial"/>
          <w:lang w:val="en-US"/>
        </w:rPr>
        <w:t xml:space="preserve"> </w:t>
      </w:r>
      <w:r w:rsidR="00C9052D" w:rsidRPr="00C9052D">
        <w:rPr>
          <w:rFonts w:ascii="Arial" w:eastAsia="Arial" w:hAnsi="Arial" w:cs="Arial"/>
          <w:lang w:val="en-US"/>
        </w:rPr>
        <w:t>to</w:t>
      </w:r>
      <w:r w:rsidR="00C9052D">
        <w:rPr>
          <w:rFonts w:ascii="Arial" w:eastAsia="Arial" w:hAnsi="Arial" w:cs="Arial"/>
          <w:lang w:val="en-US"/>
        </w:rPr>
        <w:t xml:space="preserve"> </w:t>
      </w:r>
      <w:r w:rsidR="00C9052D" w:rsidRPr="00C9052D">
        <w:rPr>
          <w:rFonts w:ascii="Arial" w:eastAsia="Arial" w:hAnsi="Arial" w:cs="Arial"/>
          <w:lang w:val="en-US"/>
        </w:rPr>
        <w:t>acquire additional vessels, the cost of acquisition may increase and this could adversely affect our</w:t>
      </w:r>
      <w:r w:rsidR="00C9052D">
        <w:rPr>
          <w:rFonts w:ascii="Arial" w:eastAsia="Arial" w:hAnsi="Arial" w:cs="Arial"/>
          <w:lang w:val="en-US"/>
        </w:rPr>
        <w:t xml:space="preserve"> </w:t>
      </w:r>
      <w:r w:rsidR="00C9052D" w:rsidRPr="00C9052D">
        <w:rPr>
          <w:rFonts w:ascii="Arial" w:eastAsia="Arial" w:hAnsi="Arial" w:cs="Arial"/>
          <w:lang w:val="en-US"/>
        </w:rPr>
        <w:t>business, results of operations, cash flow and financial condition.</w:t>
      </w:r>
      <w:r w:rsidRPr="00F05FBC">
        <w:rPr>
          <w:rFonts w:ascii="Arial" w:eastAsia="Arial" w:hAnsi="Arial" w:cs="Arial"/>
          <w:lang w:val="en-US"/>
        </w:rPr>
        <w:t xml:space="preserve">  </w:t>
      </w:r>
    </w:p>
    <w:p w14:paraId="71F3DF3E" w14:textId="77777777" w:rsidR="0032072B" w:rsidRPr="00F05FBC" w:rsidRDefault="0032072B" w:rsidP="00C35C2B">
      <w:pPr>
        <w:pBdr>
          <w:top w:val="nil"/>
          <w:left w:val="nil"/>
          <w:bottom w:val="nil"/>
          <w:right w:val="nil"/>
          <w:between w:val="nil"/>
          <w:bar w:val="nil"/>
        </w:pBdr>
        <w:jc w:val="both"/>
        <w:rPr>
          <w:rFonts w:ascii="Arial" w:eastAsia="Arial" w:hAnsi="Arial" w:cs="Arial"/>
          <w:bdr w:val="nil"/>
          <w:lang w:val="en-US"/>
        </w:rPr>
      </w:pPr>
    </w:p>
    <w:p w14:paraId="71F3DF3F" w14:textId="77777777" w:rsidR="00E95391" w:rsidRPr="00F05FBC" w:rsidRDefault="003A4815" w:rsidP="00F05FBC">
      <w:pPr>
        <w:keepNext/>
        <w:keepLines/>
        <w:pBdr>
          <w:top w:val="nil"/>
          <w:left w:val="nil"/>
          <w:bottom w:val="nil"/>
          <w:right w:val="nil"/>
          <w:between w:val="nil"/>
          <w:bar w:val="nil"/>
        </w:pBdr>
        <w:jc w:val="both"/>
        <w:rPr>
          <w:rFonts w:ascii="Arial" w:eastAsia="Arial" w:hAnsi="Arial" w:cs="Arial"/>
          <w:b/>
          <w:bCs/>
          <w:i/>
          <w:bdr w:val="nil"/>
          <w:lang w:val="en-US" w:eastAsia="x-none"/>
        </w:rPr>
      </w:pPr>
      <w:r w:rsidRPr="00F05FBC">
        <w:rPr>
          <w:rFonts w:ascii="Arial" w:eastAsia="Arial" w:hAnsi="Arial" w:cs="Arial"/>
          <w:b/>
          <w:bCs/>
          <w:i/>
          <w:lang w:val="en-US" w:eastAsia="x-none"/>
        </w:rPr>
        <w:t>We charter some of our vessels on short-term time charters in a volatile shipping industry and a decline in charter hire rates could affect our results of operations and our ability to pay dividends.</w:t>
      </w:r>
    </w:p>
    <w:p w14:paraId="71F3DF40" w14:textId="77777777" w:rsidR="00E95391" w:rsidRPr="00F05FBC" w:rsidRDefault="00E95391" w:rsidP="00F05FBC">
      <w:pPr>
        <w:keepNext/>
        <w:keepLines/>
        <w:pBdr>
          <w:top w:val="nil"/>
          <w:left w:val="nil"/>
          <w:bottom w:val="nil"/>
          <w:right w:val="nil"/>
          <w:between w:val="nil"/>
          <w:bar w:val="nil"/>
        </w:pBdr>
        <w:jc w:val="both"/>
        <w:rPr>
          <w:rFonts w:ascii="Arial" w:eastAsia="Arial" w:hAnsi="Arial" w:cs="Arial"/>
          <w:b/>
          <w:bCs/>
          <w:i/>
          <w:bdr w:val="nil"/>
          <w:lang w:val="en-US" w:eastAsia="x-none"/>
        </w:rPr>
      </w:pPr>
    </w:p>
    <w:p w14:paraId="71F3DF41" w14:textId="77777777" w:rsidR="006C5110" w:rsidRPr="00EA38F7"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 xml:space="preserve">Although significant exposure to short-term time charters is not unusual in the dry bulk shipping industry, the short-term time charter market is highly competitive and spot market charter hire rates (which affect time charter rates) may fluctuate significantly based upon available charters and the supply of, and demand for, seaborne shipping capacity. While the short-term time charter market may enable us to benefit in periods of increasing charter hire rates, we must consistently renew our charters and this dependence makes us vulnerable to declining charter rates. As a result of the volatility in the dry bulk carrier charter market, we may not be able to employ our vessels upon the termination of their existing charters at their current charter hire rates or at all. The dry bulk carrier charter market is volatile, </w:t>
      </w:r>
      <w:r w:rsidR="005B3EC8" w:rsidRPr="005B3EC8">
        <w:rPr>
          <w:rFonts w:ascii="Arial" w:eastAsia="Arial" w:hAnsi="Arial" w:cs="Arial"/>
          <w:lang w:val="en-US"/>
        </w:rPr>
        <w:t>and while short</w:t>
      </w:r>
      <w:r w:rsidR="005B3EC8" w:rsidRPr="005B3EC8">
        <w:rPr>
          <w:rFonts w:ascii="Arial" w:eastAsia="Arial" w:hAnsi="Arial" w:cs="Arial"/>
          <w:lang w:val="en-US"/>
        </w:rPr>
        <w:noBreakHyphen/>
        <w:t>term time charter and spot market rates for some dry bulk carriers were at or below operating costs in early 2025, conditions have improved since then</w:t>
      </w:r>
      <w:r w:rsidRPr="00F05FBC">
        <w:rPr>
          <w:rFonts w:ascii="Arial" w:eastAsia="Arial" w:hAnsi="Arial" w:cs="Arial"/>
          <w:lang w:val="en-US"/>
        </w:rPr>
        <w:t xml:space="preserve">. We cannot assure you that future charter hire rates will enable us to operate our vessels profitably, or to pay dividends. </w:t>
      </w:r>
    </w:p>
    <w:p w14:paraId="71F3DF42"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43" w14:textId="77777777" w:rsidR="00CC08FB"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eastAsia="el-GR"/>
        </w:rPr>
      </w:pPr>
      <w:r w:rsidRPr="00F05FBC">
        <w:rPr>
          <w:rFonts w:ascii="Arial" w:eastAsia="Arial" w:hAnsi="Arial" w:cs="Arial"/>
          <w:szCs w:val="22"/>
          <w:lang w:val="en-US" w:eastAsia="el-GR"/>
        </w:rPr>
        <w:t xml:space="preserve">Rising crew costs could adversely affect our results of operations. </w:t>
      </w:r>
    </w:p>
    <w:p w14:paraId="71F3DF44" w14:textId="77777777" w:rsidR="00CC08FB" w:rsidRPr="00F05FBC" w:rsidRDefault="00CC08FB" w:rsidP="00F05FBC">
      <w:pPr>
        <w:keepNext/>
        <w:keepLines/>
        <w:pBdr>
          <w:top w:val="nil"/>
          <w:left w:val="nil"/>
          <w:bottom w:val="nil"/>
          <w:right w:val="nil"/>
          <w:between w:val="nil"/>
          <w:bar w:val="nil"/>
        </w:pBdr>
        <w:suppressAutoHyphens/>
        <w:jc w:val="both"/>
        <w:rPr>
          <w:rFonts w:ascii="Arial" w:eastAsia="Arial" w:hAnsi="Arial" w:cs="Arial"/>
          <w:bdr w:val="nil"/>
          <w:lang w:val="en-US"/>
        </w:rPr>
      </w:pPr>
    </w:p>
    <w:p w14:paraId="71F3DF45" w14:textId="77777777" w:rsidR="008C6CAE"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 xml:space="preserve">Due to an increase in the size of the global shipping fleet, the limited supply of and increased demand for crew has created upward pressure on crew costs. </w:t>
      </w:r>
      <w:r w:rsidR="00695673" w:rsidRPr="00F05FBC">
        <w:rPr>
          <w:rFonts w:ascii="Arial" w:eastAsia="Arial" w:hAnsi="Arial" w:cs="Arial"/>
          <w:lang w:val="en-US"/>
        </w:rPr>
        <w:t xml:space="preserve">Additionally, the return of a number of Ukrainian seafarers to their homes as a result of the ongoing war in Ukraine has reduced the number of seafarers </w:t>
      </w:r>
      <w:r w:rsidR="00993D23" w:rsidRPr="00F05FBC">
        <w:rPr>
          <w:rFonts w:ascii="Arial" w:eastAsia="Arial" w:hAnsi="Arial" w:cs="Arial"/>
          <w:lang w:val="en-US"/>
        </w:rPr>
        <w:t>globally and</w:t>
      </w:r>
      <w:r w:rsidR="00695673" w:rsidRPr="00F05FBC">
        <w:rPr>
          <w:rFonts w:ascii="Arial" w:eastAsia="Arial" w:hAnsi="Arial" w:cs="Arial"/>
          <w:lang w:val="en-US"/>
        </w:rPr>
        <w:t xml:space="preserve"> thereby increased the pressure on crew wages. </w:t>
      </w:r>
      <w:r w:rsidRPr="00F05FBC">
        <w:rPr>
          <w:rFonts w:ascii="Arial" w:eastAsia="Arial" w:hAnsi="Arial" w:cs="Arial"/>
          <w:lang w:val="en-US"/>
        </w:rPr>
        <w:t>Continued higher crew costs or further increases in crew costs could adversely affect our results of operations.</w:t>
      </w:r>
    </w:p>
    <w:p w14:paraId="71F3DF46" w14:textId="77777777" w:rsidR="00CC08FB" w:rsidRPr="00F05FBC" w:rsidRDefault="00CC08FB" w:rsidP="00F05FBC">
      <w:pPr>
        <w:pBdr>
          <w:top w:val="nil"/>
          <w:left w:val="nil"/>
          <w:bottom w:val="nil"/>
          <w:right w:val="nil"/>
          <w:between w:val="nil"/>
          <w:bar w:val="nil"/>
        </w:pBdr>
        <w:suppressAutoHyphens/>
        <w:jc w:val="both"/>
        <w:rPr>
          <w:rFonts w:ascii="Arial" w:eastAsia="Arial" w:hAnsi="Arial" w:cs="Arial"/>
          <w:bdr w:val="nil"/>
          <w:lang w:val="en-US"/>
        </w:rPr>
      </w:pPr>
    </w:p>
    <w:p w14:paraId="71F3DF47" w14:textId="77777777" w:rsidR="004904DC"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Our investment in Diana Wilhelmsen Management Limited may expose us to additional risks.</w:t>
      </w:r>
    </w:p>
    <w:p w14:paraId="71F3DF48" w14:textId="77777777" w:rsidR="004904DC" w:rsidRPr="00F05FBC" w:rsidRDefault="004904DC" w:rsidP="00F05FBC">
      <w:pPr>
        <w:keepNext/>
        <w:keepLines/>
        <w:pBdr>
          <w:top w:val="nil"/>
          <w:left w:val="nil"/>
          <w:bottom w:val="nil"/>
          <w:right w:val="nil"/>
          <w:between w:val="nil"/>
          <w:bar w:val="nil"/>
        </w:pBdr>
        <w:jc w:val="both"/>
        <w:rPr>
          <w:rFonts w:ascii="Arial" w:eastAsia="Arial" w:hAnsi="Arial" w:cs="Arial"/>
          <w:bdr w:val="nil"/>
          <w:lang w:val="en-US"/>
        </w:rPr>
      </w:pPr>
    </w:p>
    <w:p w14:paraId="71F3DF49" w14:textId="77777777" w:rsidR="00401351" w:rsidRPr="00F05FBC" w:rsidRDefault="003A4815" w:rsidP="00F05FBC">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lang w:val="en-US"/>
        </w:rPr>
        <w:t xml:space="preserve">During 2015 we invested in a 50/50 joint venture with Wilhelmsen Ship Management which provides management services to a limited number of vessels in our fleet and to affiliated companies, but our eventual goal is to provide fleet management services to unaffiliated </w:t>
      </w:r>
      <w:r w:rsidR="00C9052D" w:rsidRPr="00F05FBC">
        <w:rPr>
          <w:rFonts w:ascii="Arial" w:eastAsia="Arial" w:hAnsi="Arial" w:cs="Arial"/>
          <w:lang w:val="en-US"/>
        </w:rPr>
        <w:t>third-party</w:t>
      </w:r>
      <w:r w:rsidRPr="00F05FBC">
        <w:rPr>
          <w:rFonts w:ascii="Arial" w:eastAsia="Arial" w:hAnsi="Arial" w:cs="Arial"/>
          <w:lang w:val="en-US"/>
        </w:rPr>
        <w:t xml:space="preserve"> vessel operators. While this joint venture may provide us in the future with a potential revenue source, it may also expose us to risks such as low customer satisfaction, increased operating costs compared to those we would achieve for our vessels, and inability to adequately staff our vessels with crew that meets our expectations or to maintain our vessels according to our standards, which would adversely affect our financial condition.</w:t>
      </w:r>
    </w:p>
    <w:p w14:paraId="71F3DF4A" w14:textId="77777777" w:rsidR="00B30489" w:rsidRPr="00F05FBC" w:rsidRDefault="00B30489" w:rsidP="00F05FBC">
      <w:pPr>
        <w:pBdr>
          <w:top w:val="nil"/>
          <w:left w:val="nil"/>
          <w:bottom w:val="nil"/>
          <w:right w:val="nil"/>
          <w:between w:val="nil"/>
          <w:bar w:val="nil"/>
        </w:pBdr>
        <w:jc w:val="both"/>
        <w:rPr>
          <w:rFonts w:ascii="Arial" w:eastAsia="Arial" w:hAnsi="Arial" w:cs="Arial"/>
          <w:bdr w:val="nil"/>
          <w:lang w:val="en-US"/>
        </w:rPr>
      </w:pPr>
    </w:p>
    <w:p w14:paraId="71F3DF4B" w14:textId="77777777" w:rsidR="00AD0F74"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bookmarkStart w:id="83" w:name="_Hlk130318794"/>
      <w:r w:rsidRPr="00F05FBC">
        <w:rPr>
          <w:rFonts w:ascii="Arial" w:eastAsia="Arial" w:hAnsi="Arial" w:cs="Arial"/>
          <w:szCs w:val="22"/>
          <w:lang w:val="en-US"/>
        </w:rPr>
        <w:t>A cyber-attack could materially disrupt our business.</w:t>
      </w:r>
    </w:p>
    <w:p w14:paraId="71F3DF4C" w14:textId="77777777" w:rsidR="009975C4" w:rsidRPr="00F05FBC" w:rsidRDefault="009975C4" w:rsidP="00DB4767">
      <w:pPr>
        <w:keepNext/>
        <w:keepLines/>
        <w:pBdr>
          <w:top w:val="nil"/>
          <w:left w:val="nil"/>
          <w:bottom w:val="nil"/>
          <w:right w:val="nil"/>
          <w:between w:val="nil"/>
          <w:bar w:val="nil"/>
        </w:pBdr>
        <w:jc w:val="both"/>
        <w:rPr>
          <w:rFonts w:ascii="Arial" w:eastAsia="Arial" w:hAnsi="Arial" w:cs="Arial"/>
          <w:bdr w:val="nil"/>
          <w:lang w:val="en-US"/>
        </w:rPr>
      </w:pPr>
    </w:p>
    <w:p w14:paraId="71F3DF4D" w14:textId="77777777" w:rsidR="00861FAD" w:rsidRPr="00601836" w:rsidRDefault="003A4815"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473C0A">
        <w:rPr>
          <w:rFonts w:ascii="Arial" w:eastAsia="Arial" w:hAnsi="Arial" w:cs="Arial"/>
          <w:lang w:val="en-US"/>
        </w:rPr>
        <w:t xml:space="preserve">We rely on information technology systems and networks in our operations and administration of our business, including navigation, provision of services, propulsion, machinery management, power control, communications and cargo management. We have in place safety and security measures on our vessels and onshore operations to </w:t>
      </w:r>
      <w:r>
        <w:rPr>
          <w:rFonts w:ascii="Arial" w:eastAsia="Arial" w:hAnsi="Arial" w:cs="Arial"/>
          <w:lang w:val="en-US"/>
        </w:rPr>
        <w:t>protect</w:t>
      </w:r>
      <w:r w:rsidRPr="00473C0A">
        <w:rPr>
          <w:rFonts w:ascii="Arial" w:eastAsia="Arial" w:hAnsi="Arial" w:cs="Arial"/>
          <w:lang w:val="en-US"/>
        </w:rPr>
        <w:t xml:space="preserve"> our vessels against cyber-security attacks and any disruption to their information systems.  Information systems are vulnerable to security breaches </w:t>
      </w:r>
      <w:r w:rsidR="002F3584" w:rsidRPr="002F3584">
        <w:rPr>
          <w:rFonts w:ascii="Arial" w:eastAsia="Arial" w:hAnsi="Arial" w:cs="Arial"/>
          <w:lang w:val="en-US"/>
        </w:rPr>
        <w:t>occurred from unauthorized access by various threat actors (e.g., hackers, terrorists, script kiddies, etc.)</w:t>
      </w:r>
      <w:r w:rsidRPr="00473C0A">
        <w:rPr>
          <w:rFonts w:ascii="Arial" w:eastAsia="Arial" w:hAnsi="Arial" w:cs="Arial"/>
          <w:lang w:val="en-US"/>
        </w:rPr>
        <w:t xml:space="preserve">. We rely on industry accepted security measures and technology to securely maintain confidential and proprietary information maintained on our information systems. However, these measures and </w:t>
      </w:r>
      <w:r w:rsidRPr="00601836">
        <w:rPr>
          <w:rFonts w:ascii="Arial" w:eastAsia="Arial" w:hAnsi="Arial" w:cs="Arial"/>
          <w:lang w:val="en-US"/>
        </w:rPr>
        <w:t xml:space="preserve">technology may not adequately prevent security breaches. Our business operations could be targeted by individuals or groups seeking to sabotage or disrupt our information technology systems and networks, or to steal data. A successful cyber-attack could materially disrupt our operations, including the safety of our operations, or lead to unauthorized release of information or alteration of information in our systems. Any such attack or other breach of our information technology systems could have a material adverse effect on our business and results of operations. In addition, the unavailability of the information systems or the failure of these systems to perform as anticipated for any reason could disrupt our business and could result in decreased performance and increased operating costs, causing our business and results of operations to suffer. We do not maintain cyber-liability insurance at this time to cover such losses. Any significant interruption or failure of our information systems or any significant breach of security could adversely affect our business and results of operations. </w:t>
      </w:r>
      <w:r w:rsidR="00BC6BC1" w:rsidRPr="00601836">
        <w:rPr>
          <w:rFonts w:ascii="Arial" w:eastAsia="Arial" w:hAnsi="Arial" w:cs="Arial"/>
          <w:lang w:val="en-US"/>
        </w:rPr>
        <w:t>W</w:t>
      </w:r>
      <w:r w:rsidRPr="00601836">
        <w:rPr>
          <w:rFonts w:ascii="Arial" w:eastAsia="Arial" w:hAnsi="Arial" w:cs="Arial"/>
          <w:lang w:val="en-US"/>
        </w:rPr>
        <w:t xml:space="preserve">e have taken extensive measures to enhance our security infrastructure, reform network architecture, and implement rigorous security policies, culminating in ISO 27001 certification. </w:t>
      </w:r>
      <w:r w:rsidR="002F3584" w:rsidRPr="002F3584">
        <w:rPr>
          <w:rFonts w:ascii="Arial" w:eastAsia="Arial" w:hAnsi="Arial" w:cs="Arial"/>
          <w:lang w:val="en-US"/>
        </w:rPr>
        <w:t>Key initiatives include conducting regular security testing, maintaining business continuity and disaster recovery capabilities, and operating incident response programs supported by a 24/7 Security Operations Center. We have also expanded our security awareness and training program to enhance employee vigilance against cyber threats</w:t>
      </w:r>
      <w:r w:rsidRPr="00601836">
        <w:rPr>
          <w:rFonts w:ascii="Arial" w:eastAsia="Arial" w:hAnsi="Arial" w:cs="Arial"/>
          <w:lang w:val="en-US"/>
        </w:rPr>
        <w:t>. Despite these improvements we cannot assure you that we will be able to successfully thwart all future attacks with</w:t>
      </w:r>
      <w:r w:rsidR="002F3584">
        <w:rPr>
          <w:rFonts w:ascii="Arial" w:eastAsia="Arial" w:hAnsi="Arial" w:cs="Arial"/>
          <w:lang w:val="en-US"/>
        </w:rPr>
        <w:t>out</w:t>
      </w:r>
      <w:r w:rsidRPr="00601836">
        <w:rPr>
          <w:rFonts w:ascii="Arial" w:eastAsia="Arial" w:hAnsi="Arial" w:cs="Arial"/>
          <w:lang w:val="en-US"/>
        </w:rPr>
        <w:t xml:space="preserve"> causing material and adverse effect on our business.</w:t>
      </w:r>
    </w:p>
    <w:p w14:paraId="71F3DF4E" w14:textId="77777777" w:rsidR="00473C0A" w:rsidRPr="00601836" w:rsidRDefault="00473C0A"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DF4F" w14:textId="77777777" w:rsidR="00B12992" w:rsidRPr="00601836" w:rsidRDefault="003A4815"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601836">
        <w:rPr>
          <w:rFonts w:ascii="Arial" w:eastAsia="Arial" w:hAnsi="Arial" w:cs="Arial"/>
          <w:lang w:val="en-US"/>
        </w:rPr>
        <w:t>Moreover, our risk of cyber-attacks and other sources of security breaches and incidents may be elevated as a result of the ongoing conflicts between Russia and Ukraine and the Israel-Hamas conflict. To the extent such attacks have collateral effects on global critical infrastructure or financial institutions, such developments could adversely affect our business, operating results and financial condition. At this time</w:t>
      </w:r>
      <w:r w:rsidR="001E5237" w:rsidRPr="00601836">
        <w:rPr>
          <w:rFonts w:ascii="Arial" w:eastAsia="Arial" w:hAnsi="Arial" w:cs="Arial"/>
          <w:lang w:val="en-US"/>
        </w:rPr>
        <w:t>,</w:t>
      </w:r>
      <w:r w:rsidRPr="00601836">
        <w:rPr>
          <w:rFonts w:ascii="Arial" w:eastAsia="Arial" w:hAnsi="Arial" w:cs="Arial"/>
          <w:lang w:val="en-US"/>
        </w:rPr>
        <w:t xml:space="preserve"> it is difficult to assess the likelihood of such </w:t>
      </w:r>
      <w:r w:rsidR="00993D23" w:rsidRPr="00601836">
        <w:rPr>
          <w:rFonts w:ascii="Arial" w:eastAsia="Arial" w:hAnsi="Arial" w:cs="Arial"/>
          <w:lang w:val="en-US"/>
        </w:rPr>
        <w:t>a threat</w:t>
      </w:r>
      <w:r w:rsidRPr="00601836">
        <w:rPr>
          <w:rFonts w:ascii="Arial" w:eastAsia="Arial" w:hAnsi="Arial" w:cs="Arial"/>
          <w:lang w:val="en-US"/>
        </w:rPr>
        <w:t xml:space="preserve"> and any potential impact.</w:t>
      </w:r>
    </w:p>
    <w:p w14:paraId="71F3DF50" w14:textId="77777777" w:rsidR="00B12992" w:rsidRPr="00601836" w:rsidRDefault="00B12992"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DF51" w14:textId="77777777" w:rsidR="00F90C84" w:rsidRPr="00601836" w:rsidRDefault="003A4815" w:rsidP="00F90C84">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601836">
        <w:rPr>
          <w:rFonts w:ascii="Arial" w:eastAsia="Arial" w:hAnsi="Arial" w:cs="Arial"/>
          <w:lang w:val="en-US"/>
        </w:rPr>
        <w:t xml:space="preserve">As cyberattacks become increasingly sophisticated, and as tools and resources become more readily available to </w:t>
      </w:r>
      <w:r w:rsidR="002F3584">
        <w:rPr>
          <w:rFonts w:ascii="Arial" w:eastAsia="Arial" w:hAnsi="Arial" w:cs="Arial"/>
          <w:lang w:val="en-US"/>
        </w:rPr>
        <w:t>attackers</w:t>
      </w:r>
      <w:r w:rsidRPr="00601836">
        <w:rPr>
          <w:rFonts w:ascii="Arial" w:eastAsia="Arial" w:hAnsi="Arial" w:cs="Arial"/>
          <w:lang w:val="en-US"/>
        </w:rPr>
        <w:t xml:space="preserve">, including the risk associated with the use of emerging technologies, such as artificial intelligence and quantum computing for nefarious purposes, there can be no guarantee that our actions, security measures and controls designed to prevent, detect or respond to intrusion, to limit access to data, to prevent destruction or alteration of data or to limit the negative impact from such attacks, can provide absolute security against compromise. </w:t>
      </w:r>
      <w:r w:rsidR="00F74085" w:rsidRPr="00F74085">
        <w:rPr>
          <w:rFonts w:ascii="Arial" w:eastAsia="Arial" w:hAnsi="Arial" w:cs="Arial"/>
          <w:lang w:val="en-US"/>
        </w:rPr>
        <w:t>In 2025, we initiated the creation of a draft AI policy to govern the usage of AI tools within the organization. Furthermore, we selected a training provider for an AI training workshop to upskill employees on the risks and benefits of AI technology. While we utilize AI-driven tools within our security stack (such as within our SIEM and SOC solutions), we continue to monitor the regulatory environment regarding AI disclosures and, at this stage, we do not expect AI to cause increased risk to our industry or business.</w:t>
      </w:r>
    </w:p>
    <w:p w14:paraId="71F3DF52" w14:textId="77777777" w:rsidR="00F90C84" w:rsidRPr="00601836" w:rsidRDefault="00F90C84" w:rsidP="00F90C84">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DF53" w14:textId="77777777" w:rsidR="00B12992" w:rsidRDefault="003A4815" w:rsidP="001E5237">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601836">
        <w:rPr>
          <w:rFonts w:ascii="Arial" w:eastAsia="Arial" w:hAnsi="Arial" w:cs="Arial"/>
          <w:lang w:val="en-US"/>
        </w:rPr>
        <w:t>Even without actual breaches of information security, protection against</w:t>
      </w:r>
      <w:r w:rsidR="005E7EAC" w:rsidRPr="00601836">
        <w:rPr>
          <w:rFonts w:ascii="Arial" w:eastAsia="Arial" w:hAnsi="Arial" w:cs="Arial"/>
          <w:lang w:val="en-US"/>
        </w:rPr>
        <w:t xml:space="preserve"> </w:t>
      </w:r>
      <w:r w:rsidRPr="00601836">
        <w:rPr>
          <w:rFonts w:ascii="Arial" w:eastAsia="Arial" w:hAnsi="Arial" w:cs="Arial"/>
          <w:lang w:val="en-US"/>
        </w:rPr>
        <w:t>increasingly sophisticated and prevalent cyberattacks may result in significant future prevention,</w:t>
      </w:r>
      <w:r w:rsidR="005E7EAC" w:rsidRPr="00601836">
        <w:rPr>
          <w:rFonts w:ascii="Arial" w:eastAsia="Arial" w:hAnsi="Arial" w:cs="Arial"/>
          <w:lang w:val="en-US"/>
        </w:rPr>
        <w:t xml:space="preserve"> </w:t>
      </w:r>
      <w:r w:rsidRPr="00601836">
        <w:rPr>
          <w:rFonts w:ascii="Arial" w:eastAsia="Arial" w:hAnsi="Arial" w:cs="Arial"/>
          <w:lang w:val="en-US"/>
        </w:rPr>
        <w:t xml:space="preserve">detection, response and management costs, or other costs, including the deployment of additional cybersecurity technologies, engaging third-party experts, deploying additional personnel and training employees. Further, as </w:t>
      </w:r>
      <w:r w:rsidR="00993D23" w:rsidRPr="00601836">
        <w:rPr>
          <w:rFonts w:ascii="Arial" w:eastAsia="Arial" w:hAnsi="Arial" w:cs="Arial"/>
          <w:lang w:val="en-US"/>
        </w:rPr>
        <w:t>cyber threats</w:t>
      </w:r>
      <w:r w:rsidRPr="00601836">
        <w:rPr>
          <w:rFonts w:ascii="Arial" w:eastAsia="Arial" w:hAnsi="Arial" w:cs="Arial"/>
          <w:lang w:val="en-US"/>
        </w:rPr>
        <w:t xml:space="preserve"> are continually evolving, our controls and procedures</w:t>
      </w:r>
      <w:r w:rsidRPr="00F05FBC">
        <w:rPr>
          <w:rFonts w:ascii="Arial" w:eastAsia="Arial" w:hAnsi="Arial" w:cs="Arial"/>
          <w:lang w:val="en-US"/>
        </w:rPr>
        <w:t xml:space="preserve"> may become inadequate, and we may be required to devote additional resources to modify or enhance our systems in the future. Such expenses could have a material adverse effect on our future performance, results of operations, cash flows and financial position.</w:t>
      </w:r>
    </w:p>
    <w:p w14:paraId="71F3DF54" w14:textId="77777777" w:rsidR="00861FAD" w:rsidRDefault="00861FAD"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DF55" w14:textId="77777777" w:rsidR="00180B9D" w:rsidRDefault="003A4815" w:rsidP="00180B9D">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Pr>
          <w:rFonts w:ascii="Arial" w:eastAsia="Arial" w:hAnsi="Arial" w:cs="Arial"/>
          <w:lang w:val="en-US"/>
        </w:rPr>
        <w:t xml:space="preserve">Further, in July 2023, the SEC adopted amendments to its rules on cybersecurity risk management, strategy, governance, and incident disclosure. The </w:t>
      </w:r>
      <w:r w:rsidR="00993D23">
        <w:rPr>
          <w:rFonts w:ascii="Arial" w:eastAsia="Arial" w:hAnsi="Arial" w:cs="Arial"/>
          <w:lang w:val="en-US"/>
        </w:rPr>
        <w:t>amendments</w:t>
      </w:r>
      <w:r>
        <w:rPr>
          <w:rFonts w:ascii="Arial" w:eastAsia="Arial" w:hAnsi="Arial" w:cs="Arial"/>
          <w:lang w:val="en-US"/>
        </w:rPr>
        <w:t xml:space="preserve"> require us to report material cybersecurity incidents involving our information systems and periodic reporting regarding our policies and procedures to identify and manage cybersecurity risks, amongst other disclosures. </w:t>
      </w:r>
      <w:r w:rsidRPr="00B86254">
        <w:rPr>
          <w:rFonts w:ascii="Arial" w:eastAsia="Arial" w:hAnsi="Arial" w:cs="Arial"/>
          <w:lang w:val="en-US"/>
        </w:rPr>
        <w:t>A failure to disclosure could result in the imposition of injunctions, fines and other penalties by the SEC. Complying with these obligations could cause us to incur substantial costs and could increase negative publicity surrounding any cybersecurity incident. During the year ended December 31, 202</w:t>
      </w:r>
      <w:r w:rsidR="00F90C84">
        <w:rPr>
          <w:rFonts w:ascii="Arial" w:eastAsia="Arial" w:hAnsi="Arial" w:cs="Arial"/>
          <w:lang w:val="en-US"/>
        </w:rPr>
        <w:t>5</w:t>
      </w:r>
      <w:r w:rsidRPr="00B86254">
        <w:rPr>
          <w:rFonts w:ascii="Arial" w:eastAsia="Arial" w:hAnsi="Arial" w:cs="Arial"/>
          <w:lang w:val="en-US"/>
        </w:rPr>
        <w:t>, we did not identify any cybersecurity threats that have materially affected or are reasonably likely to materially affect our business strategy, results of operations, or financial condition.</w:t>
      </w:r>
    </w:p>
    <w:p w14:paraId="71F3DF56" w14:textId="77777777" w:rsidR="00180B9D" w:rsidRPr="00180B9D" w:rsidRDefault="00180B9D" w:rsidP="00180B9D">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DF57" w14:textId="77777777" w:rsidR="00861FAD" w:rsidRDefault="003A4815" w:rsidP="00180B9D">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180B9D">
        <w:rPr>
          <w:rFonts w:ascii="Arial" w:eastAsia="Arial" w:hAnsi="Arial" w:cs="Arial"/>
          <w:lang w:val="en-US"/>
        </w:rPr>
        <w:t xml:space="preserve">For more information on our cybersecurity policies, please see “Item 16K. </w:t>
      </w:r>
      <w:r w:rsidRPr="002858E5">
        <w:rPr>
          <w:rFonts w:ascii="Arial" w:eastAsia="Arial" w:hAnsi="Arial" w:cs="Arial"/>
          <w:lang w:val="en-US"/>
        </w:rPr>
        <w:t>Cybersecurity.”</w:t>
      </w:r>
    </w:p>
    <w:p w14:paraId="71F3DF58" w14:textId="77777777" w:rsidR="00861FAD" w:rsidRPr="00F05FBC" w:rsidRDefault="00861FAD" w:rsidP="00F05FBC">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bookmarkEnd w:id="83"/>
    <w:p w14:paraId="71F3DF59" w14:textId="77777777" w:rsidR="006922FC"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Climate change and greenhouse gas restrictions may adversely impact our operations and markets.</w:t>
      </w:r>
    </w:p>
    <w:p w14:paraId="71F3DF5A" w14:textId="77777777" w:rsidR="00637F06" w:rsidRPr="00F05FBC" w:rsidRDefault="00637F06" w:rsidP="00F05FBC">
      <w:pPr>
        <w:keepNext/>
        <w:keepLines/>
        <w:pBdr>
          <w:top w:val="nil"/>
          <w:left w:val="nil"/>
          <w:bottom w:val="nil"/>
          <w:right w:val="nil"/>
          <w:between w:val="nil"/>
          <w:bar w:val="nil"/>
        </w:pBdr>
        <w:jc w:val="both"/>
        <w:rPr>
          <w:rFonts w:ascii="Arial" w:eastAsia="Arial" w:hAnsi="Arial" w:cs="Arial"/>
          <w:b/>
          <w:i/>
          <w:bdr w:val="nil"/>
          <w:lang w:val="en-US"/>
        </w:rPr>
      </w:pPr>
    </w:p>
    <w:p w14:paraId="71F3DF5B" w14:textId="77777777" w:rsidR="006922FC"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 xml:space="preserve">Due to concern over the risk of climate change, a number of countries and the IMO have adopted, or are considering the adoption of, regulatory frameworks to reduce greenhouse gas emissions. These regulatory measures may include, among others, adoption of cap and trade regimes, carbon taxes, increased efficiency standards and incentives or mandates for renewable energy. </w:t>
      </w:r>
      <w:r>
        <w:rPr>
          <w:rFonts w:ascii="Arial" w:eastAsia="Arial" w:hAnsi="Arial" w:cs="Arial"/>
          <w:color w:val="000000"/>
          <w:lang w:val="en-US"/>
        </w:rPr>
        <w:t xml:space="preserve">In July 2023, </w:t>
      </w:r>
      <w:r w:rsidRPr="00F05FBC">
        <w:rPr>
          <w:rFonts w:ascii="Arial" w:eastAsia="Arial" w:hAnsi="Arial" w:cs="Arial"/>
          <w:color w:val="000000"/>
          <w:lang w:val="en-US"/>
        </w:rPr>
        <w:t xml:space="preserve">nations at </w:t>
      </w:r>
      <w:r>
        <w:rPr>
          <w:rFonts w:ascii="Arial" w:eastAsia="Arial" w:hAnsi="Arial" w:cs="Arial"/>
          <w:color w:val="000000"/>
          <w:lang w:val="en-US"/>
        </w:rPr>
        <w:t>the International Maritime Organization’s Marine Environment Protection Committee (“MEPC”) 80</w:t>
      </w:r>
      <w:r w:rsidRPr="00F05FBC">
        <w:rPr>
          <w:rFonts w:ascii="Arial" w:eastAsia="Arial" w:hAnsi="Arial" w:cs="Arial"/>
          <w:color w:val="000000"/>
          <w:lang w:val="en-US"/>
        </w:rPr>
        <w:t xml:space="preserve"> </w:t>
      </w:r>
      <w:r>
        <w:rPr>
          <w:rFonts w:ascii="Arial" w:eastAsia="Arial" w:hAnsi="Arial" w:cs="Arial"/>
          <w:color w:val="000000"/>
          <w:lang w:val="en-US"/>
        </w:rPr>
        <w:t>updated the</w:t>
      </w:r>
      <w:r w:rsidRPr="00F05FBC">
        <w:rPr>
          <w:rFonts w:ascii="Arial" w:eastAsia="Arial" w:hAnsi="Arial" w:cs="Arial"/>
          <w:color w:val="000000"/>
          <w:lang w:val="en-US"/>
        </w:rPr>
        <w:t xml:space="preserve"> initial strategy to reduce greenhouse gas emissions from ships. The initial strategy identifies levels of ambition to reducing greenhouse gas emissions, including (1) decreasing the carbon intensity from ships through implementation of further phases of the </w:t>
      </w:r>
      <w:r w:rsidR="00556F34" w:rsidRPr="00556F34">
        <w:rPr>
          <w:rFonts w:ascii="Arial" w:eastAsia="Arial" w:hAnsi="Arial" w:cs="Arial"/>
          <w:color w:val="000000"/>
          <w:lang w:val="en-US"/>
        </w:rPr>
        <w:t>Energy Efficiency Design Index</w:t>
      </w:r>
      <w:r w:rsidR="00556F34">
        <w:rPr>
          <w:rFonts w:ascii="Arial" w:eastAsia="Arial" w:hAnsi="Arial" w:cs="Arial"/>
          <w:color w:val="000000"/>
          <w:lang w:val="en-US"/>
        </w:rPr>
        <w:t xml:space="preserve"> (</w:t>
      </w:r>
      <w:r w:rsidRPr="00F05FBC">
        <w:rPr>
          <w:rFonts w:ascii="Arial" w:eastAsia="Arial" w:hAnsi="Arial" w:cs="Arial"/>
          <w:color w:val="000000"/>
          <w:lang w:val="en-US"/>
        </w:rPr>
        <w:t>EEDI</w:t>
      </w:r>
      <w:r w:rsidR="00556F34">
        <w:rPr>
          <w:rFonts w:ascii="Arial" w:eastAsia="Arial" w:hAnsi="Arial" w:cs="Arial"/>
          <w:color w:val="000000"/>
          <w:lang w:val="en-US"/>
        </w:rPr>
        <w:t>)</w:t>
      </w:r>
      <w:r w:rsidRPr="00F05FBC">
        <w:rPr>
          <w:rFonts w:ascii="Arial" w:eastAsia="Arial" w:hAnsi="Arial" w:cs="Arial"/>
          <w:color w:val="000000"/>
          <w:lang w:val="en-US"/>
        </w:rPr>
        <w:t xml:space="preserve"> for new ships; (2) reducing carbon dioxide emissions per transport work, as an average across international shipping, by at least </w:t>
      </w:r>
      <w:r>
        <w:rPr>
          <w:rFonts w:ascii="Arial" w:eastAsia="Arial" w:hAnsi="Arial" w:cs="Arial"/>
          <w:color w:val="000000"/>
          <w:lang w:val="en-US"/>
        </w:rPr>
        <w:t>2</w:t>
      </w:r>
      <w:r w:rsidRPr="00F05FBC">
        <w:rPr>
          <w:rFonts w:ascii="Arial" w:eastAsia="Arial" w:hAnsi="Arial" w:cs="Arial"/>
          <w:color w:val="000000"/>
          <w:lang w:val="en-US"/>
        </w:rPr>
        <w:t xml:space="preserve">0% by 2030, compared to 2008 emission levels; and (3) reducing the total annual greenhouse emissions by at least </w:t>
      </w:r>
      <w:r>
        <w:rPr>
          <w:rFonts w:ascii="Arial" w:eastAsia="Arial" w:hAnsi="Arial" w:cs="Arial"/>
          <w:color w:val="000000"/>
          <w:lang w:val="en-US"/>
        </w:rPr>
        <w:t>7</w:t>
      </w:r>
      <w:r w:rsidRPr="00F05FBC">
        <w:rPr>
          <w:rFonts w:ascii="Arial" w:eastAsia="Arial" w:hAnsi="Arial" w:cs="Arial"/>
          <w:color w:val="000000"/>
          <w:lang w:val="en-US"/>
        </w:rPr>
        <w:t>0% by 20</w:t>
      </w:r>
      <w:r>
        <w:rPr>
          <w:rFonts w:ascii="Arial" w:eastAsia="Arial" w:hAnsi="Arial" w:cs="Arial"/>
          <w:color w:val="000000"/>
          <w:lang w:val="en-US"/>
        </w:rPr>
        <w:t>4</w:t>
      </w:r>
      <w:r w:rsidRPr="00F05FBC">
        <w:rPr>
          <w:rFonts w:ascii="Arial" w:eastAsia="Arial" w:hAnsi="Arial" w:cs="Arial"/>
          <w:color w:val="000000"/>
          <w:lang w:val="en-US"/>
        </w:rPr>
        <w:t>0 compared to 2008 while pursuing efforts towards phasing them out entirely.</w:t>
      </w:r>
    </w:p>
    <w:p w14:paraId="71F3DF5C" w14:textId="77777777" w:rsidR="006922FC" w:rsidRPr="00F05FBC" w:rsidRDefault="006922FC"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5D" w14:textId="77777777" w:rsidR="006922FC"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bookmarkStart w:id="84" w:name="z_cp_text_1_121"/>
      <w:bookmarkEnd w:id="84"/>
      <w:r w:rsidRPr="00F05FBC">
        <w:rPr>
          <w:rFonts w:ascii="Arial" w:eastAsia="Arial" w:hAnsi="Arial" w:cs="Arial"/>
          <w:color w:val="000000"/>
          <w:lang w:val="en-US"/>
        </w:rPr>
        <w:t xml:space="preserve">Since January 1, 2020, ships have to either remove sulfur from emissions or buy fuel with low sulfur content, which may lead to increased costs and supplementary investments for ship owners. The interpretation of "fuel oil used on board" includes use in main engine, auxiliary engines and boilers. </w:t>
      </w:r>
      <w:r w:rsidR="00B12992" w:rsidRPr="00F05FBC">
        <w:rPr>
          <w:rFonts w:ascii="Arial" w:eastAsia="Arial" w:hAnsi="Arial" w:cs="Arial"/>
          <w:color w:val="000000"/>
          <w:lang w:val="en-US"/>
        </w:rPr>
        <w:t>We have elected to</w:t>
      </w:r>
      <w:r w:rsidRPr="00F05FBC">
        <w:rPr>
          <w:rFonts w:ascii="Arial" w:eastAsia="Arial" w:hAnsi="Arial" w:cs="Arial"/>
          <w:color w:val="000000"/>
          <w:lang w:val="en-US"/>
        </w:rPr>
        <w:t xml:space="preserve"> comply with this regulation by using 0.5% sulfur fuels on board, which are available around the world but</w:t>
      </w:r>
      <w:r w:rsidR="00B12992" w:rsidRPr="00F05FBC">
        <w:rPr>
          <w:rFonts w:ascii="Arial" w:eastAsia="Arial" w:hAnsi="Arial" w:cs="Arial"/>
          <w:color w:val="000000"/>
          <w:lang w:val="en-US"/>
        </w:rPr>
        <w:t xml:space="preserve"> often</w:t>
      </w:r>
      <w:r w:rsidRPr="00F05FBC">
        <w:rPr>
          <w:rFonts w:ascii="Arial" w:eastAsia="Arial" w:hAnsi="Arial" w:cs="Arial"/>
          <w:color w:val="000000"/>
          <w:lang w:val="en-US"/>
        </w:rPr>
        <w:t xml:space="preserve"> at a higher cost</w:t>
      </w:r>
      <w:r w:rsidR="00B12992" w:rsidRPr="00F05FBC">
        <w:rPr>
          <w:rFonts w:ascii="Arial" w:eastAsia="Arial" w:hAnsi="Arial" w:cs="Arial"/>
          <w:color w:val="000000"/>
          <w:lang w:val="en-US"/>
        </w:rPr>
        <w:t xml:space="preserve"> and may result in higher costs than other companies that elected to install scrubbers on their vessels.</w:t>
      </w:r>
    </w:p>
    <w:p w14:paraId="71F3DF5E" w14:textId="77777777" w:rsidR="006922FC" w:rsidRPr="00F05FBC" w:rsidRDefault="006922FC"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5F" w14:textId="77777777" w:rsidR="006922FC"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In addition, although the emissions of greenhouse gases from international shipping currently are not subject to the Kyoto Protocol to the United Nations Framework Convention on Climate Change, which required adopting countries to implement national programs to reduce emissions of certain gases, or the Paris Agreement (discussed further below), a new treaty may be adopted in the future that includes restrictions on shipping emissions. Compliance with changes in laws, regulations and obligations relating to climate change could increase our costs related to operating and maintaining our vessels and require us to install new emission controls, acquire allowances or pay taxes related to our greenhouse gas emissions or administer and manage a greenhouse gas emissions program. Revenue generation and strategic growth opportunities may also be adversely affected.</w:t>
      </w:r>
    </w:p>
    <w:p w14:paraId="71F3DF60" w14:textId="77777777" w:rsidR="00637F06" w:rsidRPr="00F05FBC" w:rsidRDefault="00637F06" w:rsidP="00F05FBC">
      <w:pPr>
        <w:pBdr>
          <w:top w:val="nil"/>
          <w:left w:val="nil"/>
          <w:bottom w:val="nil"/>
          <w:right w:val="nil"/>
          <w:between w:val="nil"/>
          <w:bar w:val="nil"/>
        </w:pBdr>
        <w:jc w:val="both"/>
        <w:rPr>
          <w:rFonts w:ascii="Arial" w:eastAsia="Arial" w:hAnsi="Arial" w:cs="Arial"/>
          <w:bdr w:val="nil"/>
          <w:lang w:val="en-US"/>
        </w:rPr>
      </w:pPr>
    </w:p>
    <w:p w14:paraId="71F3DF61" w14:textId="77777777" w:rsidR="006922FC" w:rsidRPr="00917C04" w:rsidRDefault="003A4815" w:rsidP="00917C04">
      <w:pPr>
        <w:pStyle w:val="Heading40"/>
        <w:pBdr>
          <w:top w:val="nil"/>
          <w:left w:val="nil"/>
          <w:bottom w:val="nil"/>
          <w:right w:val="nil"/>
          <w:between w:val="nil"/>
          <w:bar w:val="nil"/>
        </w:pBdr>
        <w:rPr>
          <w:rFonts w:ascii="Arial" w:eastAsia="Arial" w:hAnsi="Arial" w:cs="Arial"/>
          <w:szCs w:val="22"/>
          <w:bdr w:val="nil"/>
          <w:lang w:val="en-US"/>
        </w:rPr>
      </w:pPr>
      <w:r w:rsidRPr="00917C04">
        <w:rPr>
          <w:rFonts w:ascii="Arial" w:eastAsia="Arial" w:hAnsi="Arial" w:cs="Arial"/>
          <w:szCs w:val="22"/>
          <w:lang w:val="en-US"/>
        </w:rPr>
        <w:t>Increasing scrutiny and changing expectations from investors, lenders and other market participants with respect to our ESG policies may impose additional costs on us or expose us to additional risks.</w:t>
      </w:r>
    </w:p>
    <w:p w14:paraId="71F3DF62" w14:textId="77777777" w:rsidR="00637F06" w:rsidRPr="00917C04" w:rsidRDefault="00637F06" w:rsidP="00917C04">
      <w:pPr>
        <w:pBdr>
          <w:top w:val="nil"/>
          <w:left w:val="nil"/>
          <w:bottom w:val="nil"/>
          <w:right w:val="nil"/>
          <w:between w:val="nil"/>
          <w:bar w:val="nil"/>
        </w:pBdr>
        <w:jc w:val="both"/>
        <w:rPr>
          <w:rFonts w:ascii="Arial" w:eastAsia="Arial" w:hAnsi="Arial" w:cs="Arial"/>
          <w:bdr w:val="nil"/>
          <w:lang w:val="en-US"/>
        </w:rPr>
      </w:pPr>
    </w:p>
    <w:p w14:paraId="71F3DF63" w14:textId="77777777" w:rsidR="006922FC"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Companies across all industries are facing increasing scrutiny relating to their ESG policies. Investor advocacy groups, certain institutional investors, investment funds, lenders and other market participants</w:t>
      </w:r>
      <w:r w:rsidR="00F74085" w:rsidRPr="00F74085">
        <w:rPr>
          <w:rFonts w:ascii="Arial" w:eastAsia="Arial" w:hAnsi="Arial" w:cs="Arial"/>
          <w:color w:val="000000"/>
          <w:lang w:val="en-US"/>
        </w:rPr>
        <w:t>, particularly those outside the United States,</w:t>
      </w:r>
      <w:r w:rsidRPr="00F05FBC">
        <w:rPr>
          <w:rFonts w:ascii="Arial" w:eastAsia="Arial" w:hAnsi="Arial" w:cs="Arial"/>
          <w:color w:val="000000"/>
          <w:lang w:val="en-US"/>
        </w:rPr>
        <w:t xml:space="preserve"> are increasingly focused on ESG practices and in recent years have placed increasing importance on the implications and social cost of their investments. Companies which do not adapt to or comply with investor, lender or other industry shareholder expectations and standards, which are evolving, or which are perceived to have not responded appropriately to the growing concern for ESG issues, regardless of whether there is a legal requirement to do so, may suffer from reputational damage and the business, financial condition, and/or stock price of such a company could be materially and adversely affected.</w:t>
      </w:r>
    </w:p>
    <w:p w14:paraId="71F3DF64" w14:textId="77777777" w:rsidR="006C04C2" w:rsidRPr="00F05FBC" w:rsidRDefault="006C04C2" w:rsidP="00F05FBC">
      <w:pPr>
        <w:pBdr>
          <w:top w:val="nil"/>
          <w:left w:val="nil"/>
          <w:bottom w:val="nil"/>
          <w:right w:val="nil"/>
          <w:between w:val="nil"/>
          <w:bar w:val="nil"/>
        </w:pBdr>
        <w:jc w:val="both"/>
        <w:rPr>
          <w:rFonts w:ascii="Arial" w:eastAsia="Arial" w:hAnsi="Arial" w:cs="Arial"/>
          <w:color w:val="000000"/>
          <w:bdr w:val="nil"/>
          <w:lang w:val="en-US"/>
        </w:rPr>
      </w:pPr>
    </w:p>
    <w:p w14:paraId="71F3DF65" w14:textId="77777777" w:rsidR="00D40328"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We may face increasing pressures from investors,</w:t>
      </w:r>
      <w:r>
        <w:rPr>
          <w:rFonts w:ascii="Arial" w:eastAsia="Arial" w:hAnsi="Arial" w:cs="Arial"/>
          <w:color w:val="000000"/>
          <w:lang w:val="en-US"/>
        </w:rPr>
        <w:t xml:space="preserve"> future</w:t>
      </w:r>
      <w:r w:rsidRPr="00F05FBC">
        <w:rPr>
          <w:rFonts w:ascii="Arial" w:eastAsia="Arial" w:hAnsi="Arial" w:cs="Arial"/>
          <w:color w:val="000000"/>
          <w:lang w:val="en-US"/>
        </w:rPr>
        <w:t xml:space="preserve"> lenders and other market participants, who are increasingly focused on climate change, to prioritize sustainable energy practices, reduce our carbon footprint and promote sustainability. As a result, we may be required to implement more stringent ESG procedures or standards so that our existing and future investors and lenders remain invested in us and make further investments in us.</w:t>
      </w:r>
    </w:p>
    <w:p w14:paraId="71F3DF66" w14:textId="77777777" w:rsidR="006922FC" w:rsidRPr="00F05FBC" w:rsidRDefault="006922FC"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67" w14:textId="77777777" w:rsidR="006922FC"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Additionally, certain investors and lenders may exclude companies, such as us, from their investing portfolios altogether due to environmental, social and governance factors. These limitations in both the debt and equity capital markets may affect our ability to grow as our plans for growth may include accessing the equity and debt capital markets. If those markets are unavailable, or if we are unable to access alternative means of financing on acceptable terms, or at all, we may be unable to implement our business strategy, which would have a material adverse effect on our financial condition and results of operations and impair our ability to service our indebtedness. Further, it is likely that we will incur additional costs and require additional resources to monitor, report and comply with wide ranging ESG requirements. The occurrence of any of the foregoing could have a material adverse effect on our business and financial condition.</w:t>
      </w:r>
      <w:r w:rsidR="00F82AE6" w:rsidRPr="00F05FBC">
        <w:rPr>
          <w:rFonts w:ascii="Arial" w:eastAsia="Arial" w:hAnsi="Arial" w:cs="Arial"/>
          <w:color w:val="000000"/>
          <w:lang w:val="en-US"/>
        </w:rPr>
        <w:t xml:space="preserve"> </w:t>
      </w:r>
    </w:p>
    <w:p w14:paraId="71F3DF68" w14:textId="77777777" w:rsidR="009F3D69" w:rsidRPr="00F05FBC" w:rsidRDefault="009F3D69"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69" w14:textId="77777777" w:rsidR="009F3D69"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Moreover, from time to time, in alignment with our sustainability priorities, we may establish and publicly announce goals and commitments in respect of certain ESG items. While we may create and publish voluntary disclosures regarding ESG matters from time to time, many of the statements in those voluntary disclosures are based on hypothetical expectations and assumptions that may or may not be representative of current or actual risks or events or forecasts of expected risks or events, including the costs associated therewith. Such expectations and assumptions are necessarily uncertain and may be prone to error or subject to misinterpretation given the long timelines involved and the lack of an established single approach to identifying, measuring and reporting on many ESG matters. If we fail to achieve or improperly report on our progress toward achieving our environmental goals and commitments, the resulting negative publicity could adversely affect our reputation and/or our access to capital.</w:t>
      </w:r>
    </w:p>
    <w:p w14:paraId="71F3DF6A" w14:textId="77777777" w:rsidR="009F3D69" w:rsidRPr="00F05FBC" w:rsidRDefault="009F3D69" w:rsidP="00F05FBC">
      <w:pPr>
        <w:pBdr>
          <w:top w:val="nil"/>
          <w:left w:val="nil"/>
          <w:bottom w:val="nil"/>
          <w:right w:val="nil"/>
          <w:between w:val="nil"/>
          <w:bar w:val="nil"/>
        </w:pBdr>
        <w:shd w:val="clear" w:color="auto" w:fill="FFFFFF"/>
        <w:jc w:val="both"/>
        <w:rPr>
          <w:rFonts w:ascii="Arial" w:eastAsia="Arial" w:hAnsi="Arial" w:cs="Arial"/>
          <w:b/>
          <w:color w:val="000000"/>
          <w:bdr w:val="nil"/>
          <w:lang w:val="en-US"/>
        </w:rPr>
      </w:pPr>
    </w:p>
    <w:p w14:paraId="71F3DF6B"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Our earnings may be adversely affected if we are not able to take advantage of favorable charter rates.</w:t>
      </w:r>
    </w:p>
    <w:p w14:paraId="71F3DF6C" w14:textId="77777777" w:rsidR="00E95391" w:rsidRPr="00F05FBC" w:rsidRDefault="00E95391" w:rsidP="00F05FBC">
      <w:pPr>
        <w:keepNext/>
        <w:keepLines/>
        <w:pBdr>
          <w:top w:val="nil"/>
          <w:left w:val="nil"/>
          <w:bottom w:val="nil"/>
          <w:right w:val="nil"/>
          <w:between w:val="nil"/>
          <w:bar w:val="nil"/>
        </w:pBdr>
        <w:jc w:val="both"/>
        <w:rPr>
          <w:rFonts w:ascii="Arial" w:eastAsia="Arial" w:hAnsi="Arial" w:cs="Arial"/>
          <w:b/>
          <w:bCs/>
          <w:i/>
          <w:iCs/>
          <w:bdr w:val="nil"/>
          <w:lang w:val="en-US"/>
        </w:rPr>
      </w:pPr>
    </w:p>
    <w:p w14:paraId="71F3DF6D" w14:textId="77777777" w:rsidR="00AB416D"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 xml:space="preserve">We charter our dry bulk carriers to customers pursuant to short, medium or long-term time charters. However, as part of our business strategy, the majority of our vessels are currently fixed on </w:t>
      </w:r>
      <w:r w:rsidR="00601CB0">
        <w:rPr>
          <w:rFonts w:ascii="Arial" w:eastAsia="Arial" w:hAnsi="Arial" w:cs="Arial"/>
          <w:lang w:val="en-US"/>
        </w:rPr>
        <w:t xml:space="preserve">short to </w:t>
      </w:r>
      <w:r w:rsidRPr="00F05FBC">
        <w:rPr>
          <w:rFonts w:ascii="Arial" w:eastAsia="Arial" w:hAnsi="Arial" w:cs="Arial"/>
          <w:lang w:val="en-US"/>
        </w:rPr>
        <w:t>medium-term time charters. We may extend the charter periods for additional vessels in our fleet, including additional dry bulk carriers that we may purchase in the future, to take advantage of the relatively stable cash flow and high utilization rates that are associated with long-term time charters. While we believe that long-term charters provide us with relatively stable cash flows and higher utilization rates than shorter-term charters, our vessels that are committed to long-term charters may not be available for employment on short-term charters during periods of increasing short-term charter hire rates when these charters may be more profitable than long-term charters.</w:t>
      </w:r>
    </w:p>
    <w:p w14:paraId="71F3DF6E" w14:textId="77777777" w:rsidR="001E5237" w:rsidRDefault="001E5237" w:rsidP="00F05FBC">
      <w:pPr>
        <w:pBdr>
          <w:top w:val="nil"/>
          <w:left w:val="nil"/>
          <w:bottom w:val="nil"/>
          <w:right w:val="nil"/>
          <w:between w:val="nil"/>
          <w:bar w:val="nil"/>
        </w:pBdr>
        <w:suppressAutoHyphens/>
        <w:jc w:val="both"/>
        <w:rPr>
          <w:rFonts w:ascii="Arial" w:eastAsia="Arial" w:hAnsi="Arial" w:cs="Arial"/>
          <w:bdr w:val="nil"/>
          <w:lang w:val="en-US"/>
        </w:rPr>
      </w:pPr>
    </w:p>
    <w:p w14:paraId="71F3DF6F" w14:textId="77777777" w:rsidR="001E5237" w:rsidRPr="00F05FBC" w:rsidRDefault="003A4815" w:rsidP="001E5237">
      <w:pPr>
        <w:pBdr>
          <w:top w:val="nil"/>
          <w:left w:val="nil"/>
          <w:bottom w:val="nil"/>
          <w:right w:val="nil"/>
          <w:between w:val="nil"/>
          <w:bar w:val="nil"/>
        </w:pBdr>
        <w:suppressAutoHyphens/>
        <w:jc w:val="both"/>
        <w:rPr>
          <w:rFonts w:ascii="Arial" w:eastAsia="Arial" w:hAnsi="Arial" w:cs="Arial"/>
          <w:bdr w:val="nil"/>
          <w:lang w:val="en-US"/>
        </w:rPr>
      </w:pPr>
      <w:r w:rsidRPr="002858E5">
        <w:rPr>
          <w:rFonts w:ascii="Arial" w:eastAsia="Arial" w:hAnsi="Arial" w:cs="Arial"/>
          <w:lang w:val="en-US"/>
        </w:rPr>
        <w:t xml:space="preserve">At the expiration of our charters or if a charter terminates early for any reason or </w:t>
      </w:r>
      <w:r w:rsidR="00200081">
        <w:rPr>
          <w:rFonts w:ascii="Arial" w:eastAsia="Arial" w:hAnsi="Arial" w:cs="Arial"/>
          <w:lang w:val="en-US"/>
        </w:rPr>
        <w:t>when</w:t>
      </w:r>
      <w:r w:rsidRPr="002858E5">
        <w:rPr>
          <w:rFonts w:ascii="Arial" w:eastAsia="Arial" w:hAnsi="Arial" w:cs="Arial"/>
          <w:lang w:val="en-US"/>
        </w:rPr>
        <w:t xml:space="preserve"> we acquire vessels charter-free, we will need to charter or recharter our vessels. If an excess of vessels is available on the spot or short-term market at the time we are seeking to fix new longer-term charters, we may have difficulty entering into such charters at all or at profitable rates and for any term other than short term and, as a result, our cash flow may be subject to instability in the mid to long-term. In addition, it would be more difficult to fix relatively older vessels should there be an oversupply of younger vessels on the market. A depressed spot market may require us to enter into short-term spot charters based on prevailing market rates, which could result in a decrease in our cash flow.</w:t>
      </w:r>
    </w:p>
    <w:p w14:paraId="71F3DF70"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71" w14:textId="77777777" w:rsidR="003854A9"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cannot assure you that we will be able to borrow amounts under loan facilities and restrictive covenants in our loan facilities impose financial and other restrictions on us.</w:t>
      </w:r>
    </w:p>
    <w:p w14:paraId="71F3DF72" w14:textId="77777777" w:rsidR="00E95391" w:rsidRPr="00F05FBC" w:rsidRDefault="00E95391" w:rsidP="00F05FBC">
      <w:pPr>
        <w:keepNext/>
        <w:keepLines/>
        <w:pBdr>
          <w:top w:val="nil"/>
          <w:left w:val="nil"/>
          <w:bottom w:val="nil"/>
          <w:right w:val="nil"/>
          <w:between w:val="nil"/>
          <w:bar w:val="nil"/>
        </w:pBdr>
        <w:jc w:val="both"/>
        <w:rPr>
          <w:rFonts w:ascii="Arial" w:eastAsia="Arial" w:hAnsi="Arial" w:cs="Arial"/>
          <w:bdr w:val="nil"/>
          <w:lang w:val="en-US"/>
        </w:rPr>
      </w:pPr>
    </w:p>
    <w:p w14:paraId="71F3DF73" w14:textId="77777777" w:rsidR="003854A9"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Historically, w</w:t>
      </w:r>
      <w:r w:rsidR="009762DA" w:rsidRPr="00F05FBC">
        <w:rPr>
          <w:rFonts w:ascii="Arial" w:eastAsia="Arial" w:hAnsi="Arial" w:cs="Arial"/>
          <w:lang w:val="en-US"/>
        </w:rPr>
        <w:t>e have entered into several loan agreements to finance vessel acquisitions</w:t>
      </w:r>
      <w:r w:rsidRPr="00F05FBC">
        <w:rPr>
          <w:rFonts w:ascii="Arial" w:eastAsia="Arial" w:hAnsi="Arial" w:cs="Arial"/>
          <w:lang w:val="en-US"/>
        </w:rPr>
        <w:t xml:space="preserve">, </w:t>
      </w:r>
      <w:r w:rsidR="009762DA" w:rsidRPr="00F05FBC">
        <w:rPr>
          <w:rFonts w:ascii="Arial" w:eastAsia="Arial" w:hAnsi="Arial" w:cs="Arial"/>
          <w:lang w:val="en-US"/>
        </w:rPr>
        <w:t>the construction of newbuildings</w:t>
      </w:r>
      <w:r w:rsidRPr="00F05FBC">
        <w:rPr>
          <w:rFonts w:ascii="Arial" w:eastAsia="Arial" w:hAnsi="Arial" w:cs="Arial"/>
          <w:lang w:val="en-US"/>
        </w:rPr>
        <w:t xml:space="preserve"> and working capital</w:t>
      </w:r>
      <w:r w:rsidR="009762DA" w:rsidRPr="00F05FBC">
        <w:rPr>
          <w:rFonts w:ascii="Arial" w:eastAsia="Arial" w:hAnsi="Arial" w:cs="Arial"/>
          <w:lang w:val="en-US"/>
        </w:rPr>
        <w:t>. Our ability to borrow amounts under our facilities is subject to the execution of customary documentation relating to the facility, including security documents, satisfaction of certain customary conditions precedent and compliance with terms and conditions included in the loan documents. Prior to each drawdown, we are required, among other things, to provide the lender with acceptable valuations of the vessels in our fleet confirming that the vessels in our fleet have a minimum value and that the vessels in our fleet that secure our obligations under the facilities are sufficient to satisfy minimum security requirements. To the extent that we are not able to satisfy these requirements, including as a result of a decline in the value of our vessels, we may not be able to draw down the full amount under the facilities. We will also not be permitted to borrow amounts under the facilities if we experience a change of control.</w:t>
      </w:r>
    </w:p>
    <w:p w14:paraId="71F3DF74" w14:textId="77777777" w:rsidR="008F1FE7" w:rsidRPr="00F05FBC" w:rsidRDefault="008F1FE7" w:rsidP="00F05FBC">
      <w:pPr>
        <w:pBdr>
          <w:top w:val="nil"/>
          <w:left w:val="nil"/>
          <w:bottom w:val="nil"/>
          <w:right w:val="nil"/>
          <w:between w:val="nil"/>
          <w:bar w:val="nil"/>
        </w:pBdr>
        <w:suppressAutoHyphens/>
        <w:jc w:val="both"/>
        <w:rPr>
          <w:rFonts w:ascii="Arial" w:eastAsia="Arial" w:hAnsi="Arial" w:cs="Arial"/>
          <w:bdr w:val="nil"/>
          <w:lang w:val="en-US"/>
        </w:rPr>
      </w:pPr>
    </w:p>
    <w:p w14:paraId="71F3DF75" w14:textId="77777777" w:rsidR="008F1FE7"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The loan facilities also impose operating and financial restrictions on us. These restrictions may limit our ability to, among other things:</w:t>
      </w:r>
    </w:p>
    <w:p w14:paraId="71F3DF76" w14:textId="77777777" w:rsidR="008F1FE7" w:rsidRPr="00F05FBC" w:rsidRDefault="008F1FE7" w:rsidP="00F05FBC">
      <w:pPr>
        <w:pBdr>
          <w:top w:val="nil"/>
          <w:left w:val="nil"/>
          <w:bottom w:val="nil"/>
          <w:right w:val="nil"/>
          <w:between w:val="nil"/>
          <w:bar w:val="nil"/>
        </w:pBdr>
        <w:suppressAutoHyphens/>
        <w:jc w:val="both"/>
        <w:rPr>
          <w:rFonts w:ascii="Arial" w:eastAsia="Arial" w:hAnsi="Arial" w:cs="Arial"/>
          <w:bdr w:val="nil"/>
          <w:lang w:val="en-US"/>
        </w:rPr>
      </w:pPr>
    </w:p>
    <w:p w14:paraId="71F3DF77"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pay dividends</w:t>
      </w:r>
      <w:r w:rsidR="0061338D">
        <w:rPr>
          <w:rFonts w:ascii="Arial" w:eastAsia="Arial" w:hAnsi="Arial" w:cs="Arial"/>
        </w:rPr>
        <w:t xml:space="preserve"> </w:t>
      </w:r>
      <w:r w:rsidRPr="00F05FBC">
        <w:rPr>
          <w:rFonts w:ascii="Arial" w:eastAsia="Arial" w:hAnsi="Arial" w:cs="Arial"/>
        </w:rPr>
        <w:t>if there is a default under the loan facilities or if the payment of the dividend would result in a default or breach of a loan covenant</w:t>
      </w:r>
      <w:r w:rsidR="00F20FD0" w:rsidRPr="00F05FBC">
        <w:rPr>
          <w:rFonts w:ascii="Arial" w:eastAsia="Arial" w:hAnsi="Arial" w:cs="Arial"/>
        </w:rPr>
        <w:t>s</w:t>
      </w:r>
      <w:r w:rsidRPr="00F05FBC">
        <w:rPr>
          <w:rFonts w:ascii="Arial" w:eastAsia="Arial" w:hAnsi="Arial" w:cs="Arial"/>
        </w:rPr>
        <w:t>;</w:t>
      </w:r>
    </w:p>
    <w:p w14:paraId="71F3DF78"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79"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incur additional indebtedness, including through the issuance of guarantees;</w:t>
      </w:r>
    </w:p>
    <w:p w14:paraId="71F3DF7A"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7B" w14:textId="77777777" w:rsidR="00E95391" w:rsidRPr="0061338D" w:rsidRDefault="003A4815" w:rsidP="0061338D">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change the flag, class or management of our vessels</w:t>
      </w:r>
      <w:r w:rsidR="0061338D" w:rsidRPr="0061338D">
        <w:rPr>
          <w:rFonts w:ascii="Arial" w:eastAsia="Arial" w:hAnsi="Arial" w:cs="Arial"/>
        </w:rPr>
        <w:t>;</w:t>
      </w:r>
    </w:p>
    <w:p w14:paraId="71F3DF7C"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7D"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create liens on our assets;</w:t>
      </w:r>
    </w:p>
    <w:p w14:paraId="71F3DF7E"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7F"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sell our vessels;</w:t>
      </w:r>
    </w:p>
    <w:p w14:paraId="71F3DF80"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81"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enter into a time charter or consecutive voyage charters that have a term that exceeds, or which by virtue of any optional extensions may exceed a certain period;</w:t>
      </w:r>
    </w:p>
    <w:p w14:paraId="71F3DF82"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83"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merge or consolidate with, or transfer all or substantially all our assets to, another person; and</w:t>
      </w:r>
    </w:p>
    <w:p w14:paraId="71F3DF84" w14:textId="77777777" w:rsidR="00E95391" w:rsidRPr="00F05FBC" w:rsidRDefault="00E95391" w:rsidP="00F05FBC">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85" w14:textId="77777777" w:rsidR="00E95391" w:rsidRPr="00F05FBC" w:rsidRDefault="003A4815" w:rsidP="00F05FBC">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enter into a new line of business.</w:t>
      </w:r>
    </w:p>
    <w:p w14:paraId="71F3DF86"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87" w14:textId="77777777" w:rsidR="00E95391"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Therefore, we may need to seek permission from our lenders in order to engage in some corporate actions. Our lenders’ interests may be different from ours and we cannot guarantee that we will be able to obtain our lenders' permission when needed. This may limit our ability to finance our future operations, make acquisitions or pursue business opportunities.</w:t>
      </w:r>
    </w:p>
    <w:p w14:paraId="71F3DF88"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89"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cannot assure you that we will be able to refinance indebtedness incurred under our loan facilities and bond.</w:t>
      </w:r>
    </w:p>
    <w:p w14:paraId="71F3DF8A" w14:textId="77777777" w:rsidR="00E95391" w:rsidRPr="00F05FBC" w:rsidRDefault="00E95391" w:rsidP="00DB4767">
      <w:pPr>
        <w:keepNext/>
        <w:keepLines/>
        <w:pBdr>
          <w:top w:val="nil"/>
          <w:left w:val="nil"/>
          <w:bottom w:val="nil"/>
          <w:right w:val="nil"/>
          <w:between w:val="nil"/>
          <w:bar w:val="nil"/>
        </w:pBdr>
        <w:jc w:val="both"/>
        <w:rPr>
          <w:rFonts w:ascii="Arial" w:eastAsia="Arial" w:hAnsi="Arial" w:cs="Arial"/>
          <w:bdr w:val="nil"/>
          <w:lang w:val="en-US"/>
        </w:rPr>
      </w:pPr>
    </w:p>
    <w:p w14:paraId="71F3DF8B" w14:textId="77777777" w:rsidR="00BE415B"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cannot assure you that we will be able to refinance our indebtedness with equity offerings or otherwise, on terms that are acceptable to us or at all. If we are not able to refinance these amounts with the net proceeds of equity offerings or otherwise, on terms acceptable to us or at all, we will have to dedicate a greater portion of our cash flow from operations to pay the principal and interest of this indebtedness than if we were able to refinance such amounts. If we are not able to satisfy these obligations, we may have to undertake alternative financing plans. The actual or perceived credit quality of our charterers, any defaults by them, and the market value of our fleet, among other things, may materially affect our ability to obtain alternative financing. In addition, debt service payments under our loan facilities or alternative financing may limit funds otherwise available for working capital, capital expenditures and other purposes. If we are unable to meet our debt obligations, or if we otherwise default under our loan facilities or an alternative financing arrangement, our lenders could declare the debt, together with accrued interest and fees, to be immediately due and payable and foreclose on our fleet, which could result in the acceleration of other indebtedness that we may have at such time and the commencement of similar foreclosure proceedings by other lenders.</w:t>
      </w:r>
    </w:p>
    <w:p w14:paraId="71F3DF8C" w14:textId="77777777" w:rsidR="00BE415B" w:rsidRPr="00F05FBC" w:rsidRDefault="00BE415B" w:rsidP="00F05FBC">
      <w:pPr>
        <w:pBdr>
          <w:top w:val="nil"/>
          <w:left w:val="nil"/>
          <w:bottom w:val="nil"/>
          <w:right w:val="nil"/>
          <w:between w:val="nil"/>
          <w:bar w:val="nil"/>
        </w:pBdr>
        <w:suppressAutoHyphens/>
        <w:jc w:val="both"/>
        <w:rPr>
          <w:rFonts w:ascii="Arial" w:eastAsia="Arial" w:hAnsi="Arial" w:cs="Arial"/>
          <w:bdr w:val="nil"/>
          <w:lang w:val="en-US"/>
        </w:rPr>
      </w:pPr>
    </w:p>
    <w:p w14:paraId="71F3DF8D" w14:textId="77777777" w:rsidR="0072134B"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 xml:space="preserve">Purchasing and operating secondhand vessels may result in increased operating costs and reduced operating days, which may adversely affect our earnings. </w:t>
      </w:r>
    </w:p>
    <w:p w14:paraId="71F3DF8E" w14:textId="77777777" w:rsidR="00E95391" w:rsidRPr="00917C04" w:rsidRDefault="00E95391" w:rsidP="00917C04">
      <w:pPr>
        <w:pBdr>
          <w:top w:val="nil"/>
          <w:left w:val="nil"/>
          <w:bottom w:val="nil"/>
          <w:right w:val="nil"/>
          <w:between w:val="nil"/>
          <w:bar w:val="nil"/>
        </w:pBdr>
        <w:suppressAutoHyphens/>
        <w:jc w:val="both"/>
        <w:rPr>
          <w:rFonts w:ascii="Arial" w:eastAsia="Arial" w:hAnsi="Arial" w:cs="Arial"/>
          <w:bdr w:val="nil"/>
          <w:lang w:val="en-US"/>
        </w:rPr>
      </w:pPr>
    </w:p>
    <w:p w14:paraId="71F3DF8F" w14:textId="77777777" w:rsidR="00F17083" w:rsidRPr="00917C04" w:rsidRDefault="003A4815" w:rsidP="00917C04">
      <w:pPr>
        <w:pBdr>
          <w:top w:val="nil"/>
          <w:left w:val="nil"/>
          <w:bottom w:val="nil"/>
          <w:right w:val="nil"/>
          <w:between w:val="nil"/>
          <w:bar w:val="nil"/>
        </w:pBdr>
        <w:suppressAutoHyphens/>
        <w:jc w:val="both"/>
        <w:rPr>
          <w:rFonts w:ascii="Arial" w:eastAsia="Arial" w:hAnsi="Arial" w:cs="Arial"/>
          <w:bdr w:val="nil"/>
          <w:lang w:val="en-US"/>
        </w:rPr>
      </w:pPr>
      <w:r w:rsidRPr="00917C04">
        <w:rPr>
          <w:rFonts w:ascii="Arial" w:eastAsia="Arial" w:hAnsi="Arial" w:cs="Arial"/>
          <w:lang w:val="en-US"/>
        </w:rPr>
        <w:t>As part of our current business strategy to increase our owned fleet, we may acquire new and secondhand vessels. While we rigorously inspect previously owned or secondhand vessels prior to purchase, this does not provide us with the same knowledge about their condition and cost of any required (or anticipated) repairs that we would have had if these vessels had been built for and operated exclusively by us.</w:t>
      </w:r>
      <w:r w:rsidR="00F90C84">
        <w:rPr>
          <w:rFonts w:ascii="Arial" w:eastAsia="Arial" w:hAnsi="Arial" w:cs="Arial"/>
          <w:lang w:val="en-US"/>
        </w:rPr>
        <w:t xml:space="preserve"> </w:t>
      </w:r>
      <w:r w:rsidR="00F90C84" w:rsidRPr="00F90C84">
        <w:rPr>
          <w:rFonts w:ascii="Arial" w:eastAsia="Arial" w:hAnsi="Arial" w:cs="Arial"/>
          <w:lang w:val="en-US"/>
        </w:rPr>
        <w:t xml:space="preserve">Generally, we do not receive the benefit of warranties on secondhand vessels. </w:t>
      </w:r>
      <w:r w:rsidRPr="00917C04">
        <w:rPr>
          <w:rFonts w:ascii="Arial" w:eastAsia="Arial" w:hAnsi="Arial" w:cs="Arial"/>
          <w:lang w:val="en-US"/>
        </w:rPr>
        <w:t xml:space="preserve"> Accordingly, we may not discover defects or other problems with secondhand vessels prior to purchasing or chartering-in. Any such hidden defects or problems may be expensive to repair and may require us to put a vessel into drydock, which would reduce our fleet utilization and increase our operating costs. If a hidden defect or problem is not detected, it may result in accidents or other incidents for which we may become liable to third parties. The market prices of secondhand </w:t>
      </w:r>
      <w:r w:rsidR="004724A4">
        <w:rPr>
          <w:rFonts w:ascii="Arial" w:eastAsia="Arial" w:hAnsi="Arial" w:cs="Arial"/>
          <w:lang w:val="en-US"/>
        </w:rPr>
        <w:t xml:space="preserve">and newbuilt </w:t>
      </w:r>
      <w:r w:rsidRPr="00917C04">
        <w:rPr>
          <w:rFonts w:ascii="Arial" w:eastAsia="Arial" w:hAnsi="Arial" w:cs="Arial"/>
          <w:lang w:val="en-US"/>
        </w:rPr>
        <w:t>vessels also tend to fluctuate with changes in charter rates and</w:t>
      </w:r>
      <w:r w:rsidR="004724A4">
        <w:rPr>
          <w:rFonts w:ascii="Arial" w:eastAsia="Arial" w:hAnsi="Arial" w:cs="Arial"/>
          <w:lang w:val="en-US"/>
        </w:rPr>
        <w:t>,</w:t>
      </w:r>
      <w:r w:rsidRPr="00917C04">
        <w:rPr>
          <w:rFonts w:ascii="Arial" w:eastAsia="Arial" w:hAnsi="Arial" w:cs="Arial"/>
          <w:lang w:val="en-US"/>
        </w:rPr>
        <w:t xml:space="preserve"> if we sell the vessels, the sales prices may be less than their carrying values at that time.</w:t>
      </w:r>
    </w:p>
    <w:p w14:paraId="71F3DF90" w14:textId="77777777" w:rsidR="00F05FBC" w:rsidRPr="00917C04" w:rsidRDefault="00F05FBC" w:rsidP="00917C04">
      <w:pPr>
        <w:pBdr>
          <w:top w:val="nil"/>
          <w:left w:val="nil"/>
          <w:bottom w:val="nil"/>
          <w:right w:val="nil"/>
          <w:between w:val="nil"/>
          <w:bar w:val="nil"/>
        </w:pBdr>
        <w:suppressAutoHyphens/>
        <w:jc w:val="both"/>
        <w:rPr>
          <w:rFonts w:ascii="Arial" w:eastAsia="Arial" w:hAnsi="Arial" w:cs="Arial"/>
          <w:bdr w:val="nil"/>
          <w:lang w:val="en-US"/>
        </w:rPr>
      </w:pPr>
    </w:p>
    <w:p w14:paraId="71F3DF91" w14:textId="77777777" w:rsidR="00F17083" w:rsidRPr="00CF127B" w:rsidRDefault="003A4815" w:rsidP="00CF127B">
      <w:pPr>
        <w:pBdr>
          <w:top w:val="nil"/>
          <w:left w:val="nil"/>
          <w:bottom w:val="nil"/>
          <w:right w:val="nil"/>
          <w:between w:val="nil"/>
          <w:bar w:val="nil"/>
        </w:pBdr>
        <w:suppressAutoHyphens/>
        <w:jc w:val="both"/>
        <w:rPr>
          <w:rFonts w:ascii="Arial" w:eastAsia="Arial" w:hAnsi="Arial" w:cs="Arial"/>
          <w:bdr w:val="nil"/>
          <w:lang w:val="en-US"/>
        </w:rPr>
      </w:pPr>
      <w:r w:rsidRPr="00CF127B">
        <w:rPr>
          <w:rFonts w:ascii="Arial" w:eastAsia="Arial" w:hAnsi="Arial" w:cs="Arial"/>
          <w:lang w:val="en-US"/>
        </w:rPr>
        <w:t xml:space="preserve">In general, the costs to maintain a vessel in good operating condition increase with the age of the vessel. As of the date of this annual report, our fleet </w:t>
      </w:r>
      <w:r w:rsidR="00825DD8" w:rsidRPr="00F05FBC">
        <w:rPr>
          <w:rFonts w:ascii="Arial" w:eastAsia="Arial" w:hAnsi="Arial" w:cs="Arial"/>
          <w:lang w:val="en-US"/>
        </w:rPr>
        <w:t xml:space="preserve">consists of 38 vessels </w:t>
      </w:r>
      <w:r w:rsidR="00825DD8">
        <w:rPr>
          <w:rFonts w:ascii="Arial" w:eastAsia="Arial" w:hAnsi="Arial" w:cs="Arial"/>
          <w:lang w:val="en-US"/>
        </w:rPr>
        <w:t>of which 3</w:t>
      </w:r>
      <w:r w:rsidR="005D085A">
        <w:rPr>
          <w:rFonts w:ascii="Arial" w:eastAsia="Arial" w:hAnsi="Arial" w:cs="Arial"/>
          <w:lang w:val="en-US"/>
        </w:rPr>
        <w:t>6</w:t>
      </w:r>
      <w:r w:rsidR="004724A4">
        <w:rPr>
          <w:rFonts w:ascii="Arial" w:eastAsia="Arial" w:hAnsi="Arial" w:cs="Arial"/>
          <w:lang w:val="en-US"/>
        </w:rPr>
        <w:t xml:space="preserve"> vessels,</w:t>
      </w:r>
      <w:r w:rsidR="00825DD8" w:rsidRPr="00F05FBC">
        <w:rPr>
          <w:rFonts w:ascii="Arial" w:eastAsia="Arial" w:hAnsi="Arial" w:cs="Arial"/>
          <w:lang w:val="en-US"/>
        </w:rPr>
        <w:t xml:space="preserve"> owned and chartered-in,</w:t>
      </w:r>
      <w:r w:rsidR="004724A4">
        <w:rPr>
          <w:rFonts w:ascii="Arial" w:eastAsia="Arial" w:hAnsi="Arial" w:cs="Arial"/>
          <w:lang w:val="en-US"/>
        </w:rPr>
        <w:t xml:space="preserve"> are in operation,</w:t>
      </w:r>
      <w:r w:rsidR="00825DD8" w:rsidRPr="00F05FBC">
        <w:rPr>
          <w:rFonts w:ascii="Arial" w:eastAsia="Arial" w:hAnsi="Arial" w:cs="Arial"/>
          <w:lang w:val="en-US"/>
        </w:rPr>
        <w:t xml:space="preserve"> having a combined carrying capacity of 4.1 million dead weight tons, or dwt, and a weighted average age of 12.3 years</w:t>
      </w:r>
      <w:r w:rsidR="00825DD8">
        <w:rPr>
          <w:rFonts w:ascii="Arial" w:eastAsia="Arial" w:hAnsi="Arial" w:cs="Arial"/>
          <w:lang w:val="en-US"/>
        </w:rPr>
        <w:t xml:space="preserve"> and two vessels </w:t>
      </w:r>
      <w:r w:rsidR="00242D7D">
        <w:rPr>
          <w:rFonts w:ascii="Arial" w:eastAsia="Arial" w:hAnsi="Arial" w:cs="Arial"/>
          <w:lang w:val="en-US"/>
        </w:rPr>
        <w:t xml:space="preserve">are </w:t>
      </w:r>
      <w:r w:rsidR="00825DD8">
        <w:rPr>
          <w:rFonts w:ascii="Arial" w:eastAsia="Arial" w:hAnsi="Arial" w:cs="Arial"/>
          <w:lang w:val="en-US"/>
        </w:rPr>
        <w:t>under construction</w:t>
      </w:r>
      <w:r w:rsidRPr="00CF127B">
        <w:rPr>
          <w:rFonts w:ascii="Arial" w:eastAsia="Arial" w:hAnsi="Arial" w:cs="Arial"/>
          <w:lang w:val="en-US"/>
        </w:rPr>
        <w:t>. As our fleet ages, we will incur increased costs. Older vessels are typically less fuel-efficient than more recently constructed vessels due to improvements in engine technology. Cargo insurance rates increase with the age of a vessel, making older vessels less desirable to charterers.</w:t>
      </w:r>
    </w:p>
    <w:p w14:paraId="71F3DF92" w14:textId="77777777" w:rsidR="00F05FBC" w:rsidRPr="00CF127B" w:rsidRDefault="00F05FBC" w:rsidP="00CF127B">
      <w:pPr>
        <w:pBdr>
          <w:top w:val="nil"/>
          <w:left w:val="nil"/>
          <w:bottom w:val="nil"/>
          <w:right w:val="nil"/>
          <w:between w:val="nil"/>
          <w:bar w:val="nil"/>
        </w:pBdr>
        <w:suppressAutoHyphens/>
        <w:jc w:val="both"/>
        <w:rPr>
          <w:rFonts w:ascii="Arial" w:eastAsia="Arial" w:hAnsi="Arial" w:cs="Arial"/>
          <w:bdr w:val="nil"/>
          <w:lang w:val="en-US"/>
        </w:rPr>
      </w:pPr>
    </w:p>
    <w:p w14:paraId="71F3DF93" w14:textId="77777777" w:rsidR="00F17083" w:rsidRPr="00CF127B" w:rsidRDefault="003A4815" w:rsidP="00CF127B">
      <w:pPr>
        <w:pBdr>
          <w:top w:val="nil"/>
          <w:left w:val="nil"/>
          <w:bottom w:val="nil"/>
          <w:right w:val="nil"/>
          <w:between w:val="nil"/>
          <w:bar w:val="nil"/>
        </w:pBdr>
        <w:suppressAutoHyphens/>
        <w:jc w:val="both"/>
        <w:rPr>
          <w:rFonts w:ascii="Arial" w:eastAsia="Arial" w:hAnsi="Arial" w:cs="Arial"/>
          <w:bdr w:val="nil"/>
          <w:lang w:val="en-US"/>
        </w:rPr>
      </w:pPr>
      <w:r w:rsidRPr="00CF127B">
        <w:rPr>
          <w:rFonts w:ascii="Arial" w:eastAsia="Arial" w:hAnsi="Arial" w:cs="Arial"/>
          <w:lang w:val="en-US"/>
        </w:rPr>
        <w:t>Furthermore, governmental regulations, safety or other equipment standards related to the age of vessels may require expenditures for alterations, or the addition of new equipment and may restrict the type of activities in which the vessel may engage. As our vessels age, market conditions may not justify those expenditures or enable us to operate our vessels profitably during the remainder of their useful</w:t>
      </w:r>
      <w:r w:rsidR="00825DD8" w:rsidRPr="00CF127B">
        <w:rPr>
          <w:rFonts w:ascii="Arial" w:eastAsia="Arial" w:hAnsi="Arial" w:cs="Arial"/>
          <w:lang w:val="en-US"/>
        </w:rPr>
        <w:t xml:space="preserve"> </w:t>
      </w:r>
      <w:r w:rsidRPr="00CF127B">
        <w:rPr>
          <w:rFonts w:ascii="Arial" w:eastAsia="Arial" w:hAnsi="Arial" w:cs="Arial"/>
          <w:lang w:val="en-US"/>
        </w:rPr>
        <w:t xml:space="preserve">lives. </w:t>
      </w:r>
      <w:r w:rsidR="00825DD8" w:rsidRPr="00CF127B">
        <w:rPr>
          <w:rFonts w:ascii="Arial" w:eastAsia="Arial" w:hAnsi="Arial" w:cs="Arial"/>
          <w:lang w:val="en-US"/>
        </w:rPr>
        <w:t>As a result, regulations and standards could have a material adverse effect on our business, financial condition, results of operations, cash flows and ability to pay dividends.</w:t>
      </w:r>
    </w:p>
    <w:p w14:paraId="71F3DF94" w14:textId="77777777" w:rsidR="00F05FBC" w:rsidRPr="00CF127B" w:rsidRDefault="00F05FBC" w:rsidP="00CF127B">
      <w:pPr>
        <w:pBdr>
          <w:top w:val="nil"/>
          <w:left w:val="nil"/>
          <w:bottom w:val="nil"/>
          <w:right w:val="nil"/>
          <w:between w:val="nil"/>
          <w:bar w:val="nil"/>
        </w:pBdr>
        <w:suppressAutoHyphens/>
        <w:jc w:val="both"/>
        <w:rPr>
          <w:rFonts w:ascii="Arial" w:eastAsia="Arial" w:hAnsi="Arial" w:cs="Arial"/>
          <w:bdr w:val="nil"/>
          <w:lang w:val="en-US"/>
        </w:rPr>
      </w:pPr>
    </w:p>
    <w:p w14:paraId="71F3DF95"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are subject to certain risks with respect to our counterparties on contracts, and failure of such counterparties to meet their obligations could cause us to suffer losses or otherwise adversely affect our business.</w:t>
      </w:r>
    </w:p>
    <w:p w14:paraId="71F3DF96" w14:textId="77777777" w:rsidR="00E95391" w:rsidRPr="00F05FBC" w:rsidRDefault="00E95391" w:rsidP="00DB4767">
      <w:pPr>
        <w:keepNext/>
        <w:keepLines/>
        <w:pBdr>
          <w:top w:val="nil"/>
          <w:left w:val="nil"/>
          <w:bottom w:val="nil"/>
          <w:right w:val="nil"/>
          <w:between w:val="nil"/>
          <w:bar w:val="nil"/>
        </w:pBdr>
        <w:jc w:val="both"/>
        <w:rPr>
          <w:rFonts w:ascii="Arial" w:eastAsia="Arial" w:hAnsi="Arial" w:cs="Arial"/>
          <w:bdr w:val="nil"/>
          <w:lang w:val="en-US"/>
        </w:rPr>
      </w:pPr>
    </w:p>
    <w:p w14:paraId="71F3DF97" w14:textId="77777777" w:rsidR="00FE1A96"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enter into, among other things, charter parties with our customers. Such agreements subject us to counterparty risks. The ability and willingness of each of our counterparties to perform its obligations under a contract with us will depend on a number of factors that are beyond our control and may include, among other things, general economic conditions, the condition of the maritime and offshore industries, the overall financial condition of the counterparty, charter rates received for specific types of vessels,</w:t>
      </w:r>
      <w:r w:rsidR="00825DD8">
        <w:rPr>
          <w:rFonts w:ascii="Arial" w:eastAsia="Arial" w:hAnsi="Arial" w:cs="Arial"/>
          <w:lang w:val="en-US"/>
        </w:rPr>
        <w:t xml:space="preserve"> </w:t>
      </w:r>
      <w:r w:rsidR="00825DD8" w:rsidRPr="00825DD8">
        <w:rPr>
          <w:rFonts w:ascii="Arial" w:eastAsia="Arial" w:hAnsi="Arial" w:cs="Arial"/>
          <w:lang w:val="en-US"/>
        </w:rPr>
        <w:t>work stoppages or other labor disturbances</w:t>
      </w:r>
      <w:r w:rsidRPr="00F05FBC">
        <w:rPr>
          <w:rFonts w:ascii="Arial" w:eastAsia="Arial" w:hAnsi="Arial" w:cs="Arial"/>
          <w:lang w:val="en-US"/>
        </w:rPr>
        <w:t xml:space="preserve"> and various expenses. Should a counterparty fail to honor its obligations under agreements with us, we could sustain significant losses, which could have a material adverse effect on our business, financial condition, results of operations and cash flows.</w:t>
      </w:r>
    </w:p>
    <w:p w14:paraId="71F3DF98" w14:textId="77777777" w:rsidR="00FE1A96" w:rsidRPr="00F05FBC" w:rsidRDefault="00FE1A96" w:rsidP="00F05FBC">
      <w:pPr>
        <w:pBdr>
          <w:top w:val="nil"/>
          <w:left w:val="nil"/>
          <w:bottom w:val="nil"/>
          <w:right w:val="nil"/>
          <w:between w:val="nil"/>
          <w:bar w:val="nil"/>
        </w:pBdr>
        <w:suppressAutoHyphens/>
        <w:jc w:val="both"/>
        <w:rPr>
          <w:rFonts w:ascii="Arial" w:eastAsia="Arial" w:hAnsi="Arial" w:cs="Arial"/>
          <w:bdr w:val="nil"/>
          <w:lang w:val="en-US"/>
        </w:rPr>
      </w:pPr>
    </w:p>
    <w:p w14:paraId="71F3DF99" w14:textId="77777777" w:rsidR="00FE1A96" w:rsidRPr="00F05FBC" w:rsidRDefault="003A4815" w:rsidP="00825DD8">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In addition, in depressed market conditions, our charterers may no longer need a vessel that is currently under charter or may be able to obtain a comparable vessel at lower rates. As a result, charterers may seek to renegotiate the terms of their existing charter agreements or avoid their obligations under those contracts.</w:t>
      </w:r>
      <w:r w:rsidR="00825DD8">
        <w:rPr>
          <w:rFonts w:ascii="Arial" w:eastAsia="Arial" w:hAnsi="Arial" w:cs="Arial"/>
          <w:lang w:val="en-US"/>
        </w:rPr>
        <w:t xml:space="preserve"> </w:t>
      </w:r>
      <w:r w:rsidR="00825DD8" w:rsidRPr="00825DD8">
        <w:rPr>
          <w:rFonts w:ascii="Arial" w:eastAsia="Arial" w:hAnsi="Arial" w:cs="Arial"/>
          <w:lang w:val="en-US"/>
        </w:rPr>
        <w:t>Furthermore, it is possible that parties with whom we have charter contracts may be impacted</w:t>
      </w:r>
      <w:r w:rsidR="00825DD8">
        <w:rPr>
          <w:rFonts w:ascii="Arial" w:eastAsia="Arial" w:hAnsi="Arial" w:cs="Arial"/>
          <w:lang w:val="en-US"/>
        </w:rPr>
        <w:t xml:space="preserve"> </w:t>
      </w:r>
      <w:r w:rsidR="00825DD8" w:rsidRPr="00825DD8">
        <w:rPr>
          <w:rFonts w:ascii="Arial" w:eastAsia="Arial" w:hAnsi="Arial" w:cs="Arial"/>
          <w:lang w:val="en-US"/>
        </w:rPr>
        <w:t>by events in Russia and Ukraine and in the Middle East, including in the Red Sea area, and any</w:t>
      </w:r>
      <w:r w:rsidR="00825DD8">
        <w:rPr>
          <w:rFonts w:ascii="Arial" w:eastAsia="Arial" w:hAnsi="Arial" w:cs="Arial"/>
          <w:lang w:val="en-US"/>
        </w:rPr>
        <w:t xml:space="preserve"> </w:t>
      </w:r>
      <w:r w:rsidR="00825DD8" w:rsidRPr="00825DD8">
        <w:rPr>
          <w:rFonts w:ascii="Arial" w:eastAsia="Arial" w:hAnsi="Arial" w:cs="Arial"/>
          <w:lang w:val="en-US"/>
        </w:rPr>
        <w:t>resulting</w:t>
      </w:r>
      <w:r w:rsidR="00825DD8">
        <w:rPr>
          <w:rFonts w:ascii="Arial" w:eastAsia="Arial" w:hAnsi="Arial" w:cs="Arial"/>
          <w:lang w:val="en-US"/>
        </w:rPr>
        <w:t xml:space="preserve"> </w:t>
      </w:r>
      <w:r w:rsidR="00825DD8" w:rsidRPr="00825DD8">
        <w:rPr>
          <w:rFonts w:ascii="Arial" w:eastAsia="Arial" w:hAnsi="Arial" w:cs="Arial"/>
          <w:lang w:val="en-US"/>
        </w:rPr>
        <w:t>sanctions.</w:t>
      </w:r>
      <w:r w:rsidRPr="00F05FBC">
        <w:rPr>
          <w:rFonts w:ascii="Arial" w:eastAsia="Arial" w:hAnsi="Arial" w:cs="Arial"/>
          <w:lang w:val="en-US"/>
        </w:rPr>
        <w:t xml:space="preserve"> If our charterers fail to meet their obligations to us or attempt to renegotiate our charter agreements, it may be difficult to secure substitute employment for such vessels, and any new charter arrangements we secure may be at lower rates. As a result, we could sustain significant losses, which could have a material adverse effect on our business, financial condition, results of operations and cash flows. </w:t>
      </w:r>
    </w:p>
    <w:p w14:paraId="71F3DF9A"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9B" w14:textId="77777777" w:rsidR="00866957"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In the highly competitive international shipping industry, we may not be able to compete for charters with new entrants or established companies with greater resources, and as a result, we may be unable to employ our vessels profitably.</w:t>
      </w:r>
    </w:p>
    <w:p w14:paraId="71F3DF9C"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dr w:val="nil"/>
          <w:lang w:val="en-US"/>
        </w:rPr>
      </w:pPr>
    </w:p>
    <w:p w14:paraId="71F3DF9D" w14:textId="77777777" w:rsidR="00F17083" w:rsidRDefault="003A4815" w:rsidP="00F05FBC">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bdr w:val="none" w:sz="0" w:space="0" w:color="auto" w:frame="1"/>
          <w:lang w:val="en-US"/>
        </w:rPr>
        <w:t>The operation of dry bulk vessels and transportation of dry bulk cargoes is extremely competitive and fragmented. Competition for the transportation of dry bulk cargoes by sea is intense and depends on price, location, size, age, condition and the acceptability of the vessel and its operators to the charterers. Competition arises primarily from other vessel owners, some of whom have substantially greater resources than we do. Due in part to the highly fragmented market, competitors with greater resources than us could enter the dry bulk shipping industry and operate larger fleets through consolidations or acquisitions and may be able to offer lower charter rates and higher quality vessels than we are able to offer. If we are unable to successfully compete with other dry bulk shipping companies, our results of operations may be adversely impacted.</w:t>
      </w:r>
    </w:p>
    <w:p w14:paraId="71F3DF9E" w14:textId="77777777" w:rsidR="00F05FBC" w:rsidRPr="00F05FBC" w:rsidRDefault="00F05FBC" w:rsidP="00F05FBC">
      <w:pPr>
        <w:pBdr>
          <w:top w:val="nil"/>
          <w:left w:val="nil"/>
          <w:bottom w:val="nil"/>
          <w:right w:val="nil"/>
          <w:between w:val="nil"/>
          <w:bar w:val="nil"/>
        </w:pBdr>
        <w:jc w:val="both"/>
        <w:rPr>
          <w:rFonts w:ascii="Arial" w:eastAsia="Arial" w:hAnsi="Arial" w:cs="Arial"/>
          <w:bdr w:val="nil"/>
          <w:lang w:val="en-US"/>
        </w:rPr>
      </w:pPr>
    </w:p>
    <w:p w14:paraId="71F3DF9F"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may be unable to attract and retain key management personnel and other employees in the shipping industry, which may negatively impact the effectiveness of our management and results of operations.</w:t>
      </w:r>
    </w:p>
    <w:p w14:paraId="71F3DFA0"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A1" w14:textId="77777777" w:rsidR="00E95391" w:rsidRPr="00F05FBC" w:rsidRDefault="003A4815" w:rsidP="00F05FBC">
      <w:pPr>
        <w:pBdr>
          <w:top w:val="nil"/>
          <w:left w:val="nil"/>
          <w:bottom w:val="nil"/>
          <w:right w:val="nil"/>
          <w:between w:val="nil"/>
          <w:bar w:val="nil"/>
        </w:pBdr>
        <w:suppressAutoHyphens/>
        <w:jc w:val="both"/>
        <w:rPr>
          <w:rFonts w:ascii="Arial" w:eastAsia="Arial" w:hAnsi="Arial" w:cs="Arial"/>
          <w:b/>
          <w:bdr w:val="nil"/>
          <w:lang w:val="en-US"/>
        </w:rPr>
      </w:pPr>
      <w:r w:rsidRPr="00F05FBC">
        <w:rPr>
          <w:rFonts w:ascii="Arial" w:eastAsia="Arial" w:hAnsi="Arial" w:cs="Arial"/>
          <w:lang w:val="en-US"/>
        </w:rPr>
        <w:t xml:space="preserve">Our success depends to a significant extent upon the abilities and efforts of our management team. Our success will depend upon our ability to retain key members of our management team and to hire new members as may be necessary. The loss of any of these individuals could adversely affect our business prospects and </w:t>
      </w:r>
      <w:r w:rsidRPr="007D149B">
        <w:rPr>
          <w:rFonts w:ascii="Arial" w:eastAsia="Arial" w:hAnsi="Arial" w:cs="Arial"/>
          <w:lang w:val="en-US"/>
        </w:rPr>
        <w:t>financial condition. Difficulty in hiring and retaining replacement personnel could have a similar effect. We do not currently, nor do we intend to, maintain “key man” life insurance on any of our officers or other members of our management team.</w:t>
      </w:r>
    </w:p>
    <w:p w14:paraId="71F3DFA2" w14:textId="77777777" w:rsidR="00B426D7" w:rsidRPr="00F05FBC" w:rsidRDefault="00B426D7" w:rsidP="00F05FBC">
      <w:pPr>
        <w:pBdr>
          <w:top w:val="nil"/>
          <w:left w:val="nil"/>
          <w:bottom w:val="nil"/>
          <w:right w:val="nil"/>
          <w:between w:val="nil"/>
          <w:bar w:val="nil"/>
        </w:pBdr>
        <w:suppressAutoHyphens/>
        <w:jc w:val="both"/>
        <w:rPr>
          <w:rFonts w:ascii="Arial" w:eastAsia="Arial" w:hAnsi="Arial" w:cs="Arial"/>
          <w:bdr w:val="nil"/>
          <w:lang w:val="en-US"/>
        </w:rPr>
      </w:pPr>
    </w:p>
    <w:p w14:paraId="71F3DFA3" w14:textId="77777777" w:rsidR="00B426D7" w:rsidRPr="00CF127B" w:rsidRDefault="003A4815" w:rsidP="00476909">
      <w:pPr>
        <w:pStyle w:val="Heading4"/>
        <w:keepLines/>
        <w:pBdr>
          <w:top w:val="nil"/>
          <w:left w:val="nil"/>
          <w:bottom w:val="nil"/>
          <w:right w:val="nil"/>
          <w:between w:val="nil"/>
          <w:bar w:val="nil"/>
        </w:pBdr>
        <w:rPr>
          <w:rFonts w:ascii="Arial" w:eastAsia="Arial" w:hAnsi="Arial" w:cs="Arial"/>
          <w:szCs w:val="22"/>
          <w:bdr w:val="nil"/>
          <w:lang w:val="en-US"/>
        </w:rPr>
      </w:pPr>
      <w:r w:rsidRPr="00CF127B">
        <w:rPr>
          <w:rFonts w:ascii="Arial" w:eastAsia="Arial" w:hAnsi="Arial" w:cs="Arial"/>
          <w:szCs w:val="22"/>
          <w:lang w:val="en-US"/>
        </w:rPr>
        <w:t>Technological innovation and quality and efficiency requirements from our customers could reduce our charter hire income</w:t>
      </w:r>
      <w:r>
        <w:rPr>
          <w:rFonts w:ascii="Arial" w:eastAsia="Arial" w:hAnsi="Arial" w:cs="Arial"/>
          <w:szCs w:val="22"/>
          <w:lang w:val="en-US"/>
        </w:rPr>
        <w:t xml:space="preserve"> </w:t>
      </w:r>
      <w:bookmarkStart w:id="85" w:name="_Hlk193275783"/>
      <w:r w:rsidRPr="00FE4EBA">
        <w:rPr>
          <w:rFonts w:ascii="Arial" w:eastAsia="Arial" w:hAnsi="Arial" w:cs="Arial"/>
          <w:szCs w:val="22"/>
          <w:lang w:val="en-US"/>
        </w:rPr>
        <w:t>and affect the demand</w:t>
      </w:r>
      <w:bookmarkEnd w:id="85"/>
      <w:r w:rsidRPr="00CF127B">
        <w:rPr>
          <w:rFonts w:ascii="Arial" w:eastAsia="Arial" w:hAnsi="Arial" w:cs="Arial"/>
          <w:szCs w:val="22"/>
          <w:lang w:val="en-US"/>
        </w:rPr>
        <w:t xml:space="preserve"> and the value of our vessels.</w:t>
      </w:r>
    </w:p>
    <w:p w14:paraId="71F3DFA4" w14:textId="77777777" w:rsidR="00B426D7" w:rsidRPr="00AA7F37" w:rsidRDefault="00B426D7" w:rsidP="00476909">
      <w:pPr>
        <w:keepLines/>
        <w:pBdr>
          <w:top w:val="nil"/>
          <w:left w:val="nil"/>
          <w:bottom w:val="nil"/>
          <w:right w:val="nil"/>
          <w:between w:val="nil"/>
          <w:bar w:val="nil"/>
        </w:pBdr>
        <w:suppressAutoHyphens/>
        <w:jc w:val="both"/>
        <w:rPr>
          <w:rFonts w:ascii="Arial" w:eastAsia="Arial" w:hAnsi="Arial" w:cs="Arial"/>
          <w:bdr w:val="nil"/>
          <w:lang w:val="en-US"/>
        </w:rPr>
      </w:pPr>
    </w:p>
    <w:p w14:paraId="71F3DFA5" w14:textId="77777777" w:rsidR="00F17083" w:rsidRDefault="003A4815" w:rsidP="00476909">
      <w:pPr>
        <w:keepLines/>
        <w:pBdr>
          <w:top w:val="nil"/>
          <w:left w:val="nil"/>
          <w:bottom w:val="nil"/>
          <w:right w:val="nil"/>
          <w:between w:val="nil"/>
          <w:bar w:val="nil"/>
        </w:pBdr>
        <w:suppressAutoHyphens/>
        <w:jc w:val="both"/>
        <w:rPr>
          <w:rFonts w:ascii="Arial" w:eastAsia="Arial" w:hAnsi="Arial" w:cs="Arial"/>
          <w:bdr w:val="nil"/>
          <w:lang w:val="en-US"/>
        </w:rPr>
      </w:pPr>
      <w:r w:rsidRPr="00AA7F37">
        <w:rPr>
          <w:rFonts w:ascii="Arial" w:eastAsia="Arial" w:hAnsi="Arial" w:cs="Arial"/>
          <w:lang w:val="en-US"/>
        </w:rPr>
        <w:t>Our customers have a high and increasing focus on quality and compliance standards with their suppliers across the entire supply chain, including the shipping and transportation segment. Our continued compliance with these standards and quality requirements is vital for our operations. The charter hire rates and the value and operational life of a vessel are determined by a number of factors including the vessel’s efficiency, operational flexibility and physical life. Efficiency includes speed, fuel economy and the ability to load and discharge cargo quickly. Flexibility includes the ability to enter harbors, utilize related docking facilities and pass through canals and straits. The length of a vessel’s physical life is related to its original design and construction, its maintenance and the impact of the stress of operations. We face competition from companies with more modern vessels having more fuel efficient designs than our vessels, or eco vessels, and if new dry bulk vessels are built that are more efficient or more flexible or have longer physical lives than the current vessels, competition from the current eco vessels and any more technologically advanced vessels could adversely affect the amount of charter hire payments we receive for our vessels and the resale value of our vessels could significantly decrease.</w:t>
      </w:r>
      <w:r w:rsidR="00825DD8" w:rsidRPr="00AA7F37">
        <w:rPr>
          <w:rFonts w:ascii="Arial" w:eastAsia="Arial" w:hAnsi="Arial" w:cs="Arial"/>
          <w:lang w:val="en-US"/>
        </w:rPr>
        <w:t xml:space="preserve"> In these circumstances, we may also be forced to charter our vessels to less creditworthy charterers, either because top tier charters will not charter older and less technologically advanced vessels or will only charter such vessels at lower contracted charter rates than we are able to obtain from these less creditworthy, second tier charterers.</w:t>
      </w:r>
      <w:r w:rsidRPr="00AA7F37">
        <w:rPr>
          <w:rFonts w:ascii="Arial" w:eastAsia="Arial" w:hAnsi="Arial" w:cs="Arial"/>
          <w:lang w:val="en-US"/>
        </w:rPr>
        <w:t xml:space="preserve"> </w:t>
      </w:r>
      <w:r w:rsidR="00CF127B" w:rsidRPr="00AA7F37">
        <w:rPr>
          <w:rFonts w:ascii="Arial" w:eastAsia="Arial" w:hAnsi="Arial" w:cs="Arial"/>
          <w:lang w:val="en-US"/>
        </w:rPr>
        <w:t>Similarly, technologically advanced vessels are needed to comply with environmental laws the investment in which along with the foregoing could have a material adverse effect on charter hire payments and resale value of vessels. This could have an adverse effect on our results of operations, cash flows, financial condition and ability to pay dividends.</w:t>
      </w:r>
      <w:r w:rsidRPr="00AA7F37">
        <w:rPr>
          <w:rFonts w:ascii="Arial" w:eastAsia="Arial" w:hAnsi="Arial" w:cs="Arial"/>
          <w:lang w:val="en-US"/>
        </w:rPr>
        <w:t xml:space="preserve"> </w:t>
      </w:r>
    </w:p>
    <w:p w14:paraId="71F3DFA6" w14:textId="77777777" w:rsidR="00FE4EBA" w:rsidRDefault="00FE4EBA" w:rsidP="00AA7F37">
      <w:pPr>
        <w:pBdr>
          <w:top w:val="nil"/>
          <w:left w:val="nil"/>
          <w:bottom w:val="nil"/>
          <w:right w:val="nil"/>
          <w:between w:val="nil"/>
          <w:bar w:val="nil"/>
        </w:pBdr>
        <w:suppressAutoHyphens/>
        <w:jc w:val="both"/>
        <w:rPr>
          <w:rFonts w:ascii="Arial" w:eastAsia="Arial" w:hAnsi="Arial" w:cs="Arial"/>
          <w:bdr w:val="nil"/>
          <w:lang w:val="en-US"/>
        </w:rPr>
      </w:pPr>
    </w:p>
    <w:p w14:paraId="71F3DFA7" w14:textId="77777777" w:rsidR="00FE4EBA" w:rsidRPr="00AA7F37" w:rsidRDefault="003A4815" w:rsidP="00FE4EBA">
      <w:pPr>
        <w:pBdr>
          <w:top w:val="nil"/>
          <w:left w:val="nil"/>
          <w:bottom w:val="nil"/>
          <w:right w:val="nil"/>
          <w:between w:val="nil"/>
          <w:bar w:val="nil"/>
        </w:pBdr>
        <w:suppressAutoHyphens/>
        <w:jc w:val="both"/>
        <w:rPr>
          <w:rFonts w:ascii="Arial" w:eastAsia="Arial" w:hAnsi="Arial" w:cs="Arial"/>
          <w:bdr w:val="nil"/>
          <w:lang w:val="en-US"/>
        </w:rPr>
      </w:pPr>
      <w:r w:rsidRPr="00FE4EBA">
        <w:rPr>
          <w:rFonts w:ascii="Arial" w:eastAsia="Arial" w:hAnsi="Arial" w:cs="Arial"/>
          <w:lang w:val="en-US"/>
        </w:rPr>
        <w:t xml:space="preserve">Developments in technology could also affect global trade flows and supply chains causing disruptions in the demand for our vessels. Decreasing the cost of labor through automation and digitization and increasing the consumers power to demand goods, technology is changing the business models and production of goods in many industries. Consequently, supply chains are being pulled closer to the end-customer and are required to be more responsive to changing demand patterns. As a result, fewer intermediate and raw inputs are traded, which could lead to a decrease in shipping activity. If automation and digitization become more commercially viable and/or production becomes more regional or local, total </w:t>
      </w:r>
      <w:r>
        <w:rPr>
          <w:rFonts w:ascii="Arial" w:eastAsia="Arial" w:hAnsi="Arial" w:cs="Arial"/>
          <w:lang w:val="en-US"/>
        </w:rPr>
        <w:t xml:space="preserve">dry-bulk </w:t>
      </w:r>
      <w:r w:rsidRPr="00FE4EBA">
        <w:rPr>
          <w:rFonts w:ascii="Arial" w:eastAsia="Arial" w:hAnsi="Arial" w:cs="Arial"/>
          <w:lang w:val="en-US"/>
        </w:rPr>
        <w:t>volumes would decrease, which would adversely affect demand for our services. Supply chain disruptions caused by geopolitical events, rising tariff barriers and environmental concerns may also accelerate these trends.</w:t>
      </w:r>
    </w:p>
    <w:p w14:paraId="71F3DFA8" w14:textId="77777777" w:rsidR="00F05FBC" w:rsidRPr="00AA7F37" w:rsidRDefault="00F05FBC" w:rsidP="00AA7F37">
      <w:pPr>
        <w:pBdr>
          <w:top w:val="nil"/>
          <w:left w:val="nil"/>
          <w:bottom w:val="nil"/>
          <w:right w:val="nil"/>
          <w:between w:val="nil"/>
          <w:bar w:val="nil"/>
        </w:pBdr>
        <w:suppressAutoHyphens/>
        <w:jc w:val="both"/>
        <w:rPr>
          <w:rFonts w:ascii="Arial" w:eastAsia="Arial" w:hAnsi="Arial" w:cs="Arial"/>
          <w:bdr w:val="nil"/>
          <w:lang w:val="en-US"/>
        </w:rPr>
      </w:pPr>
    </w:p>
    <w:p w14:paraId="71F3DFA9" w14:textId="77777777" w:rsidR="00F06D4C"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7D149B">
        <w:rPr>
          <w:rFonts w:ascii="Arial" w:eastAsia="Arial" w:hAnsi="Arial" w:cs="Arial"/>
          <w:szCs w:val="22"/>
          <w:lang w:val="en-US"/>
        </w:rPr>
        <w:t>We may not have adequate insurance to compensate us if we lose our vessels or to compensate third parties.</w:t>
      </w:r>
    </w:p>
    <w:p w14:paraId="71F3DFAA"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AB" w14:textId="77777777" w:rsidR="00E95391" w:rsidRPr="004139DA"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 xml:space="preserve">We procure insurance for our fleet against risks commonly insured against by vessel owners and operators. Our current insurance includes hull and machinery insurance, war risks insurance and protection and indemnity insurance (which includes environmental damage and pollution insurance). We can give no assurance that we are </w:t>
      </w:r>
      <w:r w:rsidRPr="005D1A2D">
        <w:rPr>
          <w:rFonts w:ascii="Arial" w:eastAsia="Arial" w:hAnsi="Arial" w:cs="Arial"/>
          <w:lang w:val="en-US"/>
        </w:rPr>
        <w:t>adequately insured against all risks or that our insurers will pay a particular claim. Even if our insurance coverage is adequate to cover our losses, we may not be able to timely obtain a replacement vessel in the event of a loss. Additionally, our insurers may refuse to pay particular claims and our insurance may be voidable by the insurers if we take, or fail to take, certain action, such as failing to maintain certification of our vessels with applicable maritime regulatory organizations. Furthermore, in the future, we may not be able to obtain adequate insurance coverage at reasonable rates for our fleet. We may also be subject to calls,</w:t>
      </w:r>
      <w:r w:rsidRPr="00F05FBC">
        <w:rPr>
          <w:rFonts w:ascii="Arial" w:eastAsia="Arial" w:hAnsi="Arial" w:cs="Arial"/>
          <w:lang w:val="en-US"/>
        </w:rPr>
        <w:t xml:space="preserve"> or premiums, in amounts based not only on our own claim records but also the claim records of all other members of the protection and indemnity associations through which we receive indemnity insurance coverage for tort liability. Our insurance policies also contain deductibles, limitations and exclusions which, although we believe are standard in the shipping industry, may nevertheless increase our costs.</w:t>
      </w:r>
      <w:r w:rsidR="004139DA">
        <w:rPr>
          <w:rFonts w:ascii="Arial" w:eastAsia="Arial" w:hAnsi="Arial" w:cs="Arial"/>
          <w:lang w:val="en-US"/>
        </w:rPr>
        <w:t xml:space="preserve"> </w:t>
      </w:r>
      <w:r w:rsidR="004139DA" w:rsidRPr="004139DA">
        <w:rPr>
          <w:rFonts w:ascii="Arial" w:eastAsia="Arial" w:hAnsi="Arial" w:cs="Arial"/>
          <w:lang w:val="en-US"/>
        </w:rPr>
        <w:t>In addition, we do not presently carry loss-of-hire insurance, which covers the loss of revenue during extended vessel off-hire periods, such as those that might occur during an unscheduled drydocking due to damage to the vessel from a major accident. Accordingly, any vessel that is off hire for an extended period of time, due to an accident or otherwise, could have a material adverse effect on our business, results of operations and financial condition.</w:t>
      </w:r>
    </w:p>
    <w:p w14:paraId="71F3DFAC"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AD"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are exposed to U.S. dollar and foreign currency fluctuations and devaluations that could harm results of operations.</w:t>
      </w:r>
    </w:p>
    <w:p w14:paraId="71F3DFAE"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AF" w14:textId="77777777" w:rsidR="00F17083" w:rsidRPr="00F05FBC" w:rsidRDefault="003A4815" w:rsidP="00861FAD">
      <w:pPr>
        <w:pBdr>
          <w:top w:val="nil"/>
          <w:left w:val="nil"/>
          <w:bottom w:val="nil"/>
          <w:right w:val="nil"/>
          <w:between w:val="nil"/>
          <w:bar w:val="nil"/>
        </w:pBdr>
        <w:jc w:val="both"/>
        <w:rPr>
          <w:rFonts w:ascii="Arial" w:eastAsia="Arial" w:hAnsi="Arial" w:cs="Arial"/>
          <w:bdr w:val="nil"/>
          <w:lang w:val="en-US"/>
        </w:rPr>
      </w:pPr>
      <w:r w:rsidRPr="00F05FBC">
        <w:rPr>
          <w:rFonts w:ascii="Arial" w:eastAsia="Arial" w:hAnsi="Arial" w:cs="Arial"/>
          <w:lang w:val="en-US"/>
        </w:rPr>
        <w:t xml:space="preserve">We generate all of our revenues in U.S. dollars </w:t>
      </w:r>
      <w:r w:rsidR="00556F34" w:rsidRPr="00556F34">
        <w:rPr>
          <w:rFonts w:ascii="Arial" w:eastAsia="Arial" w:hAnsi="Arial" w:cs="Arial"/>
          <w:lang w:val="en-US"/>
        </w:rPr>
        <w:t xml:space="preserve">but incur approximately 30% of our operating expenses and </w:t>
      </w:r>
      <w:r w:rsidR="00EA38F7">
        <w:rPr>
          <w:rFonts w:ascii="Arial" w:eastAsia="Arial" w:hAnsi="Arial" w:cs="Arial"/>
          <w:lang w:val="en-US"/>
        </w:rPr>
        <w:t xml:space="preserve">around half of </w:t>
      </w:r>
      <w:r w:rsidR="00556F34" w:rsidRPr="00556F34">
        <w:rPr>
          <w:rFonts w:ascii="Arial" w:eastAsia="Arial" w:hAnsi="Arial" w:cs="Arial"/>
          <w:lang w:val="en-US"/>
        </w:rPr>
        <w:t>our general and administrative expenses in currencies other than the U.S. dollar, primarily the Euro.</w:t>
      </w:r>
      <w:r w:rsidRPr="00F05FBC">
        <w:rPr>
          <w:rFonts w:ascii="Arial" w:eastAsia="Arial" w:hAnsi="Arial" w:cs="Arial"/>
          <w:lang w:val="en-US"/>
        </w:rPr>
        <w:t xml:space="preserve"> Because a significant portion of our expenses is incurred in currencies other than the U.S. dollar, our expenses may from time to time increase relative to our revenues as a result of fluctuations in exchange rates, particularly between the U.S. dollar and the Euro, which could affect the amount of net income that we report in future periods. While we historically have not mitigated the risk associated with exchange rate fluctuations through the use of financial derivatives, we may employ such instruments from time to time in the future in order to minimize this risk. Our use of financial derivatives would involve certain risks, including the risk that losses on a hedged position could exceed the nominal amount invested in the instrument and the risk that the counterparty to the derivative transaction may be unable or unwilling to satisfy its contractual obligations, which could have an adverse effect on our results.</w:t>
      </w:r>
    </w:p>
    <w:p w14:paraId="71F3DFB0" w14:textId="77777777" w:rsidR="002C32BF" w:rsidRPr="00F05FBC" w:rsidRDefault="002C32BF" w:rsidP="00F05FBC">
      <w:pPr>
        <w:pBdr>
          <w:top w:val="nil"/>
          <w:left w:val="nil"/>
          <w:bottom w:val="nil"/>
          <w:right w:val="nil"/>
          <w:between w:val="nil"/>
          <w:bar w:val="nil"/>
        </w:pBdr>
        <w:suppressAutoHyphens/>
        <w:jc w:val="both"/>
        <w:rPr>
          <w:rFonts w:ascii="Arial" w:eastAsia="Arial" w:hAnsi="Arial" w:cs="Arial"/>
          <w:bdr w:val="nil"/>
          <w:lang w:val="en-US"/>
        </w:rPr>
      </w:pPr>
    </w:p>
    <w:p w14:paraId="71F3DFB1"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 xml:space="preserve">We depend upon a few significant customers for a large part of our revenues and the loss of one or more of these customers could adversely affect our financial performance. </w:t>
      </w:r>
    </w:p>
    <w:p w14:paraId="71F3DFB2"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B3" w14:textId="77777777" w:rsidR="00E95391"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have historically derived a significant part of our revenues from a small number of charterers. During 2025, 2024, and 2023, 29%, 11% and 13%, respectively, of our revenues were derived from two, one and one charterers, respectively. If one or more of our charterers chooses not to charter our vessels or is unable to perform under one or more charters with us and we are not able to find a replacement charter, we could suffer a loss of revenues that could adversely affect our financial condition and results of operations.</w:t>
      </w:r>
    </w:p>
    <w:p w14:paraId="71F3DFB4"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dr w:val="nil"/>
          <w:lang w:val="en-US"/>
        </w:rPr>
      </w:pPr>
    </w:p>
    <w:p w14:paraId="71F3DFB5"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are a holding company, and we depend on the ability of our subsidiaries to distribute funds to us in order to satisfy our financial obligations.</w:t>
      </w:r>
    </w:p>
    <w:p w14:paraId="71F3DFB6"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B7" w14:textId="77777777" w:rsidR="00E95391"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are a holding company and our subsidiaries conduct all of our operations and own all of our operating assets. We have no significant assets other than the equity interests in our subsidiaries. As a result, our ability to satisfy our financial obligations depends on our subsidiaries and their ability to distribute funds to us.</w:t>
      </w:r>
      <w:r w:rsidR="00577A70">
        <w:rPr>
          <w:rFonts w:ascii="Arial" w:eastAsia="Arial" w:hAnsi="Arial" w:cs="Arial"/>
          <w:lang w:val="en-US"/>
        </w:rPr>
        <w:t xml:space="preserve"> </w:t>
      </w:r>
      <w:r w:rsidR="00577A70" w:rsidRPr="00577A70">
        <w:rPr>
          <w:rFonts w:ascii="Arial" w:eastAsia="Arial" w:hAnsi="Arial" w:cs="Arial"/>
          <w:lang w:val="en-US"/>
        </w:rPr>
        <w:t>The ability of our subsidiaries to make these distributions may become subject to restrictions contained in those subsidiaries’ financing agreements and could be affected by a claim or other action by a third party, including a creditor, or by Marshall Islands law which regulates the payment of dividends by companies.</w:t>
      </w:r>
      <w:r w:rsidRPr="00F05FBC">
        <w:rPr>
          <w:rFonts w:ascii="Arial" w:eastAsia="Arial" w:hAnsi="Arial" w:cs="Arial"/>
          <w:lang w:val="en-US"/>
        </w:rPr>
        <w:t xml:space="preserve"> If we are unable to obtain funds from our subsidiaries, we may not be able to satisfy our financial obligations.</w:t>
      </w:r>
    </w:p>
    <w:p w14:paraId="71F3DFB8" w14:textId="77777777" w:rsidR="008574B8" w:rsidRDefault="008574B8" w:rsidP="00F05FBC">
      <w:pPr>
        <w:pBdr>
          <w:top w:val="nil"/>
          <w:left w:val="nil"/>
          <w:bottom w:val="nil"/>
          <w:right w:val="nil"/>
          <w:between w:val="nil"/>
          <w:bar w:val="nil"/>
        </w:pBdr>
        <w:suppressAutoHyphens/>
        <w:jc w:val="both"/>
        <w:rPr>
          <w:rFonts w:ascii="Arial" w:eastAsia="Arial" w:hAnsi="Arial" w:cs="Arial"/>
          <w:bdr w:val="nil"/>
          <w:lang w:val="en-US"/>
        </w:rPr>
      </w:pPr>
    </w:p>
    <w:p w14:paraId="71F3DFB9" w14:textId="77777777" w:rsidR="008574B8" w:rsidRDefault="003A4815" w:rsidP="008574B8">
      <w:pPr>
        <w:pStyle w:val="Normal14"/>
        <w:keepNext/>
        <w:keepLines/>
        <w:pBdr>
          <w:top w:val="nil"/>
          <w:left w:val="nil"/>
          <w:bottom w:val="nil"/>
          <w:right w:val="nil"/>
          <w:between w:val="nil"/>
          <w:bar w:val="nil"/>
        </w:pBdr>
        <w:suppressAutoHyphens/>
        <w:jc w:val="both"/>
        <w:rPr>
          <w:rFonts w:ascii="Arial" w:eastAsia="Arial" w:hAnsi="Arial" w:cs="Arial"/>
          <w:b/>
          <w:bCs/>
          <w:i/>
          <w:iCs/>
          <w:bdr w:val="nil"/>
          <w:lang w:val="en-US"/>
        </w:rPr>
      </w:pPr>
      <w:r>
        <w:rPr>
          <w:rFonts w:ascii="Arial" w:eastAsia="Arial" w:hAnsi="Arial" w:cs="Arial"/>
          <w:b/>
          <w:bCs/>
          <w:i/>
          <w:iCs/>
          <w:lang w:val="en-US"/>
        </w:rPr>
        <w:t>Certain of our vessels are owned through joint ventures that we have entered into, and our views about the operations of those vessels may differ from our joint venture partners and adversely affect our interest in the joint ventures.</w:t>
      </w:r>
    </w:p>
    <w:p w14:paraId="71F3DFBA" w14:textId="77777777" w:rsidR="00591E61" w:rsidRPr="00591E61" w:rsidRDefault="00591E61" w:rsidP="00591E61">
      <w:pPr>
        <w:pBdr>
          <w:top w:val="nil"/>
          <w:left w:val="nil"/>
          <w:bottom w:val="nil"/>
          <w:right w:val="nil"/>
          <w:between w:val="nil"/>
          <w:bar w:val="nil"/>
        </w:pBdr>
        <w:suppressAutoHyphens/>
        <w:jc w:val="both"/>
        <w:rPr>
          <w:rFonts w:ascii="Arial" w:eastAsia="Arial" w:hAnsi="Arial" w:cs="Arial"/>
          <w:bdr w:val="nil"/>
          <w:lang w:val="en-US"/>
        </w:rPr>
      </w:pPr>
    </w:p>
    <w:p w14:paraId="71F3DFBB" w14:textId="77777777" w:rsidR="008574B8" w:rsidRPr="00F177A4" w:rsidRDefault="003A4815" w:rsidP="00591E61">
      <w:pPr>
        <w:pBdr>
          <w:top w:val="nil"/>
          <w:left w:val="nil"/>
          <w:bottom w:val="nil"/>
          <w:right w:val="nil"/>
          <w:between w:val="nil"/>
          <w:bar w:val="nil"/>
        </w:pBdr>
        <w:suppressAutoHyphens/>
        <w:jc w:val="both"/>
        <w:rPr>
          <w:rFonts w:ascii="Arial" w:eastAsia="Arial" w:hAnsi="Arial" w:cs="Arial"/>
          <w:bCs/>
          <w:iCs/>
          <w:bdr w:val="nil"/>
          <w:lang w:val="en-US"/>
        </w:rPr>
      </w:pPr>
      <w:r w:rsidRPr="007D149B">
        <w:rPr>
          <w:rFonts w:ascii="Arial" w:eastAsia="Arial" w:hAnsi="Arial" w:cs="Arial"/>
          <w:lang w:val="en-US"/>
        </w:rPr>
        <w:t>We have entered into joint venture arrangements, pursuant to which we own minority interests in four commissioning service operation vessel</w:t>
      </w:r>
      <w:r w:rsidR="00A11811">
        <w:rPr>
          <w:rFonts w:ascii="Arial" w:eastAsia="Arial" w:hAnsi="Arial" w:cs="Arial"/>
          <w:lang w:val="en-US"/>
        </w:rPr>
        <w:t>s</w:t>
      </w:r>
      <w:r w:rsidRPr="007D149B">
        <w:rPr>
          <w:rFonts w:ascii="Arial" w:eastAsia="Arial" w:hAnsi="Arial" w:cs="Arial"/>
          <w:lang w:val="en-US"/>
        </w:rPr>
        <w:t xml:space="preserve"> through Windward Offshore GmbH &amp; Co. KG, in one dry bulk vessel through Bergen Ultra, which</w:t>
      </w:r>
      <w:r w:rsidR="00A11811">
        <w:rPr>
          <w:rFonts w:ascii="Arial" w:eastAsia="Arial" w:hAnsi="Arial" w:cs="Arial"/>
          <w:lang w:val="en-US"/>
        </w:rPr>
        <w:t xml:space="preserve"> however</w:t>
      </w:r>
      <w:r w:rsidRPr="007D149B">
        <w:rPr>
          <w:rFonts w:ascii="Arial" w:eastAsia="Arial" w:hAnsi="Arial" w:cs="Arial"/>
          <w:lang w:val="en-US"/>
        </w:rPr>
        <w:t xml:space="preserve"> was sold in </w:t>
      </w:r>
      <w:r w:rsidR="00A11811">
        <w:rPr>
          <w:rFonts w:ascii="Arial" w:eastAsia="Arial" w:hAnsi="Arial" w:cs="Arial"/>
          <w:lang w:val="en-US"/>
        </w:rPr>
        <w:t>January</w:t>
      </w:r>
      <w:r w:rsidRPr="007D149B">
        <w:rPr>
          <w:rFonts w:ascii="Arial" w:eastAsia="Arial" w:hAnsi="Arial" w:cs="Arial"/>
          <w:lang w:val="en-US"/>
        </w:rPr>
        <w:t xml:space="preserve"> 2026</w:t>
      </w:r>
      <w:r w:rsidR="00A11811">
        <w:rPr>
          <w:rFonts w:ascii="Arial" w:eastAsia="Arial" w:hAnsi="Arial" w:cs="Arial"/>
          <w:lang w:val="en-US"/>
        </w:rPr>
        <w:t xml:space="preserve"> and </w:t>
      </w:r>
      <w:r w:rsidR="00A11811" w:rsidRPr="00F177A4">
        <w:rPr>
          <w:rFonts w:ascii="Arial" w:eastAsia="Arial" w:hAnsi="Arial" w:cs="Arial"/>
          <w:bCs/>
          <w:iCs/>
          <w:lang w:val="en-US"/>
        </w:rPr>
        <w:t xml:space="preserve">majority </w:t>
      </w:r>
      <w:r w:rsidR="00A11811">
        <w:rPr>
          <w:rFonts w:ascii="Arial" w:eastAsia="Arial" w:hAnsi="Arial" w:cs="Arial"/>
          <w:bCs/>
          <w:iCs/>
          <w:lang w:val="en-US"/>
        </w:rPr>
        <w:t>interests</w:t>
      </w:r>
      <w:r w:rsidR="00A11811" w:rsidRPr="00F177A4">
        <w:rPr>
          <w:rFonts w:ascii="Arial" w:eastAsia="Arial" w:hAnsi="Arial" w:cs="Arial"/>
          <w:bCs/>
          <w:iCs/>
          <w:lang w:val="en-US"/>
        </w:rPr>
        <w:t xml:space="preserve"> i</w:t>
      </w:r>
      <w:r w:rsidR="00A11811">
        <w:rPr>
          <w:rFonts w:ascii="Arial" w:eastAsia="Arial" w:hAnsi="Arial" w:cs="Arial"/>
          <w:bCs/>
          <w:iCs/>
          <w:lang w:val="en-US"/>
        </w:rPr>
        <w:t>n</w:t>
      </w:r>
      <w:r w:rsidR="00A11811" w:rsidRPr="00F177A4">
        <w:rPr>
          <w:rFonts w:ascii="Arial" w:eastAsia="Arial" w:hAnsi="Arial" w:cs="Arial"/>
          <w:bCs/>
          <w:iCs/>
          <w:lang w:val="en-US"/>
        </w:rPr>
        <w:t xml:space="preserve"> two 7,500 cbm LPG vessels</w:t>
      </w:r>
      <w:r w:rsidR="00A11811">
        <w:rPr>
          <w:rFonts w:ascii="Arial" w:eastAsia="Arial" w:hAnsi="Arial" w:cs="Arial"/>
          <w:bCs/>
          <w:iCs/>
          <w:lang w:val="en-US"/>
        </w:rPr>
        <w:t xml:space="preserve"> under construction through Ecogas Holding AS</w:t>
      </w:r>
      <w:r w:rsidR="00A11811" w:rsidRPr="00F177A4">
        <w:rPr>
          <w:rFonts w:ascii="Arial" w:eastAsia="Arial" w:hAnsi="Arial" w:cs="Arial"/>
          <w:bCs/>
          <w:iCs/>
          <w:lang w:val="en-US"/>
        </w:rPr>
        <w:t>, scheduled for delivery in 2027</w:t>
      </w:r>
      <w:r w:rsidRPr="007D149B">
        <w:rPr>
          <w:rFonts w:ascii="Arial" w:eastAsia="Arial" w:hAnsi="Arial" w:cs="Arial"/>
          <w:lang w:val="en-US"/>
        </w:rPr>
        <w:t>. We may enter into additional joint venture arrangements in the future.</w:t>
      </w:r>
      <w:r w:rsidR="00D857A1">
        <w:rPr>
          <w:rFonts w:ascii="Arial" w:eastAsia="Arial" w:hAnsi="Arial" w:cs="Arial"/>
          <w:bCs/>
          <w:iCs/>
          <w:lang w:val="en-US"/>
        </w:rPr>
        <w:t xml:space="preserve"> </w:t>
      </w:r>
      <w:r w:rsidR="00013EF3">
        <w:rPr>
          <w:rFonts w:ascii="Arial" w:eastAsia="Arial" w:hAnsi="Arial" w:cs="Arial"/>
          <w:bCs/>
          <w:iCs/>
          <w:lang w:val="en-US"/>
        </w:rPr>
        <w:t>W</w:t>
      </w:r>
      <w:r w:rsidR="00D857A1">
        <w:rPr>
          <w:rFonts w:ascii="Arial" w:eastAsia="Arial" w:hAnsi="Arial" w:cs="Arial"/>
          <w:bCs/>
          <w:iCs/>
          <w:lang w:val="en-US"/>
        </w:rPr>
        <w:t>e share voting and operational control of these joint ventures and the operations of these vessel</w:t>
      </w:r>
      <w:r w:rsidR="00B01792">
        <w:rPr>
          <w:rFonts w:ascii="Arial" w:eastAsia="Arial" w:hAnsi="Arial" w:cs="Arial"/>
          <w:bCs/>
          <w:iCs/>
          <w:lang w:val="en-US"/>
        </w:rPr>
        <w:t>s</w:t>
      </w:r>
      <w:r w:rsidR="00D857A1">
        <w:rPr>
          <w:rFonts w:ascii="Arial" w:eastAsia="Arial" w:hAnsi="Arial" w:cs="Arial"/>
          <w:bCs/>
          <w:iCs/>
          <w:lang w:val="en-US"/>
        </w:rPr>
        <w:t>.</w:t>
      </w:r>
      <w:r w:rsidR="00F177A4">
        <w:rPr>
          <w:rFonts w:ascii="Arial" w:eastAsia="Arial" w:hAnsi="Arial" w:cs="Arial"/>
          <w:bCs/>
          <w:iCs/>
          <w:lang w:val="en-US"/>
        </w:rPr>
        <w:t xml:space="preserve"> </w:t>
      </w:r>
      <w:r w:rsidR="00D857A1">
        <w:rPr>
          <w:rFonts w:ascii="Arial" w:eastAsia="Arial" w:hAnsi="Arial" w:cs="Arial"/>
          <w:bCs/>
          <w:iCs/>
          <w:lang w:val="en-US"/>
        </w:rPr>
        <w:t xml:space="preserve">Our joint venture partners may have interests that are different from ours which may result in conflicting views as to the operation </w:t>
      </w:r>
      <w:r w:rsidR="0092797F">
        <w:rPr>
          <w:rFonts w:ascii="Arial" w:eastAsia="Arial" w:hAnsi="Arial" w:cs="Arial"/>
          <w:bCs/>
          <w:iCs/>
          <w:lang w:val="en-US"/>
        </w:rPr>
        <w:t xml:space="preserve">of </w:t>
      </w:r>
      <w:r w:rsidR="00D857A1">
        <w:rPr>
          <w:rFonts w:ascii="Arial" w:eastAsia="Arial" w:hAnsi="Arial" w:cs="Arial"/>
          <w:bCs/>
          <w:iCs/>
          <w:lang w:val="en-US"/>
        </w:rPr>
        <w:t>the vessels owned by the joint ventures or the conduct of the business of the joint venture</w:t>
      </w:r>
      <w:r w:rsidR="0092797F">
        <w:rPr>
          <w:rFonts w:ascii="Arial" w:eastAsia="Arial" w:hAnsi="Arial" w:cs="Arial"/>
          <w:bCs/>
          <w:iCs/>
          <w:lang w:val="en-US"/>
        </w:rPr>
        <w:t>s</w:t>
      </w:r>
      <w:r w:rsidR="00D857A1">
        <w:rPr>
          <w:rFonts w:ascii="Arial" w:eastAsia="Arial" w:hAnsi="Arial" w:cs="Arial"/>
          <w:bCs/>
          <w:iCs/>
          <w:lang w:val="en-US"/>
        </w:rPr>
        <w:t>. We may not be able to resolve such conflicts in our favor and such conflicts or differing view</w:t>
      </w:r>
      <w:r w:rsidR="0092797F">
        <w:rPr>
          <w:rFonts w:ascii="Arial" w:eastAsia="Arial" w:hAnsi="Arial" w:cs="Arial"/>
          <w:bCs/>
          <w:iCs/>
          <w:lang w:val="en-US"/>
        </w:rPr>
        <w:t>s</w:t>
      </w:r>
      <w:r w:rsidR="00D857A1">
        <w:rPr>
          <w:rFonts w:ascii="Arial" w:eastAsia="Arial" w:hAnsi="Arial" w:cs="Arial"/>
          <w:bCs/>
          <w:iCs/>
          <w:lang w:val="en-US"/>
        </w:rPr>
        <w:t xml:space="preserve"> could have a material adverse effect on our interest in </w:t>
      </w:r>
      <w:r w:rsidR="0092797F">
        <w:rPr>
          <w:rFonts w:ascii="Arial" w:eastAsia="Arial" w:hAnsi="Arial" w:cs="Arial"/>
          <w:bCs/>
          <w:iCs/>
          <w:lang w:val="en-US"/>
        </w:rPr>
        <w:t>these joint</w:t>
      </w:r>
      <w:r w:rsidR="00D857A1">
        <w:rPr>
          <w:rFonts w:ascii="Arial" w:eastAsia="Arial" w:hAnsi="Arial" w:cs="Arial"/>
          <w:bCs/>
          <w:iCs/>
          <w:lang w:val="en-US"/>
        </w:rPr>
        <w:t xml:space="preserve"> venture</w:t>
      </w:r>
      <w:r w:rsidR="0092797F">
        <w:rPr>
          <w:rFonts w:ascii="Arial" w:eastAsia="Arial" w:hAnsi="Arial" w:cs="Arial"/>
          <w:bCs/>
          <w:iCs/>
          <w:lang w:val="en-US"/>
        </w:rPr>
        <w:t>s</w:t>
      </w:r>
      <w:r w:rsidR="00D857A1">
        <w:rPr>
          <w:rFonts w:ascii="Arial" w:eastAsia="Arial" w:hAnsi="Arial" w:cs="Arial"/>
          <w:bCs/>
          <w:iCs/>
          <w:lang w:val="en-US"/>
        </w:rPr>
        <w:t xml:space="preserve">. </w:t>
      </w:r>
    </w:p>
    <w:p w14:paraId="71F3DFBC" w14:textId="77777777" w:rsidR="003375C9" w:rsidRPr="00F05FBC" w:rsidRDefault="003375C9" w:rsidP="00F05FBC">
      <w:pPr>
        <w:pStyle w:val="Normal14"/>
        <w:pBdr>
          <w:top w:val="nil"/>
          <w:left w:val="nil"/>
          <w:bottom w:val="nil"/>
          <w:right w:val="nil"/>
          <w:between w:val="nil"/>
          <w:bar w:val="nil"/>
        </w:pBdr>
        <w:suppressAutoHyphens/>
        <w:jc w:val="both"/>
        <w:rPr>
          <w:rFonts w:ascii="Arial" w:eastAsia="Arial" w:hAnsi="Arial" w:cs="Arial"/>
          <w:bdr w:val="nil"/>
          <w:lang w:val="en-US"/>
        </w:rPr>
      </w:pPr>
    </w:p>
    <w:p w14:paraId="71F3DFBD" w14:textId="77777777" w:rsidR="003375C9" w:rsidRPr="00F05FBC" w:rsidRDefault="003A4815" w:rsidP="00F05FBC">
      <w:pPr>
        <w:pStyle w:val="Normal14"/>
        <w:keepNext/>
        <w:keepLines/>
        <w:pBdr>
          <w:top w:val="nil"/>
          <w:left w:val="nil"/>
          <w:bottom w:val="nil"/>
          <w:right w:val="nil"/>
          <w:between w:val="nil"/>
          <w:bar w:val="nil"/>
        </w:pBdr>
        <w:suppressAutoHyphens/>
        <w:jc w:val="both"/>
        <w:rPr>
          <w:rFonts w:ascii="Arial" w:eastAsia="Arial" w:hAnsi="Arial" w:cs="Arial"/>
          <w:b/>
          <w:i/>
          <w:bdr w:val="nil"/>
          <w:lang w:val="en-US"/>
        </w:rPr>
      </w:pPr>
      <w:r w:rsidRPr="00F05FBC">
        <w:rPr>
          <w:rFonts w:ascii="Arial" w:eastAsia="Arial" w:hAnsi="Arial" w:cs="Arial"/>
          <w:b/>
          <w:i/>
          <w:lang w:val="en-US"/>
        </w:rPr>
        <w:t>Because we are organized under the laws of the Marshall Islands, it may be difficult to serve us with legal process or enforce judgments against us, our directors or our management.</w:t>
      </w:r>
    </w:p>
    <w:p w14:paraId="71F3DFBE" w14:textId="77777777" w:rsidR="003375C9" w:rsidRPr="00F05FBC" w:rsidRDefault="003375C9" w:rsidP="00F05FBC">
      <w:pPr>
        <w:keepNext/>
        <w:keepLines/>
        <w:pBdr>
          <w:top w:val="nil"/>
          <w:left w:val="nil"/>
          <w:bottom w:val="nil"/>
          <w:right w:val="nil"/>
          <w:between w:val="nil"/>
          <w:bar w:val="nil"/>
        </w:pBdr>
        <w:suppressAutoHyphens/>
        <w:jc w:val="both"/>
        <w:rPr>
          <w:rFonts w:ascii="Arial" w:eastAsia="Arial" w:hAnsi="Arial" w:cs="Arial"/>
          <w:bdr w:val="nil"/>
          <w:lang w:val="en-US"/>
        </w:rPr>
      </w:pPr>
    </w:p>
    <w:p w14:paraId="71F3DFBF" w14:textId="77777777" w:rsidR="003375C9"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are organized under the laws of the Marshall Islands, and substantially all of our assets are located outside of the United States. In addition, the majority of our directors and officers are non-residents of the United States, and all or a substantial portion of the assets of these non-residents are located outside the United States. As a result, it may be difficult or impossible for someone to bring an action against us or against these individuals in the United States if they believe that their rights have been infringed under securities laws or otherwise. Even if you are successful in bringing an action of this kind, the laws of the Marshall Islands and of other jurisdictions may prevent or restrict them from enforcing a judgment against our assets or the assets of our directors or officers.</w:t>
      </w:r>
    </w:p>
    <w:p w14:paraId="71F3DFC0" w14:textId="77777777" w:rsidR="003375C9" w:rsidRPr="00F05FBC" w:rsidRDefault="003375C9" w:rsidP="00F05FBC">
      <w:pPr>
        <w:pStyle w:val="Normal14"/>
        <w:pBdr>
          <w:top w:val="nil"/>
          <w:left w:val="nil"/>
          <w:bottom w:val="nil"/>
          <w:right w:val="nil"/>
          <w:between w:val="nil"/>
          <w:bar w:val="nil"/>
        </w:pBdr>
        <w:suppressAutoHyphens/>
        <w:jc w:val="both"/>
        <w:rPr>
          <w:rFonts w:ascii="Arial" w:eastAsia="Arial" w:hAnsi="Arial" w:cs="Arial"/>
          <w:bdr w:val="nil"/>
          <w:lang w:val="en-US"/>
        </w:rPr>
      </w:pPr>
    </w:p>
    <w:p w14:paraId="71F3DFC1" w14:textId="77777777" w:rsidR="003375C9" w:rsidRPr="00F05FBC" w:rsidRDefault="003A4815" w:rsidP="00F05FBC">
      <w:pPr>
        <w:pStyle w:val="Normal14"/>
        <w:keepNext/>
        <w:keepLines/>
        <w:pBdr>
          <w:top w:val="nil"/>
          <w:left w:val="nil"/>
          <w:bottom w:val="nil"/>
          <w:right w:val="nil"/>
          <w:between w:val="nil"/>
          <w:bar w:val="nil"/>
        </w:pBdr>
        <w:suppressAutoHyphens/>
        <w:jc w:val="both"/>
        <w:rPr>
          <w:rFonts w:ascii="Arial" w:eastAsia="Arial" w:hAnsi="Arial" w:cs="Arial"/>
          <w:b/>
          <w:i/>
          <w:bdr w:val="nil"/>
          <w:lang w:val="en-US"/>
        </w:rPr>
      </w:pPr>
      <w:r w:rsidRPr="00F05FBC">
        <w:rPr>
          <w:rFonts w:ascii="Arial" w:eastAsia="Arial" w:hAnsi="Arial" w:cs="Arial"/>
          <w:b/>
          <w:i/>
          <w:lang w:val="en-US"/>
        </w:rPr>
        <w:t>The international nature of our operations may make the outcome of any bankruptcy proceedings difficult to predict.</w:t>
      </w:r>
    </w:p>
    <w:p w14:paraId="71F3DFC2" w14:textId="77777777" w:rsidR="003375C9" w:rsidRPr="00F05FBC" w:rsidRDefault="003375C9" w:rsidP="00F05FBC">
      <w:pPr>
        <w:keepNext/>
        <w:keepLines/>
        <w:pBdr>
          <w:top w:val="nil"/>
          <w:left w:val="nil"/>
          <w:bottom w:val="nil"/>
          <w:right w:val="nil"/>
          <w:between w:val="nil"/>
          <w:bar w:val="nil"/>
        </w:pBdr>
        <w:suppressAutoHyphens/>
        <w:jc w:val="both"/>
        <w:rPr>
          <w:rFonts w:ascii="Arial" w:eastAsia="Arial" w:hAnsi="Arial" w:cs="Arial"/>
          <w:bdr w:val="nil"/>
          <w:lang w:val="en-US"/>
        </w:rPr>
      </w:pPr>
    </w:p>
    <w:p w14:paraId="71F3DFC3" w14:textId="77777777" w:rsidR="003375C9"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We are incorporated under the laws of the Republic of the Marshall Islands and we conduct operations in countries around the world. Consequently, in the event of any bankruptcy, insolvency, liquidation, dissolution, reorganization or similar proceeding involving us or any of our subsidiaries, bankruptcy laws other than those of the United States could apply. If we become a debtor under U.S. bankruptcy law, bankruptcy courts in the United States may seek to assert jurisdiction over all of our assets, wherever located, including property situated in other countries. There can be no assurance, however, that we would become a debtor in the United States, or that a U.S. bankruptcy court would be entitled to, or accept, jurisdiction over such a bankruptcy case, or that courts in other countries that have jurisdiction over us and our operations would recognize a U.S. bankruptcy court’s jurisdiction if any other bankruptcy court would determine it had jurisdiction.</w:t>
      </w:r>
    </w:p>
    <w:p w14:paraId="71F3DFC4" w14:textId="77777777" w:rsidR="003375C9" w:rsidRPr="00F05FBC" w:rsidRDefault="003375C9" w:rsidP="00F05FBC">
      <w:pPr>
        <w:pBdr>
          <w:top w:val="nil"/>
          <w:left w:val="nil"/>
          <w:bottom w:val="nil"/>
          <w:right w:val="nil"/>
          <w:between w:val="nil"/>
          <w:bar w:val="nil"/>
        </w:pBdr>
        <w:suppressAutoHyphens/>
        <w:jc w:val="both"/>
        <w:rPr>
          <w:rFonts w:ascii="Arial" w:eastAsia="Arial" w:hAnsi="Arial" w:cs="Arial"/>
          <w:bdr w:val="nil"/>
          <w:lang w:val="en-US"/>
        </w:rPr>
      </w:pPr>
    </w:p>
    <w:p w14:paraId="71F3DFC5" w14:textId="77777777" w:rsidR="00E95391"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If we expand our business further, we may need to improve our operating and financial systems and will need to recruit suitable employees and crew for our vessels.</w:t>
      </w:r>
    </w:p>
    <w:p w14:paraId="71F3DFC6" w14:textId="77777777" w:rsidR="00E95391" w:rsidRPr="00F05FBC" w:rsidRDefault="00E95391" w:rsidP="00F05FBC">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DFC7" w14:textId="77777777" w:rsidR="00E95391"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Our current operating and financial systems may not be adequate if we further expand the size of our fleet and our attempts to improve those systems may be ineffective. In addition, if we expand our fleet further, we will need to recruit suitable additional seafarers and shoreside administrative and management personnel. While we have not experienced any difficulty in recruiting to date, we cannot guarantee that we will be able to continue to hire suitable employees if we expand our fleet. If we or our crewing agents encounter business or financial difficulties, we may not be able to adequately staff our vessels.</w:t>
      </w:r>
    </w:p>
    <w:p w14:paraId="71F3DFC8" w14:textId="77777777" w:rsidR="00F86C48" w:rsidRDefault="00F86C48" w:rsidP="00F86C48">
      <w:pPr>
        <w:pBdr>
          <w:top w:val="nil"/>
          <w:left w:val="nil"/>
          <w:bottom w:val="nil"/>
          <w:right w:val="nil"/>
          <w:between w:val="nil"/>
          <w:bar w:val="nil"/>
        </w:pBdr>
        <w:suppressAutoHyphens/>
        <w:jc w:val="both"/>
        <w:rPr>
          <w:rFonts w:ascii="Arial" w:eastAsia="Arial" w:hAnsi="Arial" w:cs="Arial"/>
          <w:bdr w:val="nil"/>
          <w:lang w:val="en-US"/>
        </w:rPr>
      </w:pPr>
    </w:p>
    <w:p w14:paraId="71F3DFC9" w14:textId="77777777" w:rsidR="00F86C48" w:rsidRPr="00F05FBC" w:rsidRDefault="003A4815" w:rsidP="00F86C48">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Any future growth will primarily depend on our ability to:</w:t>
      </w:r>
    </w:p>
    <w:p w14:paraId="71F3DFCA" w14:textId="77777777" w:rsidR="00F86C48" w:rsidRPr="00F05FBC" w:rsidRDefault="00F86C48" w:rsidP="00F86C48">
      <w:pPr>
        <w:pBdr>
          <w:top w:val="nil"/>
          <w:left w:val="nil"/>
          <w:bottom w:val="nil"/>
          <w:right w:val="nil"/>
          <w:between w:val="nil"/>
          <w:bar w:val="nil"/>
        </w:pBdr>
        <w:suppressAutoHyphens/>
        <w:jc w:val="both"/>
        <w:rPr>
          <w:rFonts w:ascii="Arial" w:eastAsia="Arial" w:hAnsi="Arial" w:cs="Arial"/>
          <w:bdr w:val="nil"/>
          <w:lang w:val="en-US"/>
        </w:rPr>
      </w:pPr>
    </w:p>
    <w:p w14:paraId="71F3DFCB" w14:textId="77777777" w:rsidR="00F86C48" w:rsidRPr="00F05FBC" w:rsidRDefault="003A4815" w:rsidP="00F86C48">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locate and acquire suitable vessels;</w:t>
      </w:r>
    </w:p>
    <w:p w14:paraId="71F3DFCC" w14:textId="77777777" w:rsidR="00F86C48" w:rsidRPr="00F05FBC" w:rsidRDefault="00F86C48" w:rsidP="00F86C48">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CD" w14:textId="77777777" w:rsidR="00F86C48" w:rsidRPr="00F05FBC" w:rsidRDefault="003A4815" w:rsidP="00F86C48">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identify and consummate acquisitions or joint ventures;</w:t>
      </w:r>
    </w:p>
    <w:p w14:paraId="71F3DFCE" w14:textId="77777777" w:rsidR="00F86C48" w:rsidRPr="00F05FBC" w:rsidRDefault="00F86C48" w:rsidP="00F86C48">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CF" w14:textId="77777777" w:rsidR="00F86C48" w:rsidRPr="00F05FBC" w:rsidRDefault="003A4815" w:rsidP="00F86C48">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enhance our customer base;</w:t>
      </w:r>
    </w:p>
    <w:p w14:paraId="71F3DFD0" w14:textId="77777777" w:rsidR="00F86C48" w:rsidRPr="00F05FBC" w:rsidRDefault="00F86C48" w:rsidP="00F86C48">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D1" w14:textId="77777777" w:rsidR="00F86C48" w:rsidRPr="00F05FBC" w:rsidRDefault="003A4815" w:rsidP="00F86C48">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manage our expansion; and</w:t>
      </w:r>
    </w:p>
    <w:p w14:paraId="71F3DFD2" w14:textId="77777777" w:rsidR="00F86C48" w:rsidRPr="00F05FBC" w:rsidRDefault="00F86C48" w:rsidP="00F86C48">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DFD3" w14:textId="77777777" w:rsidR="00F86C48" w:rsidRPr="00F05FBC" w:rsidRDefault="003A4815" w:rsidP="00F86C48">
      <w:pPr>
        <w:pStyle w:val="ListBullet1"/>
        <w:pBdr>
          <w:top w:val="nil"/>
          <w:left w:val="nil"/>
          <w:bottom w:val="nil"/>
          <w:right w:val="nil"/>
          <w:between w:val="nil"/>
          <w:bar w:val="nil"/>
        </w:pBdr>
        <w:ind w:left="1077" w:hanging="357"/>
        <w:rPr>
          <w:rFonts w:ascii="Arial" w:eastAsia="Arial" w:hAnsi="Arial" w:cs="Arial"/>
          <w:bdr w:val="nil"/>
        </w:rPr>
      </w:pPr>
      <w:r w:rsidRPr="00F05FBC">
        <w:rPr>
          <w:rFonts w:ascii="Arial" w:eastAsia="Arial" w:hAnsi="Arial" w:cs="Arial"/>
        </w:rPr>
        <w:t>obtain required financing on acceptable terms.</w:t>
      </w:r>
    </w:p>
    <w:p w14:paraId="71F3DFD4" w14:textId="77777777" w:rsidR="00F86C48" w:rsidRPr="00F05FBC" w:rsidRDefault="00F86C48" w:rsidP="00F86C48">
      <w:pPr>
        <w:pBdr>
          <w:top w:val="nil"/>
          <w:left w:val="nil"/>
          <w:bottom w:val="nil"/>
          <w:right w:val="nil"/>
          <w:between w:val="nil"/>
          <w:bar w:val="nil"/>
        </w:pBdr>
        <w:suppressAutoHyphens/>
        <w:jc w:val="both"/>
        <w:rPr>
          <w:rFonts w:ascii="Arial" w:eastAsia="Arial" w:hAnsi="Arial" w:cs="Arial"/>
          <w:bdr w:val="nil"/>
          <w:lang w:val="en-US"/>
        </w:rPr>
      </w:pPr>
    </w:p>
    <w:p w14:paraId="71F3DFD5" w14:textId="77777777" w:rsidR="00F86C48" w:rsidRPr="00F05FBC" w:rsidRDefault="003A4815" w:rsidP="00F05FBC">
      <w:pPr>
        <w:pBdr>
          <w:top w:val="nil"/>
          <w:left w:val="nil"/>
          <w:bottom w:val="nil"/>
          <w:right w:val="nil"/>
          <w:between w:val="nil"/>
          <w:bar w:val="nil"/>
        </w:pBdr>
        <w:suppressAutoHyphens/>
        <w:jc w:val="both"/>
        <w:rPr>
          <w:rFonts w:ascii="Arial" w:eastAsia="Arial" w:hAnsi="Arial" w:cs="Arial"/>
          <w:bdr w:val="nil"/>
          <w:lang w:val="en-US"/>
        </w:rPr>
      </w:pPr>
      <w:r w:rsidRPr="00F05FBC">
        <w:rPr>
          <w:rFonts w:ascii="Arial" w:eastAsia="Arial" w:hAnsi="Arial" w:cs="Arial"/>
          <w:lang w:val="en-US"/>
        </w:rPr>
        <w:t>Growing any business by acquisition presents numerous risks, such as undisclosed liabilities and obligations, the possibility that indemnification agreements will be unenforceable or insufficient to cover potential losses and difficulties associated with imposing common standards, controls, procedures and policies, obtaining additional qualified personnel, managing relationships with customers</w:t>
      </w:r>
      <w:r>
        <w:rPr>
          <w:rFonts w:ascii="Arial" w:eastAsia="Arial" w:hAnsi="Arial" w:cs="Arial"/>
          <w:lang w:val="en-US"/>
        </w:rPr>
        <w:t>, suppliers</w:t>
      </w:r>
      <w:r w:rsidRPr="00F05FBC">
        <w:rPr>
          <w:rFonts w:ascii="Arial" w:eastAsia="Arial" w:hAnsi="Arial" w:cs="Arial"/>
          <w:lang w:val="en-US"/>
        </w:rPr>
        <w:t xml:space="preserve"> and integrating newly acquired assets and operations into existing infrastructure. If we are unable to grow our financial and operating systems or to recruit suitable employees, should we decide to expand our fleet, our financial performance may be adversely affected, among other things</w:t>
      </w:r>
      <w:r>
        <w:rPr>
          <w:rFonts w:ascii="Arial" w:eastAsia="Arial" w:hAnsi="Arial" w:cs="Arial"/>
          <w:lang w:val="en-US"/>
        </w:rPr>
        <w:t>.</w:t>
      </w:r>
      <w:r w:rsidRPr="00F86C48">
        <w:rPr>
          <w:rFonts w:ascii="Arial" w:eastAsia="Arial" w:hAnsi="Arial" w:cs="Arial"/>
          <w:lang w:val="en-US"/>
        </w:rPr>
        <w:t xml:space="preserve"> </w:t>
      </w:r>
      <w:r w:rsidRPr="00F05FBC">
        <w:rPr>
          <w:rFonts w:ascii="Arial" w:eastAsia="Arial" w:hAnsi="Arial" w:cs="Arial"/>
          <w:lang w:val="en-US"/>
        </w:rPr>
        <w:t xml:space="preserve">We cannot give any assurance that we will be successful in executing any future growth plans or that we will not incur significant expenses and losses in connection with our future growth. </w:t>
      </w:r>
    </w:p>
    <w:p w14:paraId="71F3DFD6" w14:textId="77777777" w:rsidR="00E95391" w:rsidRPr="00F05FBC" w:rsidRDefault="00E95391" w:rsidP="00F05FBC">
      <w:pPr>
        <w:pBdr>
          <w:top w:val="nil"/>
          <w:left w:val="nil"/>
          <w:bottom w:val="nil"/>
          <w:right w:val="nil"/>
          <w:between w:val="nil"/>
          <w:bar w:val="nil"/>
        </w:pBdr>
        <w:suppressAutoHyphens/>
        <w:jc w:val="both"/>
        <w:rPr>
          <w:rFonts w:ascii="Arial" w:eastAsia="Arial" w:hAnsi="Arial" w:cs="Arial"/>
          <w:b/>
          <w:bdr w:val="nil"/>
          <w:lang w:val="en-US"/>
        </w:rPr>
      </w:pPr>
    </w:p>
    <w:p w14:paraId="71F3DFD7" w14:textId="77777777" w:rsidR="00B5352E"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We may have to pay tax on U.S. source income, which would reduce our earnings.</w:t>
      </w:r>
    </w:p>
    <w:p w14:paraId="71F3DFD8" w14:textId="77777777" w:rsidR="00B5352E" w:rsidRPr="00F05FBC" w:rsidRDefault="00B5352E" w:rsidP="00F05FBC">
      <w:pPr>
        <w:keepNext/>
        <w:keepLines/>
        <w:pBdr>
          <w:top w:val="nil"/>
          <w:left w:val="nil"/>
          <w:bottom w:val="nil"/>
          <w:right w:val="nil"/>
          <w:between w:val="nil"/>
          <w:bar w:val="nil"/>
        </w:pBdr>
        <w:jc w:val="both"/>
        <w:rPr>
          <w:rFonts w:ascii="Arial" w:eastAsia="Arial" w:hAnsi="Arial" w:cs="Arial"/>
          <w:bdr w:val="nil"/>
          <w:lang w:val="en-US"/>
        </w:rPr>
      </w:pPr>
    </w:p>
    <w:p w14:paraId="71F3DFD9" w14:textId="77777777" w:rsidR="0048278E"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Under the U.S. Internal Revenue Code of 1986, as amended, or the Code, 50% of the gross shipping income of a vessel-owning or chartering corporation, such as ourselves and our subsidiaries, that is attributable to transportation that begins or ends, but that does not both begin and end, in the United States is characterized as U.S. source shipping income and such income is generally subject to a 4% U.S. federal income tax without allowance for deductions, unless that corporation qualifies for exemption from tax under Section 883 of the Code and the Treasury Regulations promulgated thereunder.</w:t>
      </w:r>
    </w:p>
    <w:p w14:paraId="71F3DFDA" w14:textId="77777777" w:rsidR="0048278E" w:rsidRPr="00F05FBC" w:rsidRDefault="0048278E"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DB" w14:textId="77777777" w:rsidR="00577A70" w:rsidRPr="00577A70" w:rsidRDefault="003A4815" w:rsidP="00577A70">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577A70">
        <w:rPr>
          <w:rFonts w:ascii="Arial" w:eastAsia="Arial" w:hAnsi="Arial" w:cs="Arial"/>
          <w:color w:val="000000"/>
          <w:lang w:val="en-US"/>
        </w:rPr>
        <w:t xml:space="preserve">The application of the exemption under Section 883 of the Code is highly fact-dependent. There are factual circumstances beyond our control that could cause us to lose the benefit of this tax exemption in </w:t>
      </w:r>
      <w:r>
        <w:rPr>
          <w:rFonts w:ascii="Arial" w:eastAsia="Arial" w:hAnsi="Arial" w:cs="Arial"/>
          <w:color w:val="000000"/>
          <w:lang w:val="en-US"/>
        </w:rPr>
        <w:t>2025</w:t>
      </w:r>
      <w:r w:rsidRPr="00577A70">
        <w:rPr>
          <w:rFonts w:ascii="Arial" w:eastAsia="Arial" w:hAnsi="Arial" w:cs="Arial"/>
          <w:color w:val="000000"/>
          <w:lang w:val="en-US"/>
        </w:rPr>
        <w:t xml:space="preserve"> or any future years and thereby become subject to U.S. federal income tax on our U.S. source shipping income. For example, in certain circumstances we may not qualify for exemption under Code Section 883 for a particular taxable year if shareholders, other than “qualified shareholders”, with a five percent or greater interest in our common shares owned, in the aggregate, 50% or more of our outstanding common shares for more than half the days during the taxable year. Due to the factual nature of the issues involved, we can give no assurances on our tax-exempt status or that of any of our subsidiaries.</w:t>
      </w:r>
    </w:p>
    <w:p w14:paraId="71F3DFDC" w14:textId="77777777" w:rsidR="0048278E" w:rsidRPr="00F05FBC" w:rsidRDefault="0048278E"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DD" w14:textId="77777777" w:rsidR="0048278E"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If we or our subsidiaries are not entitled to this exemption under Section 883 of the Code for any taxable year, we or our subsidiaries would be subject for those years to a 4% U.S. federal income tax on our gross U.S.-source shipping income. The imposition of this taxation could have a negative effect on our business and would result in decreased earnings available for distribution to our shareholders, although, for the 2025 taxable year, we estimate our maximum U.S. federal income tax liability to be immaterial if we were subject to this U.S. federal income tax. See “Item 10. Additional Information—E. Taxation" for a more comprehensive discussion of U.S. federal income tax considerations.</w:t>
      </w:r>
    </w:p>
    <w:p w14:paraId="71F3DFDE" w14:textId="77777777" w:rsidR="002C1A64" w:rsidRPr="00F05FBC" w:rsidRDefault="002C1A64" w:rsidP="00F05FBC">
      <w:pPr>
        <w:pBdr>
          <w:top w:val="nil"/>
          <w:left w:val="nil"/>
          <w:bottom w:val="nil"/>
          <w:right w:val="nil"/>
          <w:between w:val="nil"/>
          <w:bar w:val="nil"/>
        </w:pBdr>
        <w:jc w:val="both"/>
        <w:rPr>
          <w:rFonts w:ascii="Arial" w:eastAsia="Arial" w:hAnsi="Arial" w:cs="Arial"/>
          <w:bdr w:val="nil"/>
          <w:lang w:val="en-US" w:eastAsia="el-GR"/>
        </w:rPr>
      </w:pPr>
    </w:p>
    <w:p w14:paraId="71F3DFDF" w14:textId="77777777" w:rsidR="007100EA" w:rsidRPr="00F05FBC" w:rsidRDefault="003A4815" w:rsidP="00F05FBC">
      <w:pPr>
        <w:pStyle w:val="Heading4"/>
        <w:keepLines/>
        <w:pBdr>
          <w:top w:val="nil"/>
          <w:left w:val="nil"/>
          <w:bottom w:val="nil"/>
          <w:right w:val="nil"/>
          <w:between w:val="nil"/>
          <w:bar w:val="nil"/>
        </w:pBdr>
        <w:rPr>
          <w:rFonts w:ascii="Arial" w:eastAsia="Arial" w:hAnsi="Arial" w:cs="Arial"/>
          <w:szCs w:val="22"/>
          <w:bdr w:val="nil"/>
          <w:lang w:val="en-US"/>
        </w:rPr>
      </w:pPr>
      <w:r w:rsidRPr="00F05FBC">
        <w:rPr>
          <w:rFonts w:ascii="Arial" w:eastAsia="Arial" w:hAnsi="Arial" w:cs="Arial"/>
          <w:szCs w:val="22"/>
          <w:lang w:val="en-US"/>
        </w:rPr>
        <w:t>U.S. federal tax authorities could treat us as a “passive foreign investment company”, which could have adverse U.S. federal income tax consequences to U.S. shareholders.</w:t>
      </w:r>
    </w:p>
    <w:p w14:paraId="71F3DFE0" w14:textId="77777777" w:rsidR="002C1A64" w:rsidRPr="00F05FBC" w:rsidRDefault="002C1A64" w:rsidP="00F05FBC">
      <w:pPr>
        <w:keepNext/>
        <w:keepLines/>
        <w:pBdr>
          <w:top w:val="nil"/>
          <w:left w:val="nil"/>
          <w:bottom w:val="nil"/>
          <w:right w:val="nil"/>
          <w:between w:val="nil"/>
          <w:bar w:val="nil"/>
        </w:pBdr>
        <w:jc w:val="both"/>
        <w:rPr>
          <w:rFonts w:ascii="Arial" w:eastAsia="Arial" w:hAnsi="Arial" w:cs="Arial"/>
          <w:bdr w:val="nil"/>
          <w:lang w:val="en-US"/>
        </w:rPr>
      </w:pPr>
    </w:p>
    <w:p w14:paraId="71F3DFE1" w14:textId="77777777" w:rsidR="0048278E"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A foreign corporation will be treated as a “passive foreign investment company”, or PFIC, for U.S. federal income tax purposes if either (1) at least 75% of its gross income for any taxable year consists of certain types of “passive income” or (2) at least 50% of the average value of the corporation's assets produce or are held for the production of those types of “passive income.” For purposes of these tests, “passive income” includes dividends, interest, gains from the sale or exchange of investment property, and rents and royalties other than rents and royalties which are received from unrelated parties in connection with the active conduct of a trade or business. For purposes of these tests, income derived from the performance of services does not constitute “passive income.” U.S. shareholders of a PFIC are subject to a disadvantageous U.S. federal income tax regime with respect to the income derived by the PFIC, the distributions they receive from the PFIC and the gain, if any, they derive from the sale or other disposition of their shares in the PFIC.</w:t>
      </w:r>
    </w:p>
    <w:p w14:paraId="71F3DFE2" w14:textId="77777777" w:rsidR="0048278E" w:rsidRPr="00F05FBC" w:rsidRDefault="0048278E"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E3" w14:textId="77777777" w:rsidR="0048278E"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Based on our current and proposed method of operation, we do not believe that we will be a PFIC with respect to any taxable year. In this regard, we intend to treat the gross income we derive or are deemed to derive from our time chartering activities as services income, rather than rental income. Accordingly, we believe that our income from our time chartering activities does not constitute “passive income,” and the assets that we own and operate in connection with the production of that income do not constitute assets that produce or are held for the production of “passive income”.</w:t>
      </w:r>
    </w:p>
    <w:p w14:paraId="71F3DFE4" w14:textId="77777777" w:rsidR="0048278E" w:rsidRPr="00F05FBC" w:rsidRDefault="0048278E"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E5" w14:textId="77777777" w:rsidR="0048278E" w:rsidRPr="00F05FBC"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There is substantial legal authority supporting this position consisting of case law and U.S. Internal Revenue Service, or “IRS”, pronouncements concerning the characterization of income derived from time charters and voyage charters as services income for other tax purposes. However, it should be noted that there is also authority which characterizes time charter income as rental income rather than services income for other tax purposes. Accordingly, no assurance can be given that the IRS or a court of law will accept this position, and there is a risk that the IRS or a court of law could determine that we are a PFIC. Moreover, no assurance can be given that we would not constitute a PFIC for any future taxable year if the nature and extent of our operations changed.</w:t>
      </w:r>
    </w:p>
    <w:p w14:paraId="71F3DFE6" w14:textId="77777777" w:rsidR="0048278E" w:rsidRPr="00F05FBC" w:rsidRDefault="0048278E"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E7" w14:textId="77777777" w:rsidR="0048278E" w:rsidRDefault="003A4815"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F05FBC">
        <w:rPr>
          <w:rFonts w:ascii="Arial" w:eastAsia="Arial" w:hAnsi="Arial" w:cs="Arial"/>
          <w:color w:val="000000"/>
          <w:lang w:val="en-US"/>
        </w:rPr>
        <w:t>If the IRS or a court of law were to find that we are or have been a PFIC for any taxable year, our U.S. shareholders would face adverse U.S. federal income tax consequences. Under the PFIC rules, unless those shareholders make an election available under the Code (which election could itself have adverse consequences for such shareholders), such shareholders would be subject to U.S. federal income tax at the then prevailing U.S. federal income tax rates on ordinary income plus interest upon excess distributions and upon any gain from the disposition of our common stock, as if the excess distribution or gain had been recognized ratably over the shareholder's holding period of our common stock. See “Item 10. Additional Information—E. Taxation–United States Taxation of U.S. Holders–PFIC Status and Significant Tax Consequences" for a more comprehensive discussion of the U.S. federal income tax consequences to U.S. holders of our common stock if we are or were to be treated as a PFIC.</w:t>
      </w:r>
    </w:p>
    <w:p w14:paraId="71F3DFE8" w14:textId="77777777" w:rsidR="00861FAD" w:rsidRDefault="00861FAD" w:rsidP="00F05FBC">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DFE9" w14:textId="77777777" w:rsidR="00861FAD" w:rsidRPr="00F86C48" w:rsidRDefault="003A4815" w:rsidP="00F86C48">
      <w:pPr>
        <w:pStyle w:val="Heading4"/>
        <w:keepLines/>
        <w:pBdr>
          <w:top w:val="nil"/>
          <w:left w:val="nil"/>
          <w:bottom w:val="nil"/>
          <w:right w:val="nil"/>
          <w:between w:val="nil"/>
          <w:bar w:val="nil"/>
        </w:pBdr>
        <w:rPr>
          <w:rFonts w:ascii="Arial" w:eastAsia="Arial" w:hAnsi="Arial" w:cs="Arial"/>
          <w:szCs w:val="22"/>
          <w:bdr w:val="nil"/>
          <w:lang w:val="en-US"/>
        </w:rPr>
      </w:pPr>
      <w:r w:rsidRPr="00F86C48">
        <w:rPr>
          <w:rFonts w:ascii="Arial" w:eastAsia="Arial" w:hAnsi="Arial" w:cs="Arial"/>
          <w:szCs w:val="22"/>
          <w:lang w:val="en-US"/>
        </w:rPr>
        <w:t>Changes in tax laws and unanticipated tax liabilities could materially and adversely affect the taxes we pay, results of operations and financial results.</w:t>
      </w:r>
    </w:p>
    <w:p w14:paraId="71F3DFEA" w14:textId="77777777" w:rsidR="00861FAD" w:rsidRDefault="00861FAD" w:rsidP="00861FAD">
      <w:pPr>
        <w:pBdr>
          <w:top w:val="nil"/>
          <w:left w:val="nil"/>
          <w:bottom w:val="nil"/>
          <w:right w:val="nil"/>
          <w:between w:val="nil"/>
          <w:bar w:val="nil"/>
        </w:pBdr>
        <w:shd w:val="clear" w:color="auto" w:fill="FFFFFF"/>
        <w:jc w:val="both"/>
        <w:rPr>
          <w:rFonts w:ascii="Arial" w:eastAsia="Arial" w:hAnsi="Arial" w:cs="Arial"/>
          <w:b/>
          <w:bCs/>
          <w:i/>
          <w:iCs/>
          <w:color w:val="000000"/>
          <w:bdr w:val="nil"/>
          <w:lang w:val="en-US"/>
        </w:rPr>
      </w:pPr>
    </w:p>
    <w:p w14:paraId="71F3DFEB" w14:textId="77777777" w:rsidR="00861FAD" w:rsidRDefault="003A4815" w:rsidP="00861FAD">
      <w:pPr>
        <w:pBdr>
          <w:top w:val="nil"/>
          <w:left w:val="nil"/>
          <w:bottom w:val="nil"/>
          <w:right w:val="nil"/>
          <w:between w:val="nil"/>
          <w:bar w:val="nil"/>
        </w:pBdr>
        <w:shd w:val="clear" w:color="auto" w:fill="FFFFFF"/>
        <w:jc w:val="both"/>
        <w:rPr>
          <w:rFonts w:ascii="Arial" w:eastAsia="Arial" w:hAnsi="Arial" w:cs="Arial"/>
          <w:color w:val="000000"/>
          <w:bdr w:val="nil"/>
          <w:lang w:val="en-US"/>
        </w:rPr>
      </w:pPr>
      <w:r>
        <w:rPr>
          <w:rFonts w:ascii="Arial" w:eastAsia="Arial" w:hAnsi="Arial" w:cs="Arial"/>
          <w:color w:val="000000"/>
          <w:lang w:val="en-US"/>
        </w:rPr>
        <w:t>Our results of operations and financial results may be affected by tax and other initiatives around the world. For instance, there is a high level of uncertainty in today’s tax environment stemming from global initiatives put forth by the Organisation for Economic Co-operation and Development’s (“OECD”) two-pillar base erosion and profit shifting project. In October 2021, members of the OECD put forth two proposals: (i) Pillar One reallocates profit to the market jurisdictions where sales arise versus physical presence</w:t>
      </w:r>
      <w:r w:rsidR="00577A70">
        <w:rPr>
          <w:rFonts w:ascii="Arial" w:eastAsia="Arial" w:hAnsi="Arial" w:cs="Arial"/>
          <w:color w:val="000000"/>
          <w:lang w:val="en-US"/>
        </w:rPr>
        <w:t xml:space="preserve"> </w:t>
      </w:r>
      <w:r w:rsidR="00577A70" w:rsidRPr="00577A70">
        <w:rPr>
          <w:rFonts w:ascii="Arial" w:eastAsia="Arial" w:hAnsi="Arial" w:cs="Arial"/>
          <w:color w:val="000000"/>
          <w:lang w:val="en-US"/>
        </w:rPr>
        <w:t>for companies with global revenues of more than €20 billion;</w:t>
      </w:r>
      <w:r>
        <w:rPr>
          <w:rFonts w:ascii="Arial" w:eastAsia="Arial" w:hAnsi="Arial" w:cs="Arial"/>
          <w:color w:val="000000"/>
          <w:lang w:val="en-US"/>
        </w:rPr>
        <w:t xml:space="preserve"> and (ii) Pillar Two compels multinational corporations with €750 million or more in annual revenue to pay a global minimum tax of 15% on income received in each country in which they operate. The reforms aim to level the playing field between countries by discouraging them from reducing their corporate income taxes to attract foreign business investment. Over 140 countries agreed to enact the two-pillar solution to address the challenges arising from the digitalization of the economy and, in 2024, these guidelines were declared effective and must now be enacted by those OECD member countries. It is possible that these guidelines, including the global minimum corporate tax rate measure of 15%, could increase the burden and costs of our tax compliance, the amount of taxes we incur in those jurisdictions and our global effective tax rate, which could have a material adverse impact on our results of operations and financial results. </w:t>
      </w:r>
    </w:p>
    <w:p w14:paraId="71F3DFEC" w14:textId="77777777" w:rsidR="00510CAA" w:rsidRDefault="00510CAA">
      <w:pPr>
        <w:pBdr>
          <w:top w:val="nil"/>
          <w:left w:val="nil"/>
          <w:bottom w:val="nil"/>
          <w:right w:val="nil"/>
          <w:between w:val="nil"/>
          <w:bar w:val="nil"/>
        </w:pBdr>
        <w:jc w:val="both"/>
        <w:rPr>
          <w:rFonts w:ascii="Arial" w:eastAsia="Arial" w:hAnsi="Arial" w:cs="Arial"/>
          <w:bdr w:val="nil"/>
        </w:rPr>
      </w:pPr>
    </w:p>
    <w:p w14:paraId="71F3DFED" w14:textId="77777777" w:rsidR="0088083D" w:rsidRPr="00616F3F" w:rsidRDefault="003A4815" w:rsidP="00616F3F">
      <w:pPr>
        <w:pStyle w:val="Heading3"/>
        <w:keepNext w:val="0"/>
        <w:pBdr>
          <w:top w:val="nil"/>
          <w:left w:val="nil"/>
          <w:bottom w:val="nil"/>
          <w:right w:val="nil"/>
          <w:between w:val="nil"/>
          <w:bar w:val="nil"/>
        </w:pBdr>
        <w:rPr>
          <w:rFonts w:eastAsia="Arial" w:cs="Arial"/>
          <w:i w:val="0"/>
          <w:sz w:val="24"/>
          <w:szCs w:val="24"/>
          <w:bdr w:val="nil"/>
          <w:lang w:val="en-US"/>
        </w:rPr>
      </w:pPr>
      <w:bookmarkStart w:id="86" w:name="RG_MARKER_23047"/>
      <w:r w:rsidRPr="00616F3F">
        <w:rPr>
          <w:rFonts w:eastAsia="Arial" w:cs="Arial"/>
          <w:i w:val="0"/>
          <w:sz w:val="24"/>
          <w:szCs w:val="24"/>
          <w:lang w:val="en-US"/>
        </w:rPr>
        <w:t>Risks Relating to Our Common Stock</w:t>
      </w:r>
      <w:bookmarkEnd w:id="86"/>
    </w:p>
    <w:p w14:paraId="71F3DFEE" w14:textId="77777777" w:rsidR="0088083D" w:rsidRPr="00616F3F" w:rsidRDefault="0088083D" w:rsidP="00616F3F">
      <w:pPr>
        <w:pBdr>
          <w:top w:val="nil"/>
          <w:left w:val="nil"/>
          <w:bottom w:val="nil"/>
          <w:right w:val="nil"/>
          <w:between w:val="nil"/>
          <w:bar w:val="nil"/>
        </w:pBdr>
        <w:suppressAutoHyphens/>
        <w:jc w:val="both"/>
        <w:rPr>
          <w:rFonts w:ascii="Arial" w:eastAsia="Arial" w:hAnsi="Arial" w:cs="Arial"/>
          <w:bdr w:val="nil"/>
          <w:lang w:val="en-US"/>
        </w:rPr>
      </w:pPr>
    </w:p>
    <w:p w14:paraId="71F3DFEF" w14:textId="77777777" w:rsidR="00787C3A" w:rsidRPr="0053773E" w:rsidRDefault="003A4815" w:rsidP="0053773E">
      <w:pPr>
        <w:pStyle w:val="Heading4"/>
        <w:pBdr>
          <w:top w:val="nil"/>
          <w:left w:val="nil"/>
          <w:bottom w:val="nil"/>
          <w:right w:val="nil"/>
          <w:between w:val="nil"/>
          <w:bar w:val="nil"/>
        </w:pBdr>
        <w:rPr>
          <w:rFonts w:eastAsia="Arial" w:cs="Arial"/>
          <w:bdr w:val="nil"/>
        </w:rPr>
      </w:pPr>
      <w:bookmarkStart w:id="87" w:name="_cp_text_4_97"/>
      <w:bookmarkStart w:id="88" w:name="_DV_C487"/>
      <w:r w:rsidRPr="0053773E">
        <w:rPr>
          <w:rFonts w:ascii="Arial" w:eastAsia="Arial" w:hAnsi="Arial" w:cs="Arial"/>
          <w:lang w:val="en-US"/>
        </w:rPr>
        <w:t>We cannot assure you that our board of directors will continue to declare dividends on shares of our common stock in the future.</w:t>
      </w:r>
    </w:p>
    <w:bookmarkEnd w:id="87"/>
    <w:p w14:paraId="71F3DFF0" w14:textId="77777777" w:rsidR="00787C3A" w:rsidRPr="00616F3F" w:rsidRDefault="00787C3A" w:rsidP="00616F3F">
      <w:pPr>
        <w:keepNext/>
        <w:keepLines/>
        <w:pBdr>
          <w:top w:val="nil"/>
          <w:left w:val="nil"/>
          <w:bottom w:val="nil"/>
          <w:right w:val="nil"/>
          <w:between w:val="nil"/>
          <w:bar w:val="nil"/>
        </w:pBdr>
        <w:jc w:val="both"/>
        <w:rPr>
          <w:rFonts w:ascii="Arial" w:eastAsia="Arial" w:hAnsi="Arial" w:cs="Arial"/>
          <w:strike/>
          <w:kern w:val="32"/>
          <w:bdr w:val="nil"/>
          <w:lang w:val="en-US"/>
        </w:rPr>
      </w:pPr>
    </w:p>
    <w:p w14:paraId="71F3DFF1" w14:textId="77777777" w:rsidR="00787C3A" w:rsidRPr="00616F3F" w:rsidRDefault="003A4815" w:rsidP="00616F3F">
      <w:pPr>
        <w:pBdr>
          <w:top w:val="nil"/>
          <w:left w:val="nil"/>
          <w:bottom w:val="nil"/>
          <w:right w:val="nil"/>
          <w:between w:val="nil"/>
          <w:bar w:val="nil"/>
        </w:pBdr>
        <w:jc w:val="both"/>
        <w:rPr>
          <w:rFonts w:ascii="Arial" w:eastAsia="Arial" w:hAnsi="Arial" w:cs="Arial"/>
          <w:strike/>
          <w:bdr w:val="nil"/>
          <w:lang w:val="en-US"/>
        </w:rPr>
      </w:pPr>
      <w:r w:rsidRPr="00616F3F">
        <w:rPr>
          <w:rFonts w:ascii="Arial" w:eastAsia="Arial" w:hAnsi="Arial" w:cs="Arial"/>
          <w:kern w:val="32"/>
          <w:lang w:val="en-US"/>
        </w:rPr>
        <w:t>In order to position us to take advantage of market opportunities in a then-deteriorating market, our board of directors, beginning with the fourth quarter of 2008, suspended our common stock dividend. As a result of improving market conditions in 202</w:t>
      </w:r>
      <w:r>
        <w:rPr>
          <w:rFonts w:ascii="Arial" w:eastAsia="Arial" w:hAnsi="Arial" w:cs="Arial"/>
          <w:kern w:val="32"/>
          <w:lang w:val="en-US"/>
        </w:rPr>
        <w:t>1</w:t>
      </w:r>
      <w:r w:rsidRPr="00616F3F">
        <w:rPr>
          <w:rFonts w:ascii="Arial" w:eastAsia="Arial" w:hAnsi="Arial" w:cs="Arial"/>
          <w:kern w:val="32"/>
          <w:lang w:val="en-US"/>
        </w:rPr>
        <w:t xml:space="preserve">, our board of directors elected to declare quarterly dividends </w:t>
      </w:r>
      <w:r>
        <w:rPr>
          <w:rFonts w:ascii="Arial" w:eastAsia="Arial" w:hAnsi="Arial" w:cs="Arial"/>
          <w:kern w:val="32"/>
          <w:lang w:val="en-US"/>
        </w:rPr>
        <w:t>from the fourth quarter of 2021 until the fourth quarter of 202</w:t>
      </w:r>
      <w:r w:rsidR="0085775E">
        <w:rPr>
          <w:rFonts w:ascii="Arial" w:eastAsia="Arial" w:hAnsi="Arial" w:cs="Arial"/>
          <w:kern w:val="32"/>
          <w:lang w:val="en-US"/>
        </w:rPr>
        <w:t>5</w:t>
      </w:r>
      <w:r>
        <w:rPr>
          <w:rFonts w:ascii="Arial" w:eastAsia="Arial" w:hAnsi="Arial" w:cs="Arial"/>
          <w:kern w:val="32"/>
          <w:lang w:val="en-US"/>
        </w:rPr>
        <w:t xml:space="preserve"> and two</w:t>
      </w:r>
      <w:r w:rsidRPr="00616F3F">
        <w:rPr>
          <w:rFonts w:ascii="Arial" w:eastAsia="Arial" w:hAnsi="Arial" w:cs="Arial"/>
          <w:kern w:val="32"/>
          <w:lang w:val="en-US"/>
        </w:rPr>
        <w:t xml:space="preserve"> special non-cash dividend</w:t>
      </w:r>
      <w:r w:rsidR="00C947BF">
        <w:rPr>
          <w:rFonts w:ascii="Arial" w:eastAsia="Arial" w:hAnsi="Arial" w:cs="Arial"/>
          <w:kern w:val="32"/>
          <w:lang w:val="en-US"/>
        </w:rPr>
        <w:t>s</w:t>
      </w:r>
      <w:r w:rsidR="00467D03" w:rsidRPr="00616F3F">
        <w:rPr>
          <w:rFonts w:ascii="Arial" w:eastAsia="Arial" w:hAnsi="Arial" w:cs="Arial"/>
          <w:kern w:val="32"/>
          <w:lang w:val="en-US"/>
        </w:rPr>
        <w:t>.</w:t>
      </w:r>
      <w:r w:rsidR="007F7137" w:rsidRPr="00616F3F">
        <w:rPr>
          <w:rFonts w:ascii="Arial" w:eastAsia="Arial" w:hAnsi="Arial" w:cs="Arial"/>
          <w:kern w:val="32"/>
          <w:lang w:val="en-US"/>
        </w:rPr>
        <w:t xml:space="preserve"> The actual declaration of future cash dividends, and the establishment of record and payment dates, is subject to final determination by </w:t>
      </w:r>
      <w:r w:rsidR="00594A47" w:rsidRPr="00616F3F">
        <w:rPr>
          <w:rFonts w:ascii="Arial" w:eastAsia="Arial" w:hAnsi="Arial" w:cs="Arial"/>
          <w:kern w:val="32"/>
          <w:lang w:val="en-US"/>
        </w:rPr>
        <w:t>our</w:t>
      </w:r>
      <w:r w:rsidR="007F7137" w:rsidRPr="00616F3F">
        <w:rPr>
          <w:rFonts w:ascii="Arial" w:eastAsia="Arial" w:hAnsi="Arial" w:cs="Arial"/>
          <w:kern w:val="32"/>
          <w:lang w:val="en-US"/>
        </w:rPr>
        <w:t xml:space="preserve"> board of directors each quarter after its review of the company's financial performance.</w:t>
      </w:r>
      <w:r w:rsidRPr="00616F3F">
        <w:rPr>
          <w:rFonts w:ascii="Arial" w:eastAsia="Arial" w:hAnsi="Arial" w:cs="Arial"/>
          <w:kern w:val="32"/>
          <w:lang w:val="en-US"/>
        </w:rPr>
        <w:t xml:space="preserve"> </w:t>
      </w:r>
      <w:r w:rsidR="00594A47" w:rsidRPr="00616F3F">
        <w:rPr>
          <w:rFonts w:ascii="Arial" w:eastAsia="Arial" w:hAnsi="Arial" w:cs="Arial"/>
          <w:kern w:val="32"/>
          <w:lang w:val="en-US"/>
        </w:rPr>
        <w:t>W</w:t>
      </w:r>
      <w:r w:rsidRPr="00616F3F">
        <w:rPr>
          <w:rFonts w:ascii="Arial" w:eastAsia="Arial" w:hAnsi="Arial" w:cs="Arial"/>
          <w:kern w:val="32"/>
          <w:lang w:val="en-US"/>
        </w:rPr>
        <w:t>e</w:t>
      </w:r>
      <w:r w:rsidR="00594A47" w:rsidRPr="00616F3F">
        <w:rPr>
          <w:rFonts w:ascii="Arial" w:eastAsia="Arial" w:hAnsi="Arial" w:cs="Arial"/>
          <w:kern w:val="32"/>
          <w:lang w:val="en-US"/>
        </w:rPr>
        <w:t xml:space="preserve"> </w:t>
      </w:r>
      <w:r w:rsidRPr="00616F3F">
        <w:rPr>
          <w:rFonts w:ascii="Arial" w:eastAsia="Arial" w:hAnsi="Arial" w:cs="Arial"/>
          <w:kern w:val="32"/>
          <w:lang w:val="en-US"/>
        </w:rPr>
        <w:t xml:space="preserve">cannot assure you that our board of directors will declare and pay dividends going forward. Our dividend policy </w:t>
      </w:r>
      <w:r w:rsidR="00594A47" w:rsidRPr="00616F3F">
        <w:rPr>
          <w:rFonts w:ascii="Arial" w:eastAsia="Arial" w:hAnsi="Arial" w:cs="Arial"/>
          <w:kern w:val="32"/>
          <w:lang w:val="en-US"/>
        </w:rPr>
        <w:t>is</w:t>
      </w:r>
      <w:r w:rsidRPr="00616F3F">
        <w:rPr>
          <w:rFonts w:ascii="Arial" w:eastAsia="Arial" w:hAnsi="Arial" w:cs="Arial"/>
          <w:kern w:val="32"/>
          <w:lang w:val="en-US"/>
        </w:rPr>
        <w:t xml:space="preserve"> assessed by our board of directors from time to time</w:t>
      </w:r>
      <w:bookmarkStart w:id="89" w:name="_DV_C488"/>
      <w:bookmarkStart w:id="90" w:name="_cp_text_4_99"/>
      <w:bookmarkEnd w:id="88"/>
      <w:r w:rsidRPr="00616F3F">
        <w:rPr>
          <w:rFonts w:ascii="Arial" w:eastAsia="Arial" w:hAnsi="Arial" w:cs="Arial"/>
          <w:kern w:val="32"/>
          <w:lang w:val="en-US"/>
        </w:rPr>
        <w:t>, based on prevailing market conditions</w:t>
      </w:r>
      <w:r w:rsidR="00F474D6" w:rsidRPr="00616F3F">
        <w:rPr>
          <w:rFonts w:ascii="Arial" w:eastAsia="Arial" w:hAnsi="Arial" w:cs="Arial"/>
          <w:kern w:val="32"/>
          <w:lang w:val="en-US"/>
        </w:rPr>
        <w:t xml:space="preserve">, </w:t>
      </w:r>
      <w:r w:rsidRPr="00616F3F">
        <w:rPr>
          <w:rFonts w:ascii="Arial" w:eastAsia="Arial" w:hAnsi="Arial" w:cs="Arial"/>
          <w:kern w:val="32"/>
          <w:lang w:val="en-US"/>
        </w:rPr>
        <w:t>available cash, uses of capital,</w:t>
      </w:r>
      <w:r w:rsidR="00F474D6" w:rsidRPr="00616F3F">
        <w:rPr>
          <w:rFonts w:ascii="Arial" w:eastAsia="Arial" w:hAnsi="Arial" w:cs="Arial"/>
          <w:kern w:val="32"/>
          <w:lang w:val="en-US"/>
        </w:rPr>
        <w:t xml:space="preserve"> contingent liabilities, the terms of our loan facilities, our growt</w:t>
      </w:r>
      <w:r w:rsidRPr="00616F3F">
        <w:rPr>
          <w:rFonts w:ascii="Arial" w:eastAsia="Arial" w:hAnsi="Arial" w:cs="Arial"/>
          <w:kern w:val="32"/>
          <w:lang w:val="en-US"/>
        </w:rPr>
        <w:t xml:space="preserve">h strategy and other cash needs, </w:t>
      </w:r>
      <w:r w:rsidR="00F474D6" w:rsidRPr="00616F3F">
        <w:rPr>
          <w:rFonts w:ascii="Arial" w:eastAsia="Arial" w:hAnsi="Arial" w:cs="Arial"/>
          <w:kern w:val="32"/>
          <w:lang w:val="en-US"/>
        </w:rPr>
        <w:t>the requi</w:t>
      </w:r>
      <w:r w:rsidRPr="00616F3F">
        <w:rPr>
          <w:rFonts w:ascii="Arial" w:eastAsia="Arial" w:hAnsi="Arial" w:cs="Arial"/>
          <w:kern w:val="32"/>
          <w:lang w:val="en-US"/>
        </w:rPr>
        <w:t>rements of Marshall Islands law and</w:t>
      </w:r>
      <w:r w:rsidR="00F474D6" w:rsidRPr="00616F3F">
        <w:rPr>
          <w:rFonts w:ascii="Arial" w:eastAsia="Arial" w:hAnsi="Arial" w:cs="Arial"/>
          <w:kern w:val="32"/>
          <w:lang w:val="en-US"/>
        </w:rPr>
        <w:t xml:space="preserve"> other factors deemed relevant to our board of directors. </w:t>
      </w:r>
      <w:bookmarkEnd w:id="89"/>
      <w:r w:rsidR="005A2DAE" w:rsidRPr="005A2DAE">
        <w:rPr>
          <w:rFonts w:ascii="Arial" w:eastAsia="Arial" w:hAnsi="Arial" w:cs="Arial"/>
          <w:kern w:val="32"/>
          <w:lang w:val="en-US"/>
        </w:rPr>
        <w:t>In addition, other external factors, such as when our lenders impose restrictions on our ability to pay dividends, may affect our dividend policy</w:t>
      </w:r>
      <w:r w:rsidR="00701787">
        <w:rPr>
          <w:rFonts w:ascii="Arial" w:eastAsia="Arial" w:hAnsi="Arial" w:cs="Arial"/>
          <w:kern w:val="32"/>
          <w:lang w:val="en-US"/>
        </w:rPr>
        <w:t>. U</w:t>
      </w:r>
      <w:r w:rsidRPr="00616F3F">
        <w:rPr>
          <w:rFonts w:ascii="Arial" w:eastAsia="Arial" w:hAnsi="Arial" w:cs="Arial"/>
          <w:kern w:val="32"/>
          <w:lang w:val="en-US"/>
        </w:rPr>
        <w:t>nder the terms of our agreements, we may not be permitted to pay dividends that would result in an event of default or if an event of default has occurred and is continuing.</w:t>
      </w:r>
    </w:p>
    <w:p w14:paraId="71F3DFF2" w14:textId="77777777" w:rsidR="00701787" w:rsidRDefault="00701787" w:rsidP="00616F3F">
      <w:pPr>
        <w:pBdr>
          <w:top w:val="nil"/>
          <w:left w:val="nil"/>
          <w:bottom w:val="nil"/>
          <w:right w:val="nil"/>
          <w:between w:val="nil"/>
          <w:bar w:val="nil"/>
        </w:pBdr>
        <w:jc w:val="both"/>
        <w:rPr>
          <w:rFonts w:ascii="Arial" w:eastAsia="Arial" w:hAnsi="Arial" w:cs="Arial"/>
          <w:kern w:val="32"/>
          <w:bdr w:val="nil"/>
          <w:lang w:val="en-US"/>
        </w:rPr>
      </w:pPr>
      <w:bookmarkStart w:id="91" w:name="_DV_C491"/>
      <w:bookmarkStart w:id="92" w:name="_cp_text_4_100"/>
      <w:bookmarkEnd w:id="90"/>
    </w:p>
    <w:p w14:paraId="71F3DFF3" w14:textId="77777777" w:rsidR="00787C3A"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kern w:val="32"/>
          <w:lang w:val="en-US"/>
        </w:rPr>
        <w:t>Our strategy contemplates that we will finance the acquisition of additional vessels through a combination of debt and equity financing on terms acceptable to us. If financing is not available to us on acceptable terms, our board of directors may determine to finance or refinance acquisitions with cash from operations, which could also reduce or even eliminate the amount of cash available for the payment of dividends.</w:t>
      </w:r>
      <w:bookmarkEnd w:id="91"/>
    </w:p>
    <w:bookmarkEnd w:id="92"/>
    <w:p w14:paraId="71F3DFF4" w14:textId="77777777" w:rsidR="00787C3A" w:rsidRPr="00616F3F" w:rsidRDefault="00787C3A" w:rsidP="00616F3F">
      <w:pPr>
        <w:pBdr>
          <w:top w:val="nil"/>
          <w:left w:val="nil"/>
          <w:bottom w:val="nil"/>
          <w:right w:val="nil"/>
          <w:between w:val="nil"/>
          <w:bar w:val="nil"/>
        </w:pBdr>
        <w:jc w:val="both"/>
        <w:rPr>
          <w:rFonts w:ascii="Arial" w:eastAsia="Arial" w:hAnsi="Arial" w:cs="Arial"/>
          <w:bdr w:val="nil"/>
          <w:lang w:val="en-US"/>
        </w:rPr>
      </w:pPr>
    </w:p>
    <w:p w14:paraId="71F3DFF5" w14:textId="77777777" w:rsidR="00787C3A" w:rsidRPr="00616F3F" w:rsidRDefault="003A4815" w:rsidP="00616F3F">
      <w:pPr>
        <w:pBdr>
          <w:top w:val="nil"/>
          <w:left w:val="nil"/>
          <w:bottom w:val="nil"/>
          <w:right w:val="nil"/>
          <w:between w:val="nil"/>
          <w:bar w:val="nil"/>
        </w:pBdr>
        <w:jc w:val="both"/>
        <w:rPr>
          <w:rFonts w:ascii="Arial" w:eastAsia="Arial" w:hAnsi="Arial" w:cs="Arial"/>
          <w:strike/>
          <w:bdr w:val="nil"/>
          <w:lang w:val="en-US"/>
        </w:rPr>
      </w:pPr>
      <w:bookmarkStart w:id="93" w:name="_DV_C492"/>
      <w:bookmarkStart w:id="94" w:name="_cp_text_4_101"/>
      <w:r w:rsidRPr="00616F3F">
        <w:rPr>
          <w:rFonts w:ascii="Arial" w:eastAsia="Arial" w:hAnsi="Arial" w:cs="Arial"/>
          <w:kern w:val="32"/>
          <w:lang w:val="en-US"/>
        </w:rPr>
        <w:t>Marshall Islands law generally prohibits the payment of dividends other than from surplus (retained earnings and the excess of consideration received for the sale of shares above the par value of the shares)</w:t>
      </w:r>
      <w:r w:rsidRPr="00652D37">
        <w:rPr>
          <w:rFonts w:ascii="Arial" w:eastAsia="Arial" w:hAnsi="Arial" w:cs="Arial"/>
          <w:kern w:val="32"/>
          <w:lang w:val="en-US"/>
        </w:rPr>
        <w:t>, or</w:t>
      </w:r>
      <w:r w:rsidRPr="00616F3F">
        <w:rPr>
          <w:rFonts w:ascii="Arial" w:eastAsia="Arial" w:hAnsi="Arial" w:cs="Arial"/>
          <w:kern w:val="32"/>
          <w:lang w:val="en-US"/>
        </w:rPr>
        <w:t xml:space="preserve"> while a company is insolvent or would be rendered insolvent by the payment of such a dividend. We may not have sufficient surplus in the future to pay dividends. </w:t>
      </w:r>
      <w:bookmarkEnd w:id="93"/>
    </w:p>
    <w:bookmarkEnd w:id="94"/>
    <w:p w14:paraId="71F3DFF6" w14:textId="77777777" w:rsidR="00787C3A" w:rsidRPr="00616F3F" w:rsidRDefault="00787C3A" w:rsidP="00616F3F">
      <w:pPr>
        <w:pBdr>
          <w:top w:val="nil"/>
          <w:left w:val="nil"/>
          <w:bottom w:val="nil"/>
          <w:right w:val="nil"/>
          <w:between w:val="nil"/>
          <w:bar w:val="nil"/>
        </w:pBdr>
        <w:jc w:val="both"/>
        <w:rPr>
          <w:rFonts w:ascii="Arial" w:eastAsia="Arial" w:hAnsi="Arial" w:cs="Arial"/>
          <w:strike/>
          <w:kern w:val="32"/>
          <w:bdr w:val="nil"/>
          <w:lang w:val="en-US"/>
        </w:rPr>
      </w:pPr>
    </w:p>
    <w:p w14:paraId="71F3DFF7" w14:textId="77777777" w:rsidR="00787C3A" w:rsidRPr="00616F3F" w:rsidRDefault="003A4815" w:rsidP="00616F3F">
      <w:pPr>
        <w:pBdr>
          <w:top w:val="nil"/>
          <w:left w:val="nil"/>
          <w:bottom w:val="nil"/>
          <w:right w:val="nil"/>
          <w:between w:val="nil"/>
          <w:bar w:val="nil"/>
        </w:pBdr>
        <w:jc w:val="both"/>
        <w:rPr>
          <w:rFonts w:ascii="Arial" w:eastAsia="Arial" w:hAnsi="Arial" w:cs="Arial"/>
          <w:strike/>
          <w:kern w:val="32"/>
          <w:bdr w:val="nil"/>
          <w:lang w:val="en-US"/>
        </w:rPr>
      </w:pPr>
      <w:bookmarkStart w:id="95" w:name="_cp_text_4_102"/>
      <w:r w:rsidRPr="00616F3F">
        <w:rPr>
          <w:rFonts w:ascii="Arial" w:eastAsia="Arial" w:hAnsi="Arial" w:cs="Arial"/>
          <w:kern w:val="32"/>
          <w:lang w:val="en-US"/>
        </w:rPr>
        <w:t xml:space="preserve">In addition, our ability to pay dividends to holders of our common shares will be subject to the rights of holders of our Series B Preferred Shares, which rank senior to our common shares with respect to dividends, distributions and payments upon liquidation. No cash dividend may be paid on our common stock unless full cumulative dividends have been or contemporaneously are being paid or provided for on all outstanding Series B Preferred Shares for all prior and the then-ending dividend periods. Cumulative dividends on our Series B Preferred Shares accrue at a rate of 8.875% per annum per $25.00 stated liquidation preference per Series B Preferred Share, subject to increase upon the occurrence of certain events, and are payable, as and if declared by our board of directors, on January 15, April 15, July 15 and October 15 of each year, </w:t>
      </w:r>
      <w:bookmarkStart w:id="96" w:name="_cp_text_4_103"/>
      <w:bookmarkEnd w:id="95"/>
      <w:r w:rsidRPr="00616F3F">
        <w:rPr>
          <w:rFonts w:ascii="Arial" w:eastAsia="Arial" w:hAnsi="Arial" w:cs="Arial"/>
          <w:kern w:val="32"/>
          <w:lang w:val="en-US"/>
        </w:rPr>
        <w:t xml:space="preserve">or, if any such dividend payment date otherwise would fall on a date that is not a business day, the immediately succeeding business day. For additional information about our Series B Preferred Shares, please see the section entitled "Description of Registrant's Securities to be Registered" of our registration statement on Form 8-A filed with the </w:t>
      </w:r>
      <w:bookmarkStart w:id="97" w:name="_cp_text_1_104"/>
      <w:bookmarkEnd w:id="96"/>
      <w:r w:rsidRPr="00616F3F">
        <w:rPr>
          <w:rFonts w:ascii="Arial" w:eastAsia="Arial" w:hAnsi="Arial" w:cs="Arial"/>
          <w:kern w:val="32"/>
          <w:lang w:val="en-US"/>
        </w:rPr>
        <w:t xml:space="preserve">SEC </w:t>
      </w:r>
      <w:bookmarkStart w:id="98" w:name="_cp_text_4_105"/>
      <w:bookmarkEnd w:id="97"/>
      <w:r w:rsidRPr="00616F3F">
        <w:rPr>
          <w:rFonts w:ascii="Arial" w:eastAsia="Arial" w:hAnsi="Arial" w:cs="Arial"/>
          <w:kern w:val="32"/>
          <w:lang w:val="en-US"/>
        </w:rPr>
        <w:t>on February 13, 2014 and incorporated by reference herein.</w:t>
      </w:r>
      <w:bookmarkStart w:id="99" w:name="_cp_text_4_106"/>
      <w:bookmarkEnd w:id="98"/>
    </w:p>
    <w:bookmarkEnd w:id="99"/>
    <w:p w14:paraId="71F3DFF8" w14:textId="77777777" w:rsidR="00787C3A" w:rsidRPr="00616F3F" w:rsidRDefault="00787C3A" w:rsidP="00616F3F">
      <w:pPr>
        <w:pBdr>
          <w:top w:val="nil"/>
          <w:left w:val="nil"/>
          <w:bottom w:val="nil"/>
          <w:right w:val="nil"/>
          <w:between w:val="nil"/>
          <w:bar w:val="nil"/>
        </w:pBdr>
        <w:suppressAutoHyphens/>
        <w:jc w:val="both"/>
        <w:rPr>
          <w:rFonts w:ascii="Arial" w:eastAsia="Arial" w:hAnsi="Arial" w:cs="Arial"/>
          <w:b/>
          <w:bCs/>
          <w:i/>
          <w:iCs/>
          <w:bdr w:val="nil"/>
          <w:lang w:val="en-US"/>
        </w:rPr>
      </w:pPr>
    </w:p>
    <w:p w14:paraId="71F3DFF9" w14:textId="77777777" w:rsidR="006D1641" w:rsidRPr="00616F3F" w:rsidRDefault="003A4815" w:rsidP="00616F3F">
      <w:pPr>
        <w:keepNext/>
        <w:keepLines/>
        <w:pBdr>
          <w:top w:val="nil"/>
          <w:left w:val="nil"/>
          <w:bottom w:val="nil"/>
          <w:right w:val="nil"/>
          <w:between w:val="nil"/>
          <w:bar w:val="nil"/>
        </w:pBdr>
        <w:jc w:val="both"/>
        <w:rPr>
          <w:rFonts w:ascii="Arial" w:eastAsia="Arial" w:hAnsi="Arial" w:cs="Arial"/>
          <w:b/>
          <w:i/>
          <w:color w:val="000000"/>
          <w:spacing w:val="-4"/>
          <w:bdr w:val="nil"/>
          <w:lang w:val="en-US"/>
        </w:rPr>
      </w:pPr>
      <w:bookmarkStart w:id="100" w:name="_Hlk128679451"/>
      <w:r w:rsidRPr="00616F3F">
        <w:rPr>
          <w:rFonts w:ascii="Arial" w:eastAsia="Arial" w:hAnsi="Arial" w:cs="Arial"/>
          <w:b/>
          <w:i/>
          <w:color w:val="000000"/>
          <w:spacing w:val="-4"/>
          <w:lang w:val="en-US"/>
        </w:rPr>
        <w:t xml:space="preserve">The market </w:t>
      </w:r>
      <w:r w:rsidRPr="00616F3F">
        <w:rPr>
          <w:rFonts w:ascii="Arial" w:eastAsia="Arial" w:hAnsi="Arial" w:cs="Arial"/>
          <w:b/>
          <w:bCs/>
          <w:i/>
          <w:iCs/>
          <w:color w:val="000000"/>
          <w:spacing w:val="-4"/>
          <w:lang w:val="en-US"/>
        </w:rPr>
        <w:t xml:space="preserve">prices and trading volume </w:t>
      </w:r>
      <w:r w:rsidRPr="00616F3F">
        <w:rPr>
          <w:rFonts w:ascii="Arial" w:eastAsia="Arial" w:hAnsi="Arial" w:cs="Arial"/>
          <w:b/>
          <w:i/>
          <w:color w:val="000000"/>
          <w:spacing w:val="-4"/>
          <w:lang w:val="en-US"/>
        </w:rPr>
        <w:t xml:space="preserve">of our </w:t>
      </w:r>
      <w:r w:rsidRPr="00616F3F">
        <w:rPr>
          <w:rFonts w:ascii="Arial" w:eastAsia="Arial" w:hAnsi="Arial" w:cs="Arial"/>
          <w:b/>
          <w:bCs/>
          <w:i/>
          <w:iCs/>
          <w:color w:val="000000"/>
          <w:spacing w:val="-4"/>
          <w:lang w:val="en-US"/>
        </w:rPr>
        <w:t xml:space="preserve">shares of </w:t>
      </w:r>
      <w:r w:rsidRPr="00616F3F">
        <w:rPr>
          <w:rFonts w:ascii="Arial" w:eastAsia="Arial" w:hAnsi="Arial" w:cs="Arial"/>
          <w:b/>
          <w:i/>
          <w:color w:val="000000"/>
          <w:spacing w:val="-4"/>
          <w:lang w:val="en-US"/>
        </w:rPr>
        <w:t xml:space="preserve">common stock </w:t>
      </w:r>
      <w:r w:rsidRPr="00616F3F">
        <w:rPr>
          <w:rFonts w:ascii="Arial" w:eastAsia="Arial" w:hAnsi="Arial" w:cs="Arial"/>
          <w:b/>
          <w:bCs/>
          <w:i/>
          <w:iCs/>
          <w:color w:val="000000"/>
          <w:spacing w:val="-4"/>
          <w:lang w:val="en-US"/>
        </w:rPr>
        <w:t xml:space="preserve">may experience rapid and substantial price volatility, which could cause purchasers of </w:t>
      </w:r>
      <w:r w:rsidRPr="00616F3F">
        <w:rPr>
          <w:rFonts w:ascii="Arial" w:eastAsia="Arial" w:hAnsi="Arial" w:cs="Arial"/>
          <w:b/>
          <w:i/>
          <w:color w:val="000000"/>
          <w:spacing w:val="-4"/>
          <w:lang w:val="en-US"/>
        </w:rPr>
        <w:t xml:space="preserve">our common stock </w:t>
      </w:r>
      <w:r w:rsidRPr="00616F3F">
        <w:rPr>
          <w:rFonts w:ascii="Arial" w:eastAsia="Arial" w:hAnsi="Arial" w:cs="Arial"/>
          <w:b/>
          <w:bCs/>
          <w:i/>
          <w:iCs/>
          <w:color w:val="000000"/>
          <w:spacing w:val="-4"/>
          <w:lang w:val="en-US"/>
        </w:rPr>
        <w:t>to incur substantial losses</w:t>
      </w:r>
      <w:r w:rsidRPr="00616F3F">
        <w:rPr>
          <w:rFonts w:ascii="Arial" w:eastAsia="Arial" w:hAnsi="Arial" w:cs="Arial"/>
          <w:b/>
          <w:i/>
          <w:color w:val="000000"/>
          <w:spacing w:val="-4"/>
          <w:lang w:val="en-US"/>
        </w:rPr>
        <w:t>.</w:t>
      </w:r>
    </w:p>
    <w:p w14:paraId="71F3DFFA" w14:textId="77777777" w:rsidR="006D1641" w:rsidRPr="00616F3F" w:rsidRDefault="006D1641" w:rsidP="00616F3F">
      <w:pPr>
        <w:keepNext/>
        <w:keepLines/>
        <w:pBdr>
          <w:top w:val="nil"/>
          <w:left w:val="nil"/>
          <w:bottom w:val="nil"/>
          <w:right w:val="nil"/>
          <w:between w:val="nil"/>
          <w:bar w:val="nil"/>
        </w:pBdr>
        <w:jc w:val="both"/>
        <w:rPr>
          <w:rFonts w:ascii="Arial" w:eastAsia="Arial" w:hAnsi="Arial" w:cs="Arial"/>
          <w:b/>
          <w:bCs/>
          <w:i/>
          <w:iCs/>
          <w:color w:val="000000"/>
          <w:bdr w:val="nil"/>
          <w:lang w:val="en-US"/>
        </w:rPr>
      </w:pPr>
    </w:p>
    <w:p w14:paraId="71F3DFFB" w14:textId="77777777" w:rsidR="006D1641" w:rsidRPr="00616F3F" w:rsidRDefault="003A4815" w:rsidP="00616F3F">
      <w:pPr>
        <w:pBdr>
          <w:top w:val="nil"/>
          <w:left w:val="nil"/>
          <w:bottom w:val="nil"/>
          <w:right w:val="nil"/>
          <w:between w:val="nil"/>
          <w:bar w:val="nil"/>
        </w:pBdr>
        <w:spacing w:line="230" w:lineRule="atLeast"/>
        <w:jc w:val="both"/>
        <w:rPr>
          <w:rFonts w:ascii="Arial" w:eastAsia="Arial" w:hAnsi="Arial" w:cs="Arial"/>
          <w:color w:val="000000"/>
          <w:bdr w:val="nil"/>
          <w:lang w:val="en-US"/>
        </w:rPr>
      </w:pPr>
      <w:r w:rsidRPr="00616F3F">
        <w:rPr>
          <w:rFonts w:ascii="Arial" w:eastAsia="Arial" w:hAnsi="Arial" w:cs="Arial"/>
          <w:color w:val="000000"/>
          <w:spacing w:val="4"/>
          <w:lang w:val="en-US"/>
        </w:rPr>
        <w:t>Our</w:t>
      </w:r>
      <w:r w:rsidR="00C656E0" w:rsidRPr="00616F3F">
        <w:rPr>
          <w:rFonts w:ascii="Arial" w:eastAsia="Arial" w:hAnsi="Arial" w:cs="Arial"/>
          <w:color w:val="000000"/>
          <w:spacing w:val="4"/>
          <w:lang w:val="en-US"/>
        </w:rPr>
        <w:t xml:space="preserve"> shares of our common stock may experience similar rapid and substantial price volatility unrelated to our financial performance, which could cause purchasers of our common stock to incur substantial losses, which may be unpredictable and not bear any relationship to our business and financial performance. Extreme fluctuations in the market price of our common stock may occur in response to strong and atypical retail investor interest, including on social media and online forums, the direct access by retail investors to broadly available trading platforms, the amount and status of short interest in our common stock and our other securities, access to margin debt, trading in options and other derivatives on our shares of common stock and any related hedging and other trading factors:</w:t>
      </w:r>
    </w:p>
    <w:p w14:paraId="71F3DFFC" w14:textId="77777777" w:rsidR="006D1641" w:rsidRPr="00616F3F" w:rsidRDefault="006D1641" w:rsidP="00616F3F">
      <w:pPr>
        <w:pBdr>
          <w:top w:val="nil"/>
          <w:left w:val="nil"/>
          <w:bottom w:val="nil"/>
          <w:right w:val="nil"/>
          <w:between w:val="nil"/>
          <w:bar w:val="nil"/>
        </w:pBdr>
        <w:spacing w:line="230" w:lineRule="atLeast"/>
        <w:jc w:val="both"/>
        <w:rPr>
          <w:rFonts w:ascii="Arial" w:eastAsia="Arial" w:hAnsi="Arial" w:cs="Arial"/>
          <w:color w:val="000000"/>
          <w:spacing w:val="4"/>
          <w:bdr w:val="nil"/>
          <w:lang w:val="en-US"/>
        </w:rPr>
      </w:pPr>
    </w:p>
    <w:p w14:paraId="71F3DFFD" w14:textId="77777777" w:rsidR="006D1641" w:rsidRPr="00616F3F" w:rsidRDefault="003A4815" w:rsidP="00616F3F">
      <w:pPr>
        <w:pBdr>
          <w:top w:val="nil"/>
          <w:left w:val="nil"/>
          <w:bottom w:val="nil"/>
          <w:right w:val="nil"/>
          <w:between w:val="nil"/>
          <w:bar w:val="nil"/>
        </w:pBdr>
        <w:spacing w:line="230" w:lineRule="atLeast"/>
        <w:jc w:val="both"/>
        <w:rPr>
          <w:rFonts w:ascii="Arial" w:eastAsia="Arial" w:hAnsi="Arial" w:cs="Arial"/>
          <w:color w:val="000000"/>
          <w:spacing w:val="4"/>
          <w:bdr w:val="nil"/>
          <w:lang w:val="en-US"/>
        </w:rPr>
      </w:pPr>
      <w:r w:rsidRPr="00616F3F">
        <w:rPr>
          <w:rFonts w:ascii="Arial" w:eastAsia="Arial" w:hAnsi="Arial" w:cs="Arial"/>
          <w:color w:val="000000"/>
          <w:spacing w:val="4"/>
          <w:lang w:val="en-US"/>
        </w:rPr>
        <w:t>If there is extreme market volatility and trading patterns in our common stock, it may create several risks for purchasers of our shares, including the following:</w:t>
      </w:r>
    </w:p>
    <w:p w14:paraId="71F3DFFE" w14:textId="77777777" w:rsidR="006D1641" w:rsidRPr="00616F3F" w:rsidRDefault="006D1641" w:rsidP="00616F3F">
      <w:pPr>
        <w:pBdr>
          <w:top w:val="nil"/>
          <w:left w:val="nil"/>
          <w:bottom w:val="nil"/>
          <w:right w:val="nil"/>
          <w:between w:val="nil"/>
          <w:bar w:val="nil"/>
        </w:pBdr>
        <w:spacing w:line="230" w:lineRule="atLeast"/>
        <w:jc w:val="both"/>
        <w:rPr>
          <w:rFonts w:ascii="Arial" w:eastAsia="Arial" w:hAnsi="Arial" w:cs="Arial"/>
          <w:color w:val="000000"/>
          <w:bdr w:val="nil"/>
          <w:lang w:val="en-US"/>
        </w:rPr>
      </w:pPr>
    </w:p>
    <w:p w14:paraId="71F3DFFF" w14:textId="77777777" w:rsidR="006D1641" w:rsidRPr="00616F3F" w:rsidRDefault="003A4815" w:rsidP="00616F3F">
      <w:pPr>
        <w:pStyle w:val="ListParagraph"/>
        <w:numPr>
          <w:ilvl w:val="0"/>
          <w:numId w:val="9"/>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the market price of our common stock may experience rapid and substantial increases or decreases unrelated to our operating performance or prospects, or macro or industry fundamentals;</w:t>
      </w:r>
    </w:p>
    <w:p w14:paraId="71F3E000" w14:textId="77777777" w:rsidR="006D1641" w:rsidRPr="00616F3F" w:rsidRDefault="006D1641" w:rsidP="00616F3F">
      <w:pPr>
        <w:pStyle w:val="ListParagraph"/>
        <w:pBdr>
          <w:top w:val="nil"/>
          <w:left w:val="nil"/>
          <w:bottom w:val="nil"/>
          <w:right w:val="nil"/>
          <w:between w:val="nil"/>
          <w:bar w:val="nil"/>
        </w:pBdr>
        <w:spacing w:line="240" w:lineRule="atLeast"/>
        <w:ind w:left="1080"/>
        <w:contextualSpacing w:val="0"/>
        <w:jc w:val="both"/>
        <w:rPr>
          <w:rFonts w:ascii="Arial" w:eastAsia="Arial" w:hAnsi="Arial" w:cs="Arial"/>
          <w:color w:val="000000"/>
          <w:bdr w:val="nil"/>
        </w:rPr>
      </w:pPr>
    </w:p>
    <w:p w14:paraId="71F3E001" w14:textId="77777777" w:rsidR="006D1641" w:rsidRPr="00616F3F" w:rsidRDefault="003A4815" w:rsidP="00616F3F">
      <w:pPr>
        <w:pStyle w:val="ListParagraph"/>
        <w:numPr>
          <w:ilvl w:val="0"/>
          <w:numId w:val="9"/>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if our future market capitalization reflects trading dynamics unrelated to our financial performance or prospects, purchasers of our common stock could incur substantial losses as prices decline once the level of market volatility has abated;</w:t>
      </w:r>
    </w:p>
    <w:p w14:paraId="71F3E002" w14:textId="77777777" w:rsidR="006D1641" w:rsidRPr="00616F3F" w:rsidRDefault="006D1641" w:rsidP="00616F3F">
      <w:pPr>
        <w:pStyle w:val="ListParagraph"/>
        <w:pBdr>
          <w:top w:val="nil"/>
          <w:left w:val="nil"/>
          <w:bottom w:val="nil"/>
          <w:right w:val="nil"/>
          <w:between w:val="nil"/>
          <w:bar w:val="nil"/>
        </w:pBdr>
        <w:spacing w:line="240" w:lineRule="atLeast"/>
        <w:ind w:left="1080"/>
        <w:contextualSpacing w:val="0"/>
        <w:jc w:val="both"/>
        <w:rPr>
          <w:rFonts w:ascii="Arial" w:eastAsia="Arial" w:hAnsi="Arial" w:cs="Arial"/>
          <w:color w:val="000000"/>
          <w:bdr w:val="nil"/>
        </w:rPr>
      </w:pPr>
    </w:p>
    <w:p w14:paraId="71F3E003" w14:textId="77777777" w:rsidR="006D1641" w:rsidRPr="00616F3F" w:rsidRDefault="003A4815" w:rsidP="00616F3F">
      <w:pPr>
        <w:pStyle w:val="ListParagraph"/>
        <w:numPr>
          <w:ilvl w:val="0"/>
          <w:numId w:val="9"/>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if the future market price of our common stock declines, purchasers of shares of common stock may be unable to resell such shares at or above the price at which they acquired them. We cannot assure such purchasers that the market of our common stock will not fluctuate or decline significantly in the future, in which case investors could incur substantial losses.</w:t>
      </w:r>
    </w:p>
    <w:p w14:paraId="71F3E004" w14:textId="77777777" w:rsidR="006D1641" w:rsidRPr="00616F3F" w:rsidRDefault="006D1641" w:rsidP="00616F3F">
      <w:pPr>
        <w:pBdr>
          <w:top w:val="nil"/>
          <w:left w:val="nil"/>
          <w:bottom w:val="nil"/>
          <w:right w:val="nil"/>
          <w:between w:val="nil"/>
          <w:bar w:val="nil"/>
        </w:pBdr>
        <w:spacing w:line="0" w:lineRule="atLeast"/>
        <w:jc w:val="both"/>
        <w:rPr>
          <w:rFonts w:ascii="Arial" w:eastAsia="Arial" w:hAnsi="Arial" w:cs="Arial"/>
          <w:color w:val="000000"/>
          <w:bdr w:val="nil"/>
          <w:lang w:val="en-US"/>
        </w:rPr>
      </w:pPr>
    </w:p>
    <w:p w14:paraId="71F3E005" w14:textId="77777777" w:rsidR="006D1641" w:rsidRPr="00616F3F" w:rsidRDefault="003A4815" w:rsidP="00616F3F">
      <w:pPr>
        <w:pBdr>
          <w:top w:val="nil"/>
          <w:left w:val="nil"/>
          <w:bottom w:val="nil"/>
          <w:right w:val="nil"/>
          <w:between w:val="nil"/>
          <w:bar w:val="nil"/>
        </w:pBdr>
        <w:spacing w:line="240" w:lineRule="atLeast"/>
        <w:jc w:val="both"/>
        <w:rPr>
          <w:rFonts w:ascii="Arial" w:eastAsia="Arial" w:hAnsi="Arial" w:cs="Arial"/>
          <w:color w:val="000000"/>
          <w:spacing w:val="4"/>
          <w:bdr w:val="nil"/>
          <w:lang w:val="en-US"/>
        </w:rPr>
      </w:pPr>
      <w:r w:rsidRPr="00616F3F">
        <w:rPr>
          <w:rFonts w:ascii="Arial" w:eastAsia="Arial" w:hAnsi="Arial" w:cs="Arial"/>
          <w:color w:val="000000"/>
          <w:spacing w:val="4"/>
          <w:lang w:val="en-US"/>
        </w:rPr>
        <w:t>Further, we may incur rapid and substantial increases or decreases in our common stock price in the foreseeable future that may not coincide in timing with the disclosure of news or developments by or affecting us. Accordingly, the market price of our common stock may fluctuate dramatically, and may decline rapidly, regardless of any developments in our business. Overall, there are various factors, many of which are beyond our control, that could negatively affect the market price of our common stock or result in fluctuations in the price or trading volume of our common stock, including:</w:t>
      </w:r>
    </w:p>
    <w:p w14:paraId="71F3E006" w14:textId="77777777" w:rsidR="006D1641" w:rsidRPr="00616F3F"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07"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actual or anticipated variations in our annual or quarterly results of operations, including our earnings estimates and whether we meet market expectations with regard to our earnings;</w:t>
      </w:r>
    </w:p>
    <w:p w14:paraId="71F3E008"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09"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our ability to pay dividends or other distributions;</w:t>
      </w:r>
    </w:p>
    <w:p w14:paraId="71F3E00A"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0B"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publication of research reports by analysts or others about us or the shipping industry in which we operate which may be unfavorable, inaccurate, inconsistent or not disseminated on a regular basis;</w:t>
      </w:r>
    </w:p>
    <w:p w14:paraId="71F3E00C"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0D"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changes in market valuations of similar companies;</w:t>
      </w:r>
    </w:p>
    <w:p w14:paraId="71F3E00E"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0F"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market reaction to any additional equity, debt or other securities that we may issue in the future, and which may or may not dilute the holdings of our existing stockholders;</w:t>
      </w:r>
    </w:p>
    <w:p w14:paraId="71F3E010"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11"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additions or departures of key personnel;</w:t>
      </w:r>
    </w:p>
    <w:p w14:paraId="71F3E012"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13"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actions by institutional or significant stockholders;</w:t>
      </w:r>
    </w:p>
    <w:p w14:paraId="71F3E014"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15"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short interest in our common stock or our other securities and the market response to such short interest;</w:t>
      </w:r>
    </w:p>
    <w:p w14:paraId="71F3E016"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17"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the dramatic increase in the number of individual holders of our common stock and their participation in social media platforms targeted at speculative investing;</w:t>
      </w:r>
    </w:p>
    <w:p w14:paraId="71F3E018" w14:textId="77777777" w:rsidR="006D1641" w:rsidRPr="00933967" w:rsidRDefault="006D1641" w:rsidP="00616F3F">
      <w:pPr>
        <w:pBdr>
          <w:top w:val="nil"/>
          <w:left w:val="nil"/>
          <w:bottom w:val="nil"/>
          <w:right w:val="nil"/>
          <w:between w:val="nil"/>
          <w:bar w:val="nil"/>
        </w:pBdr>
        <w:spacing w:line="240" w:lineRule="atLeast"/>
        <w:jc w:val="both"/>
        <w:rPr>
          <w:rFonts w:ascii="Arial" w:eastAsia="Arial" w:hAnsi="Arial" w:cs="Arial"/>
          <w:color w:val="000000"/>
          <w:bdr w:val="nil"/>
          <w:lang w:val="en-US"/>
        </w:rPr>
      </w:pPr>
    </w:p>
    <w:p w14:paraId="71F3E019"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speculation in the press or investment community about our company or industries in which we operate;</w:t>
      </w:r>
    </w:p>
    <w:p w14:paraId="71F3E01A" w14:textId="77777777" w:rsidR="006D1641" w:rsidRPr="00616F3F" w:rsidRDefault="006D1641" w:rsidP="00616F3F">
      <w:pPr>
        <w:pStyle w:val="ListParagraph"/>
        <w:pBdr>
          <w:top w:val="nil"/>
          <w:left w:val="nil"/>
          <w:bottom w:val="nil"/>
          <w:right w:val="nil"/>
          <w:between w:val="nil"/>
          <w:bar w:val="nil"/>
        </w:pBdr>
        <w:ind w:hanging="720"/>
        <w:contextualSpacing w:val="0"/>
        <w:jc w:val="both"/>
        <w:rPr>
          <w:rFonts w:ascii="Arial" w:eastAsia="Arial" w:hAnsi="Arial" w:cs="Arial"/>
          <w:color w:val="000000"/>
          <w:spacing w:val="4"/>
          <w:bdr w:val="nil"/>
        </w:rPr>
      </w:pPr>
    </w:p>
    <w:p w14:paraId="71F3E01B"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strategic actions by us or our competitors, such as</w:t>
      </w:r>
      <w:r>
        <w:rPr>
          <w:rFonts w:ascii="Arial" w:eastAsia="Arial" w:hAnsi="Arial" w:cs="Arial"/>
          <w:color w:val="000000"/>
          <w:spacing w:val="4"/>
          <w:lang w:val="en-US"/>
        </w:rPr>
        <w:t xml:space="preserve"> </w:t>
      </w:r>
      <w:r w:rsidRPr="00652D37">
        <w:rPr>
          <w:rFonts w:ascii="Arial" w:eastAsia="Arial" w:hAnsi="Arial" w:cs="Arial"/>
          <w:color w:val="000000"/>
          <w:spacing w:val="4"/>
          <w:lang w:val="en-US"/>
        </w:rPr>
        <w:t>strategic alliances,</w:t>
      </w:r>
      <w:r w:rsidRPr="00616F3F">
        <w:rPr>
          <w:rFonts w:ascii="Arial" w:eastAsia="Arial" w:hAnsi="Arial" w:cs="Arial"/>
          <w:color w:val="000000"/>
          <w:spacing w:val="4"/>
          <w:lang w:val="en-US"/>
        </w:rPr>
        <w:t xml:space="preserve"> acquisitions or other investments;</w:t>
      </w:r>
    </w:p>
    <w:p w14:paraId="71F3E01C" w14:textId="77777777" w:rsidR="006D1641" w:rsidRPr="00616F3F" w:rsidRDefault="006D1641" w:rsidP="00616F3F">
      <w:pPr>
        <w:pStyle w:val="ListParagraph"/>
        <w:pBdr>
          <w:top w:val="nil"/>
          <w:left w:val="nil"/>
          <w:bottom w:val="nil"/>
          <w:right w:val="nil"/>
          <w:between w:val="nil"/>
          <w:bar w:val="nil"/>
        </w:pBdr>
        <w:ind w:hanging="720"/>
        <w:contextualSpacing w:val="0"/>
        <w:jc w:val="both"/>
        <w:rPr>
          <w:rFonts w:ascii="Arial" w:eastAsia="Arial" w:hAnsi="Arial" w:cs="Arial"/>
          <w:color w:val="000000"/>
          <w:spacing w:val="4"/>
          <w:bdr w:val="nil"/>
        </w:rPr>
      </w:pPr>
    </w:p>
    <w:p w14:paraId="71F3E01D"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legislative, administrative, regulatory or other actions affecting our business, our industry;</w:t>
      </w:r>
    </w:p>
    <w:p w14:paraId="71F3E01E" w14:textId="77777777" w:rsidR="006D1641" w:rsidRPr="00616F3F" w:rsidRDefault="006D1641" w:rsidP="00616F3F">
      <w:pPr>
        <w:pStyle w:val="ListParagraph"/>
        <w:pBdr>
          <w:top w:val="nil"/>
          <w:left w:val="nil"/>
          <w:bottom w:val="nil"/>
          <w:right w:val="nil"/>
          <w:between w:val="nil"/>
          <w:bar w:val="nil"/>
        </w:pBdr>
        <w:ind w:hanging="720"/>
        <w:contextualSpacing w:val="0"/>
        <w:jc w:val="both"/>
        <w:rPr>
          <w:rFonts w:ascii="Arial" w:eastAsia="Arial" w:hAnsi="Arial" w:cs="Arial"/>
          <w:color w:val="000000"/>
          <w:spacing w:val="4"/>
          <w:bdr w:val="nil"/>
        </w:rPr>
      </w:pPr>
    </w:p>
    <w:p w14:paraId="71F3E01F"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investigations, proceedings, or litigation that involve or affect us;</w:t>
      </w:r>
    </w:p>
    <w:p w14:paraId="71F3E020" w14:textId="77777777" w:rsidR="006D1641" w:rsidRPr="00616F3F" w:rsidRDefault="006D1641" w:rsidP="00616F3F">
      <w:pPr>
        <w:pStyle w:val="ListParagraph"/>
        <w:pBdr>
          <w:top w:val="nil"/>
          <w:left w:val="nil"/>
          <w:bottom w:val="nil"/>
          <w:right w:val="nil"/>
          <w:between w:val="nil"/>
          <w:bar w:val="nil"/>
        </w:pBdr>
        <w:ind w:hanging="720"/>
        <w:contextualSpacing w:val="0"/>
        <w:jc w:val="both"/>
        <w:rPr>
          <w:rFonts w:ascii="Arial" w:eastAsia="Arial" w:hAnsi="Arial" w:cs="Arial"/>
          <w:color w:val="000000"/>
          <w:spacing w:val="4"/>
          <w:bdr w:val="nil"/>
        </w:rPr>
      </w:pPr>
    </w:p>
    <w:p w14:paraId="71F3E021"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 xml:space="preserve">the occurrence of any of the other risk factors included in this </w:t>
      </w:r>
      <w:r>
        <w:rPr>
          <w:rFonts w:ascii="Arial" w:eastAsia="Arial" w:hAnsi="Arial" w:cs="Arial"/>
          <w:color w:val="000000"/>
          <w:spacing w:val="4"/>
          <w:lang w:val="en-US"/>
        </w:rPr>
        <w:t>annual report</w:t>
      </w:r>
      <w:r w:rsidRPr="00616F3F">
        <w:rPr>
          <w:rFonts w:ascii="Arial" w:eastAsia="Arial" w:hAnsi="Arial" w:cs="Arial"/>
          <w:color w:val="000000"/>
          <w:spacing w:val="4"/>
          <w:lang w:val="en-US"/>
        </w:rPr>
        <w:t>; and</w:t>
      </w:r>
    </w:p>
    <w:p w14:paraId="71F3E022" w14:textId="77777777" w:rsidR="006D1641" w:rsidRPr="00616F3F" w:rsidRDefault="006D1641" w:rsidP="00616F3F">
      <w:pPr>
        <w:pStyle w:val="ListParagraph"/>
        <w:pBdr>
          <w:top w:val="nil"/>
          <w:left w:val="nil"/>
          <w:bottom w:val="nil"/>
          <w:right w:val="nil"/>
          <w:between w:val="nil"/>
          <w:bar w:val="nil"/>
        </w:pBdr>
        <w:ind w:hanging="720"/>
        <w:contextualSpacing w:val="0"/>
        <w:jc w:val="both"/>
        <w:rPr>
          <w:rFonts w:ascii="Arial" w:eastAsia="Arial" w:hAnsi="Arial" w:cs="Arial"/>
          <w:color w:val="000000"/>
          <w:spacing w:val="4"/>
          <w:bdr w:val="nil"/>
        </w:rPr>
      </w:pPr>
    </w:p>
    <w:p w14:paraId="71F3E023" w14:textId="77777777" w:rsidR="006D1641" w:rsidRPr="00616F3F" w:rsidRDefault="003A4815" w:rsidP="00616F3F">
      <w:pPr>
        <w:pStyle w:val="ListParagraph"/>
        <w:numPr>
          <w:ilvl w:val="0"/>
          <w:numId w:val="10"/>
        </w:numPr>
        <w:pBdr>
          <w:top w:val="nil"/>
          <w:left w:val="nil"/>
          <w:bottom w:val="nil"/>
          <w:right w:val="nil"/>
          <w:between w:val="nil"/>
          <w:bar w:val="nil"/>
        </w:pBdr>
        <w:spacing w:line="240" w:lineRule="atLeast"/>
        <w:contextualSpacing w:val="0"/>
        <w:jc w:val="both"/>
        <w:rPr>
          <w:rFonts w:ascii="Arial" w:eastAsia="Arial" w:hAnsi="Arial" w:cs="Arial"/>
          <w:color w:val="000000"/>
          <w:bdr w:val="nil"/>
        </w:rPr>
      </w:pPr>
      <w:r w:rsidRPr="00616F3F">
        <w:rPr>
          <w:rFonts w:ascii="Arial" w:eastAsia="Arial" w:hAnsi="Arial" w:cs="Arial"/>
          <w:color w:val="000000"/>
          <w:spacing w:val="4"/>
          <w:lang w:val="en-US"/>
        </w:rPr>
        <w:t xml:space="preserve">general </w:t>
      </w:r>
      <w:r>
        <w:rPr>
          <w:rFonts w:ascii="Arial" w:eastAsia="Arial" w:hAnsi="Arial" w:cs="Arial"/>
          <w:color w:val="000000"/>
          <w:spacing w:val="4"/>
          <w:lang w:val="en-US"/>
        </w:rPr>
        <w:t xml:space="preserve">state of the securities markets, and general </w:t>
      </w:r>
      <w:r w:rsidRPr="00616F3F">
        <w:rPr>
          <w:rFonts w:ascii="Arial" w:eastAsia="Arial" w:hAnsi="Arial" w:cs="Arial"/>
          <w:color w:val="000000"/>
          <w:spacing w:val="4"/>
          <w:lang w:val="en-US"/>
        </w:rPr>
        <w:t>market and economic conditions.</w:t>
      </w:r>
    </w:p>
    <w:bookmarkEnd w:id="100"/>
    <w:p w14:paraId="71F3E024" w14:textId="77777777" w:rsidR="00AA60EF" w:rsidRPr="00616F3F" w:rsidRDefault="00AA60EF" w:rsidP="00616F3F">
      <w:pPr>
        <w:pBdr>
          <w:top w:val="nil"/>
          <w:left w:val="nil"/>
          <w:bottom w:val="nil"/>
          <w:right w:val="nil"/>
          <w:between w:val="nil"/>
          <w:bar w:val="nil"/>
        </w:pBdr>
        <w:jc w:val="both"/>
        <w:rPr>
          <w:rFonts w:ascii="Arial" w:eastAsia="Arial" w:hAnsi="Arial" w:cs="Arial"/>
          <w:bdr w:val="nil"/>
          <w:lang w:val="en-US"/>
        </w:rPr>
      </w:pPr>
    </w:p>
    <w:p w14:paraId="71F3E025" w14:textId="77777777" w:rsidR="006D1641" w:rsidRDefault="003A4815" w:rsidP="0053773E">
      <w:pPr>
        <w:pStyle w:val="Heading4"/>
        <w:pBdr>
          <w:top w:val="nil"/>
          <w:left w:val="nil"/>
          <w:bottom w:val="nil"/>
          <w:right w:val="nil"/>
          <w:between w:val="nil"/>
          <w:bar w:val="nil"/>
        </w:pBdr>
        <w:rPr>
          <w:rFonts w:eastAsia="Arial" w:cs="Arial"/>
          <w:iCs/>
          <w:bdr w:val="nil"/>
        </w:rPr>
      </w:pPr>
      <w:r w:rsidRPr="00616F3F">
        <w:rPr>
          <w:rFonts w:ascii="Arial" w:eastAsia="Arial" w:hAnsi="Arial" w:cs="Arial"/>
          <w:iCs/>
          <w:bdr w:val="none" w:sz="0" w:space="0" w:color="auto" w:frame="1"/>
          <w:lang w:val="en-US"/>
        </w:rPr>
        <w:t>Since we</w:t>
      </w:r>
      <w:r w:rsidRPr="00616F3F">
        <w:rPr>
          <w:rFonts w:ascii="Arial" w:eastAsia="Arial" w:hAnsi="Arial" w:cs="Arial"/>
          <w:bdr w:val="none" w:sz="0" w:space="0" w:color="auto" w:frame="1"/>
          <w:lang w:val="en-US"/>
        </w:rPr>
        <w:t xml:space="preserve"> are incorporated in the Marshall Islands, which does not have a well-developed body of corporate law, y</w:t>
      </w:r>
      <w:r w:rsidRPr="00616F3F">
        <w:rPr>
          <w:rFonts w:ascii="Arial" w:eastAsia="Arial" w:hAnsi="Arial" w:cs="Arial"/>
          <w:iCs/>
          <w:bdr w:val="none" w:sz="0" w:space="0" w:color="auto" w:frame="1"/>
          <w:lang w:val="en-US"/>
        </w:rPr>
        <w:t>ou may have more difficulty protecting your interests than shareholders of a U.S. corporation.</w:t>
      </w:r>
    </w:p>
    <w:p w14:paraId="71F3E026" w14:textId="77777777" w:rsidR="00616F3F" w:rsidRPr="00616F3F" w:rsidRDefault="00616F3F" w:rsidP="00572B96">
      <w:pPr>
        <w:keepNext/>
        <w:keepLines/>
        <w:pBdr>
          <w:top w:val="nil"/>
          <w:left w:val="nil"/>
          <w:bottom w:val="nil"/>
          <w:right w:val="nil"/>
          <w:between w:val="nil"/>
          <w:bar w:val="nil"/>
        </w:pBdr>
        <w:jc w:val="both"/>
        <w:rPr>
          <w:rFonts w:ascii="Arial" w:eastAsia="Arial" w:hAnsi="Arial" w:cs="Arial"/>
          <w:bdr w:val="nil"/>
          <w:lang w:val="en-US"/>
        </w:rPr>
      </w:pPr>
    </w:p>
    <w:p w14:paraId="71F3E027" w14:textId="77777777" w:rsidR="006D1641"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bdr w:val="none" w:sz="0" w:space="0" w:color="auto" w:frame="1"/>
          <w:lang w:val="en-US"/>
        </w:rPr>
        <w:t xml:space="preserve">Our corporate affairs are governed by our amended and restated articles of incorporation and bylaws and by the Marshall Islands Business Corporations Act, or the BCA. The provisions of the BCA resemble provisions of the corporation laws of a number of states in the United States. However, there have been few judicial cases in the Marshall Islands interpreting the BCA. The rights and fiduciary responsibilities of directors under the laws of the Marshall Islands are not as clearly established as the rights and fiduciary responsibilities of directors under statutes or judicial precedent in existence in the United States. The rights of shareholders of the Marshall Islands may differ from the rights of shareholders of companies incorporated in the United States. While the BCA provides that it is to be interpreted according to the laws of the State of Delaware and other states with substantially similar legislative provisions, there have been few, if any, court cases interpreting the BCA in the Marshall Islands and we cannot predict whether Marshall Islands courts would reach the same conclusions as U.S. courts. Thus, you may have more difficulty in protecting your interests in the face of actions by the management, directors or controlling shareholders than would shareholders of a corporation incorporated in a U.S. jurisdiction which has developed a relatively more substantial body of case law. </w:t>
      </w:r>
    </w:p>
    <w:p w14:paraId="71F3E028" w14:textId="77777777" w:rsidR="00652D37" w:rsidRDefault="00652D37" w:rsidP="00616F3F">
      <w:pPr>
        <w:pBdr>
          <w:top w:val="nil"/>
          <w:left w:val="nil"/>
          <w:bottom w:val="nil"/>
          <w:right w:val="nil"/>
          <w:between w:val="nil"/>
          <w:bar w:val="nil"/>
        </w:pBdr>
        <w:jc w:val="both"/>
        <w:rPr>
          <w:rFonts w:ascii="Arial" w:eastAsia="Arial" w:hAnsi="Arial" w:cs="Arial"/>
          <w:bdr w:val="nil"/>
          <w:lang w:val="en-US"/>
        </w:rPr>
      </w:pPr>
    </w:p>
    <w:p w14:paraId="71F3E029" w14:textId="77777777" w:rsidR="00652D37" w:rsidRPr="00652D37" w:rsidRDefault="003A4815" w:rsidP="0053773E">
      <w:pPr>
        <w:pStyle w:val="Heading4"/>
        <w:pBdr>
          <w:top w:val="nil"/>
          <w:left w:val="nil"/>
          <w:bottom w:val="nil"/>
          <w:right w:val="nil"/>
          <w:between w:val="nil"/>
          <w:bar w:val="nil"/>
        </w:pBdr>
        <w:rPr>
          <w:rFonts w:eastAsia="Arial" w:cs="Arial"/>
          <w:bdr w:val="nil"/>
        </w:rPr>
      </w:pPr>
      <w:r w:rsidRPr="00652D37">
        <w:rPr>
          <w:rFonts w:ascii="Arial" w:eastAsia="Arial" w:hAnsi="Arial" w:cs="Arial"/>
          <w:bdr w:val="none" w:sz="0" w:space="0" w:color="auto" w:frame="1"/>
          <w:lang w:val="en-US"/>
        </w:rPr>
        <w:t xml:space="preserve">We are a “foreign private issuer” under the NYSE rules, and as such we are entitled to exemption from certain NYSE corporate governance standards, and you may not have the same protections afforded to shareholders of companies that are subject to all of the NYSE corporate governance requirements. </w:t>
      </w:r>
    </w:p>
    <w:p w14:paraId="71F3E02A" w14:textId="77777777" w:rsidR="00652D37" w:rsidRDefault="00652D37" w:rsidP="00652D37">
      <w:pPr>
        <w:pBdr>
          <w:top w:val="nil"/>
          <w:left w:val="nil"/>
          <w:bottom w:val="nil"/>
          <w:right w:val="nil"/>
          <w:between w:val="nil"/>
          <w:bar w:val="nil"/>
        </w:pBdr>
        <w:jc w:val="both"/>
        <w:rPr>
          <w:rFonts w:ascii="Arial" w:eastAsia="Arial" w:hAnsi="Arial" w:cs="Arial"/>
          <w:bdr w:val="nil"/>
          <w:lang w:val="en-US"/>
        </w:rPr>
      </w:pPr>
    </w:p>
    <w:p w14:paraId="71F3E02B" w14:textId="77777777" w:rsidR="00652D37" w:rsidRDefault="003A4815" w:rsidP="00652D37">
      <w:pPr>
        <w:pBdr>
          <w:top w:val="nil"/>
          <w:left w:val="nil"/>
          <w:bottom w:val="nil"/>
          <w:right w:val="nil"/>
          <w:between w:val="nil"/>
          <w:bar w:val="nil"/>
        </w:pBdr>
        <w:jc w:val="both"/>
        <w:rPr>
          <w:rFonts w:ascii="Arial" w:eastAsia="Arial" w:hAnsi="Arial" w:cs="Arial"/>
          <w:bdr w:val="nil"/>
          <w:lang w:val="en-US"/>
        </w:rPr>
      </w:pPr>
      <w:r w:rsidRPr="00652D37">
        <w:rPr>
          <w:rFonts w:ascii="Arial" w:eastAsia="Arial" w:hAnsi="Arial" w:cs="Arial"/>
          <w:bdr w:val="none" w:sz="0" w:space="0" w:color="auto" w:frame="1"/>
          <w:lang w:val="en-US"/>
        </w:rPr>
        <w:t>We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are a “foreign private issuer” under the securities laws of the United States and the rules of the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NYSE.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Under the securities laws of the United States, “foreign private issuers” are subject to different</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disclosure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requirements than U.S. domiciled registrants, as well as different financial reporting</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requirements. Under</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the NYSE rules, a “foreign private issuer” is subject to less stringent corporate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governance requirements.</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Subject to certain exceptions, the rules of the NYSE permit a “foreign private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issuer” to follow its home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country practice in lieu of the listing requirements of the NYSE.</w:t>
      </w:r>
      <w:r>
        <w:rPr>
          <w:rFonts w:ascii="Arial" w:eastAsia="Arial" w:hAnsi="Arial" w:cs="Arial"/>
          <w:bdr w:val="none" w:sz="0" w:space="0" w:color="auto" w:frame="1"/>
          <w:lang w:val="en-US"/>
        </w:rPr>
        <w:t xml:space="preserve"> </w:t>
      </w:r>
    </w:p>
    <w:p w14:paraId="71F3E02C" w14:textId="77777777" w:rsidR="00652D37" w:rsidRDefault="00652D37" w:rsidP="00652D37">
      <w:pPr>
        <w:pBdr>
          <w:top w:val="nil"/>
          <w:left w:val="nil"/>
          <w:bottom w:val="nil"/>
          <w:right w:val="nil"/>
          <w:between w:val="nil"/>
          <w:bar w:val="nil"/>
        </w:pBdr>
        <w:jc w:val="both"/>
        <w:rPr>
          <w:rFonts w:ascii="Arial" w:eastAsia="Arial" w:hAnsi="Arial" w:cs="Arial"/>
          <w:bdr w:val="nil"/>
          <w:lang w:val="en-US"/>
        </w:rPr>
      </w:pPr>
    </w:p>
    <w:p w14:paraId="71F3E02D" w14:textId="77777777" w:rsidR="00652D37" w:rsidRDefault="003A4815" w:rsidP="00652D37">
      <w:pPr>
        <w:pBdr>
          <w:top w:val="nil"/>
          <w:left w:val="nil"/>
          <w:bottom w:val="nil"/>
          <w:right w:val="nil"/>
          <w:between w:val="nil"/>
          <w:bar w:val="nil"/>
        </w:pBdr>
        <w:jc w:val="both"/>
        <w:rPr>
          <w:rFonts w:ascii="Arial" w:eastAsia="Arial" w:hAnsi="Arial" w:cs="Arial"/>
          <w:bdr w:val="nil"/>
          <w:lang w:val="en-US"/>
        </w:rPr>
      </w:pPr>
      <w:r w:rsidRPr="00652D37">
        <w:rPr>
          <w:rFonts w:ascii="Arial" w:eastAsia="Arial" w:hAnsi="Arial" w:cs="Arial"/>
          <w:bdr w:val="none" w:sz="0" w:space="0" w:color="auto" w:frame="1"/>
          <w:lang w:val="en-US"/>
        </w:rPr>
        <w:t>Accordingly, you may not have the same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protections afforded to shareholders of companies that are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subject to all of the NYSE corporate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governance requirements. For a list of the practices followed by us in</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lieu of NYSE’s corporate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governance rules, we refer you to the section of this annual report entitled</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"Corporate Governance"</w:t>
      </w:r>
      <w:r>
        <w:rPr>
          <w:rFonts w:ascii="Arial" w:eastAsia="Arial" w:hAnsi="Arial" w:cs="Arial"/>
          <w:bdr w:val="none" w:sz="0" w:space="0" w:color="auto" w:frame="1"/>
          <w:lang w:val="en-US"/>
        </w:rPr>
        <w:t xml:space="preserve"> </w:t>
      </w:r>
      <w:r w:rsidRPr="00652D37">
        <w:rPr>
          <w:rFonts w:ascii="Arial" w:eastAsia="Arial" w:hAnsi="Arial" w:cs="Arial"/>
          <w:bdr w:val="none" w:sz="0" w:space="0" w:color="auto" w:frame="1"/>
          <w:lang w:val="en-US"/>
        </w:rPr>
        <w:t>under Item 16G.</w:t>
      </w:r>
    </w:p>
    <w:p w14:paraId="71F3E02E" w14:textId="77777777" w:rsidR="00616F3F" w:rsidRPr="00616F3F" w:rsidRDefault="00616F3F" w:rsidP="00616F3F">
      <w:pPr>
        <w:pBdr>
          <w:top w:val="nil"/>
          <w:left w:val="nil"/>
          <w:bottom w:val="nil"/>
          <w:right w:val="nil"/>
          <w:between w:val="nil"/>
          <w:bar w:val="nil"/>
        </w:pBdr>
        <w:jc w:val="both"/>
        <w:rPr>
          <w:rFonts w:ascii="Arial" w:eastAsia="Arial" w:hAnsi="Arial" w:cs="Arial"/>
          <w:bdr w:val="nil"/>
          <w:lang w:val="en-US"/>
        </w:rPr>
      </w:pPr>
    </w:p>
    <w:p w14:paraId="71F3E02F" w14:textId="77777777" w:rsidR="006D1641" w:rsidRPr="00616F3F" w:rsidRDefault="003A4815" w:rsidP="0053773E">
      <w:pPr>
        <w:pStyle w:val="Heading4"/>
        <w:pBdr>
          <w:top w:val="nil"/>
          <w:left w:val="nil"/>
          <w:bottom w:val="nil"/>
          <w:right w:val="nil"/>
          <w:between w:val="nil"/>
          <w:bar w:val="nil"/>
        </w:pBdr>
        <w:rPr>
          <w:rFonts w:eastAsia="Arial" w:cs="Arial"/>
          <w:bdr w:val="nil"/>
        </w:rPr>
      </w:pPr>
      <w:r w:rsidRPr="00616F3F">
        <w:rPr>
          <w:rFonts w:ascii="Arial" w:eastAsia="Arial" w:hAnsi="Arial" w:cs="Arial"/>
          <w:bdr w:val="none" w:sz="0" w:space="0" w:color="auto" w:frame="1"/>
          <w:lang w:val="en-US"/>
        </w:rPr>
        <w:t>As a Marshall Islands corporation and with some of our subsidiaries being Marshall Islands entities and also</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having subsidiaries in other offshore jurisdictions, our operations may be subject to economic substance</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requirements, which could impact our business.</w:t>
      </w:r>
    </w:p>
    <w:p w14:paraId="71F3E030" w14:textId="77777777" w:rsidR="006D1641" w:rsidRPr="00616F3F" w:rsidRDefault="006D1641" w:rsidP="00572B96">
      <w:pPr>
        <w:keepNext/>
        <w:keepLines/>
        <w:pBdr>
          <w:top w:val="nil"/>
          <w:left w:val="nil"/>
          <w:bottom w:val="nil"/>
          <w:right w:val="nil"/>
          <w:between w:val="nil"/>
          <w:bar w:val="nil"/>
        </w:pBdr>
        <w:jc w:val="both"/>
        <w:rPr>
          <w:rFonts w:ascii="Arial" w:eastAsia="Arial" w:hAnsi="Arial" w:cs="Arial"/>
          <w:bdr w:val="nil"/>
          <w:lang w:val="en-US"/>
        </w:rPr>
      </w:pPr>
    </w:p>
    <w:p w14:paraId="71F3E031" w14:textId="77777777" w:rsidR="006D1641"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bdr w:val="none" w:sz="0" w:space="0" w:color="auto" w:frame="1"/>
          <w:lang w:val="en-US"/>
        </w:rPr>
        <w:t>We are a Marshall Islands corporation and some of our subsidiaries are Marshall Islands entities. The Marshall</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Islands has enacted economic substance laws and regulations with which we may be obligated to comply. We</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believe that we and our subsidiaries are compliant with the Marshall Islands economic substance requirements.</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However, if there were a change in the requirements or interpretation thereof, or if there were an unexpected change</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to our operations, any such change could result in noncompliance with the economic substance legislation and</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related fines or other penalties, increased monitoring and audits, and dissolution of the non-compliant entity, which</w:t>
      </w:r>
      <w:r w:rsidR="005E2DDB" w:rsidRPr="00616F3F">
        <w:rPr>
          <w:rFonts w:ascii="Arial" w:eastAsia="Arial" w:hAnsi="Arial" w:cs="Arial"/>
          <w:bdr w:val="none" w:sz="0" w:space="0" w:color="auto" w:frame="1"/>
          <w:lang w:val="en-US"/>
        </w:rPr>
        <w:t xml:space="preserve"> </w:t>
      </w:r>
      <w:r w:rsidRPr="00616F3F">
        <w:rPr>
          <w:rFonts w:ascii="Arial" w:eastAsia="Arial" w:hAnsi="Arial" w:cs="Arial"/>
          <w:bdr w:val="none" w:sz="0" w:space="0" w:color="auto" w:frame="1"/>
          <w:lang w:val="en-US"/>
        </w:rPr>
        <w:t>could have an adverse effect on our business, financial condition or operating results.</w:t>
      </w:r>
    </w:p>
    <w:p w14:paraId="71F3E032" w14:textId="77777777" w:rsidR="006D1641" w:rsidRPr="00616F3F" w:rsidRDefault="006D1641" w:rsidP="00616F3F">
      <w:pPr>
        <w:pBdr>
          <w:top w:val="nil"/>
          <w:left w:val="nil"/>
          <w:bottom w:val="nil"/>
          <w:right w:val="nil"/>
          <w:between w:val="nil"/>
          <w:bar w:val="nil"/>
        </w:pBdr>
        <w:jc w:val="both"/>
        <w:rPr>
          <w:rFonts w:ascii="Arial" w:eastAsia="Arial" w:hAnsi="Arial" w:cs="Arial"/>
          <w:bdr w:val="nil"/>
          <w:lang w:val="en-US"/>
        </w:rPr>
      </w:pPr>
    </w:p>
    <w:p w14:paraId="71F3E033" w14:textId="77777777" w:rsidR="006D1641" w:rsidRPr="001C5FAB" w:rsidRDefault="003A4815" w:rsidP="00616F3F">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EU Finance ministers rate jurisdictions for tax rates and tax transparency, governance and real economic activity. Countries that are viewed by such finance ministers as not adequately cooperating, including by not implementing sufficient standards in respect of the foregoing, may be put on a “grey list” or a “blacklist”. Effective as of October 17, 2023 the Marshall Islands has been designated as a cooperating jurisdiction for tax purposes. If the Marshall Islands is added to the list of non-cooperative jurisdictions in the future and sanctions or other financial, tax or regulatory measures were applied by European Member States to countries on the list or further economic substance requirements were imposed by the Marshall Islands, our business could be harmed.</w:t>
      </w:r>
    </w:p>
    <w:p w14:paraId="71F3E034" w14:textId="77777777" w:rsidR="0088083D" w:rsidRPr="00616F3F" w:rsidRDefault="0088083D" w:rsidP="00616F3F">
      <w:pPr>
        <w:pBdr>
          <w:top w:val="nil"/>
          <w:left w:val="nil"/>
          <w:bottom w:val="nil"/>
          <w:right w:val="nil"/>
          <w:between w:val="nil"/>
          <w:bar w:val="nil"/>
        </w:pBdr>
        <w:suppressAutoHyphens/>
        <w:jc w:val="both"/>
        <w:rPr>
          <w:rFonts w:ascii="Arial" w:eastAsia="Arial" w:hAnsi="Arial" w:cs="Arial"/>
          <w:bdr w:val="nil"/>
          <w:lang w:val="en-US"/>
        </w:rPr>
      </w:pPr>
    </w:p>
    <w:p w14:paraId="71F3E035" w14:textId="77777777" w:rsidR="0088083D" w:rsidRPr="0053773E" w:rsidRDefault="003A4815" w:rsidP="0053773E">
      <w:pPr>
        <w:pStyle w:val="Heading4"/>
        <w:pBdr>
          <w:top w:val="nil"/>
          <w:left w:val="nil"/>
          <w:bottom w:val="nil"/>
          <w:right w:val="nil"/>
          <w:between w:val="nil"/>
          <w:bar w:val="nil"/>
        </w:pBdr>
        <w:rPr>
          <w:rFonts w:eastAsia="Arial" w:cs="Arial"/>
          <w:bdr w:val="nil"/>
        </w:rPr>
      </w:pPr>
      <w:r w:rsidRPr="0053773E">
        <w:rPr>
          <w:rFonts w:ascii="Arial" w:eastAsia="Arial" w:hAnsi="Arial" w:cs="Arial"/>
          <w:lang w:val="en-US"/>
        </w:rPr>
        <w:t xml:space="preserve">Certain existing shareholders will be able to exert considerable </w:t>
      </w:r>
      <w:r w:rsidR="0048125A" w:rsidRPr="0053773E">
        <w:rPr>
          <w:rFonts w:ascii="Arial" w:eastAsia="Arial" w:hAnsi="Arial" w:cs="Arial"/>
          <w:lang w:val="en-US"/>
        </w:rPr>
        <w:t>influence</w:t>
      </w:r>
      <w:r w:rsidRPr="0053773E">
        <w:rPr>
          <w:rFonts w:ascii="Arial" w:eastAsia="Arial" w:hAnsi="Arial" w:cs="Arial"/>
          <w:lang w:val="en-US"/>
        </w:rPr>
        <w:t xml:space="preserve"> over matters on which our shareholders are entitled to vote. </w:t>
      </w:r>
    </w:p>
    <w:p w14:paraId="71F3E036" w14:textId="77777777" w:rsidR="0088083D" w:rsidRPr="00616F3F" w:rsidRDefault="0088083D" w:rsidP="00616F3F">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E037" w14:textId="77777777" w:rsidR="0088083D"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As of the date of this annual report, Ms. Semiramis Paliou, our Chief Executive Officer and Director, beneficially owns 27,809,560 shares, or approximately 21.5% of our outstanding common stock, which is held indirectly through entities over which she exercises sole voting power. Ms. Paliou controls 10,675 shares of Series C Preferred Stock, par value $0.01 per share, issued on January 31, 2019, and 400 shares of Series D Preferred Stock, issued on June 22, 2021. The Series C Preferred Stock vote with our common shares and each share of the Series C Preferred Stock entitles the holder thereof to 1,000 votes on all matters submitted to a vote of the common stockholders of the Issuer. </w:t>
      </w:r>
      <w:r w:rsidRPr="00616F3F">
        <w:rPr>
          <w:rFonts w:ascii="Arial" w:eastAsia="Arial" w:hAnsi="Arial" w:cs="Arial"/>
          <w:color w:val="000000"/>
          <w:bdr w:val="none" w:sz="0" w:space="0" w:color="auto" w:frame="1"/>
          <w:shd w:val="clear" w:color="auto" w:fill="FFFFFF"/>
          <w:lang w:val="en-US"/>
        </w:rPr>
        <w:t xml:space="preserve">The Series D Preferred Stock vote with the common shares of the Company, and each share of the Series D Preferred Stock entitles the holder thereof to up to </w:t>
      </w:r>
      <w:r w:rsidR="00AE77CE">
        <w:rPr>
          <w:rFonts w:ascii="Arial" w:eastAsia="Arial" w:hAnsi="Arial" w:cs="Arial"/>
          <w:color w:val="000000"/>
          <w:bdr w:val="none" w:sz="0" w:space="0" w:color="auto" w:frame="1"/>
          <w:shd w:val="clear" w:color="auto" w:fill="FFFFFF"/>
          <w:lang w:val="en-US"/>
        </w:rPr>
        <w:t>2</w:t>
      </w:r>
      <w:r w:rsidRPr="00616F3F">
        <w:rPr>
          <w:rFonts w:ascii="Arial" w:eastAsia="Arial" w:hAnsi="Arial" w:cs="Arial"/>
          <w:color w:val="000000"/>
          <w:bdr w:val="none" w:sz="0" w:space="0" w:color="auto" w:frame="1"/>
          <w:shd w:val="clear" w:color="auto" w:fill="FFFFFF"/>
          <w:lang w:val="en-US"/>
        </w:rPr>
        <w:t>00,000 votes, on all matters submitted to a vote of the stockholders of the Company</w:t>
      </w:r>
      <w:r>
        <w:rPr>
          <w:rFonts w:ascii="Arial" w:eastAsia="Arial" w:hAnsi="Arial" w:cs="Arial"/>
          <w:color w:val="000000"/>
          <w:shd w:val="clear" w:color="auto" w:fill="FFFFFF"/>
          <w:lang w:val="en-US"/>
        </w:rPr>
        <w:t>, provided however, that to the extent the total number of votes one or more holders of Series D Preferred Stock is entitled to vote (including any voting power of such holders derived from Series D Preferred Stock, shares of Common Stock or any other voting security of the Company issued and outstanding as of the date hereof or that may be issued in the future) on any matter submitted to a vote of stockholders of the Company would exceed 36% of the total number of votes eligible to be cast on such matter, the total number of votes that holders of Series D Preferred Stock may exercise derived from the Series D Preferred Stock together with Common Shares and any other voting securities of the Company beneficially owned by such holder, shall be reduced to 36% of the total number of votes entitled to vote on any matter put to stockholders of the Company</w:t>
      </w:r>
      <w:r w:rsidR="00AE77CE">
        <w:rPr>
          <w:rFonts w:ascii="Arial" w:eastAsia="Arial" w:hAnsi="Arial" w:cs="Arial"/>
          <w:color w:val="000000"/>
          <w:bdr w:val="none" w:sz="0" w:space="0" w:color="auto" w:frame="1"/>
          <w:shd w:val="clear" w:color="auto" w:fill="FFFFFF"/>
          <w:lang w:val="en-US"/>
        </w:rPr>
        <w:t xml:space="preserve">. </w:t>
      </w:r>
      <w:r w:rsidRPr="00616F3F">
        <w:rPr>
          <w:rFonts w:ascii="Arial" w:eastAsia="Arial" w:hAnsi="Arial" w:cs="Arial"/>
          <w:lang w:val="en-US"/>
        </w:rPr>
        <w:t xml:space="preserve">Through her beneficial ownership of common shares and shares of Series C Preferred Stock and </w:t>
      </w:r>
      <w:r w:rsidRPr="00616F3F">
        <w:rPr>
          <w:rFonts w:ascii="Arial" w:eastAsia="Arial" w:hAnsi="Arial" w:cs="Arial"/>
          <w:color w:val="000000"/>
          <w:bdr w:val="none" w:sz="0" w:space="0" w:color="auto" w:frame="1"/>
          <w:shd w:val="clear" w:color="auto" w:fill="FFFFFF"/>
          <w:lang w:val="en-US"/>
        </w:rPr>
        <w:t>Series D Preferred Stock</w:t>
      </w:r>
      <w:r w:rsidRPr="00616F3F">
        <w:rPr>
          <w:rFonts w:ascii="Arial" w:eastAsia="Arial" w:hAnsi="Arial" w:cs="Arial"/>
          <w:lang w:val="en-US"/>
        </w:rPr>
        <w:t>, Ms. Paliou controls 36% of the vote of any matter submitted to the vote of the common shareholders. Please see "Item 7. Major Shareholders and Related Party Transactions—A. Major Shareholders." While Ms. Paliou and the entities controlled by Ms. Paliou have no agreement, arrangement or understanding relating to the voting of their shares of our common stock, they are able to influence the outcome of matters on which our shareholders are entitled to vote, including the election of directors and other significant corporate actions. This concentration of ownership may have the effect of delaying, deferring or preventing a change in control, merger, consolidation, takeover or other business combination. This concentration of ownership could also discourage a potential acquirer from making a tender offer or otherwise attempting to obtain control of us, which could in turn have an adverse effect on the market price of our shares. So long as our Chief Executive Officer continues to own a significant amount of our equity, even though the amount held by her represents less than 50% of our voting power, she will continue to be able to exercise considerable influence over our decisions. The interests of these shareholders may be different from your interests.</w:t>
      </w:r>
    </w:p>
    <w:p w14:paraId="71F3E038" w14:textId="77777777" w:rsidR="0088083D" w:rsidRPr="00616F3F" w:rsidRDefault="0088083D" w:rsidP="00616F3F">
      <w:pPr>
        <w:pBdr>
          <w:top w:val="nil"/>
          <w:left w:val="nil"/>
          <w:bottom w:val="nil"/>
          <w:right w:val="nil"/>
          <w:between w:val="nil"/>
          <w:bar w:val="nil"/>
        </w:pBdr>
        <w:suppressAutoHyphens/>
        <w:jc w:val="both"/>
        <w:rPr>
          <w:rFonts w:ascii="Arial" w:eastAsia="Arial" w:hAnsi="Arial" w:cs="Arial"/>
          <w:bdr w:val="nil"/>
          <w:lang w:val="en-US"/>
        </w:rPr>
      </w:pPr>
    </w:p>
    <w:p w14:paraId="71F3E039" w14:textId="77777777" w:rsidR="0088083D" w:rsidRPr="0053773E" w:rsidRDefault="003A4815" w:rsidP="0053773E">
      <w:pPr>
        <w:pStyle w:val="Heading4"/>
        <w:pBdr>
          <w:top w:val="nil"/>
          <w:left w:val="nil"/>
          <w:bottom w:val="nil"/>
          <w:right w:val="nil"/>
          <w:between w:val="nil"/>
          <w:bar w:val="nil"/>
        </w:pBdr>
        <w:rPr>
          <w:rFonts w:eastAsia="Arial" w:cs="Arial"/>
          <w:bdr w:val="nil"/>
        </w:rPr>
      </w:pPr>
      <w:r w:rsidRPr="0053773E">
        <w:rPr>
          <w:rFonts w:ascii="Arial" w:eastAsia="Arial" w:hAnsi="Arial" w:cs="Arial"/>
          <w:lang w:val="en-US"/>
        </w:rPr>
        <w:t>Future sales of our common stock could cause the market price of our common stock to decline.</w:t>
      </w:r>
    </w:p>
    <w:p w14:paraId="71F3E03A" w14:textId="77777777" w:rsidR="0088083D" w:rsidRPr="00616F3F" w:rsidRDefault="0088083D" w:rsidP="00616F3F">
      <w:pPr>
        <w:keepNext/>
        <w:keepLines/>
        <w:pBdr>
          <w:top w:val="nil"/>
          <w:left w:val="nil"/>
          <w:bottom w:val="nil"/>
          <w:right w:val="nil"/>
          <w:between w:val="nil"/>
          <w:bar w:val="nil"/>
        </w:pBdr>
        <w:suppressAutoHyphens/>
        <w:jc w:val="both"/>
        <w:rPr>
          <w:rFonts w:ascii="Arial" w:eastAsia="Arial" w:hAnsi="Arial" w:cs="Arial"/>
          <w:b/>
          <w:bCs/>
          <w:i/>
          <w:iCs/>
          <w:bdr w:val="nil"/>
          <w:lang w:val="en-US"/>
        </w:rPr>
      </w:pPr>
    </w:p>
    <w:p w14:paraId="71F3E03B" w14:textId="77777777" w:rsidR="001C3E7D"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 xml:space="preserve">Our amended and restated articles of incorporation authorize us to issue up to </w:t>
      </w:r>
      <w:r>
        <w:rPr>
          <w:rFonts w:ascii="Arial" w:eastAsia="Arial" w:hAnsi="Arial" w:cs="Arial"/>
          <w:lang w:val="en-US"/>
        </w:rPr>
        <w:t>1,0</w:t>
      </w:r>
      <w:r w:rsidRPr="00616F3F">
        <w:rPr>
          <w:rFonts w:ascii="Arial" w:eastAsia="Arial" w:hAnsi="Arial" w:cs="Arial"/>
          <w:lang w:val="en-US"/>
        </w:rPr>
        <w:t>00,000,000 shares of common stock, of which, as of December 31, 2025, 115,787,434 shares were outstanding. The number of shares of common stock available for sale in the public market is limited by restrictions applicable under securities laws and agreements that we and our executive officers, directors and principal shareholders have entered into.</w:t>
      </w:r>
    </w:p>
    <w:p w14:paraId="71F3E03C" w14:textId="77777777" w:rsidR="001C3E7D" w:rsidRPr="00616F3F" w:rsidRDefault="001C3E7D" w:rsidP="00616F3F">
      <w:pPr>
        <w:pBdr>
          <w:top w:val="nil"/>
          <w:left w:val="nil"/>
          <w:bottom w:val="nil"/>
          <w:right w:val="nil"/>
          <w:between w:val="nil"/>
          <w:bar w:val="nil"/>
        </w:pBdr>
        <w:jc w:val="both"/>
        <w:rPr>
          <w:rFonts w:ascii="Arial" w:eastAsia="Arial" w:hAnsi="Arial" w:cs="Arial"/>
          <w:bdr w:val="nil"/>
          <w:lang w:val="en-US"/>
        </w:rPr>
      </w:pPr>
    </w:p>
    <w:p w14:paraId="71F3E03D" w14:textId="77777777" w:rsidR="005F73BE"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Sales of a substantial number of shares of our common stock in the public market, or the perception that these sales could occur, may depress the market price for our common stock. These sales could also impair our ability to raise additional capital through the sale of our equity securities in the future.</w:t>
      </w:r>
    </w:p>
    <w:p w14:paraId="71F3E03E" w14:textId="77777777" w:rsidR="0088083D" w:rsidRPr="00616F3F" w:rsidRDefault="0088083D" w:rsidP="00616F3F">
      <w:pPr>
        <w:pBdr>
          <w:top w:val="nil"/>
          <w:left w:val="nil"/>
          <w:bottom w:val="nil"/>
          <w:right w:val="nil"/>
          <w:between w:val="nil"/>
          <w:bar w:val="nil"/>
        </w:pBdr>
        <w:jc w:val="both"/>
        <w:rPr>
          <w:rFonts w:ascii="Arial" w:eastAsia="Arial" w:hAnsi="Arial" w:cs="Arial"/>
          <w:bdr w:val="nil"/>
          <w:lang w:val="en-US"/>
        </w:rPr>
      </w:pPr>
    </w:p>
    <w:p w14:paraId="71F3E03F" w14:textId="77777777" w:rsidR="0088083D" w:rsidRPr="0053773E" w:rsidRDefault="003A4815" w:rsidP="0053773E">
      <w:pPr>
        <w:pStyle w:val="Heading4"/>
        <w:pBdr>
          <w:top w:val="nil"/>
          <w:left w:val="nil"/>
          <w:bottom w:val="nil"/>
          <w:right w:val="nil"/>
          <w:between w:val="nil"/>
          <w:bar w:val="nil"/>
        </w:pBdr>
        <w:rPr>
          <w:rFonts w:eastAsia="Arial" w:cs="Arial"/>
          <w:bdr w:val="nil"/>
        </w:rPr>
      </w:pPr>
      <w:r w:rsidRPr="0053773E">
        <w:rPr>
          <w:rFonts w:ascii="Arial" w:eastAsia="Arial" w:hAnsi="Arial" w:cs="Arial"/>
          <w:lang w:val="en-US"/>
        </w:rPr>
        <w:t>Anti-takeover provisions in our organizational documents could make it difficult for our shareholders to replace or remove our current board of directors or have the effect of discouraging, delaying or preventing a merger or acquisition, which could adversely affect the market price of our common stock.</w:t>
      </w:r>
    </w:p>
    <w:p w14:paraId="71F3E040" w14:textId="77777777" w:rsidR="0088083D" w:rsidRPr="00616F3F" w:rsidRDefault="0088083D" w:rsidP="00104CC3">
      <w:pPr>
        <w:keepNext/>
        <w:keepLines/>
        <w:pBdr>
          <w:top w:val="nil"/>
          <w:left w:val="nil"/>
          <w:bottom w:val="nil"/>
          <w:right w:val="nil"/>
          <w:between w:val="nil"/>
          <w:bar w:val="nil"/>
        </w:pBdr>
        <w:jc w:val="both"/>
        <w:rPr>
          <w:rFonts w:ascii="Arial" w:eastAsia="Arial" w:hAnsi="Arial" w:cs="Arial"/>
          <w:bdr w:val="nil"/>
          <w:lang w:val="en-US"/>
        </w:rPr>
      </w:pPr>
    </w:p>
    <w:p w14:paraId="71F3E041" w14:textId="77777777" w:rsidR="0088083D" w:rsidRPr="00616F3F" w:rsidRDefault="003A4815" w:rsidP="00616F3F">
      <w:pPr>
        <w:pBdr>
          <w:top w:val="nil"/>
          <w:left w:val="nil"/>
          <w:bottom w:val="nil"/>
          <w:right w:val="nil"/>
          <w:between w:val="nil"/>
          <w:bar w:val="nil"/>
        </w:pBdr>
        <w:suppressAutoHyphens/>
        <w:jc w:val="both"/>
        <w:rPr>
          <w:rFonts w:ascii="Arial" w:eastAsia="Arial" w:hAnsi="Arial" w:cs="Arial"/>
          <w:bdr w:val="nil"/>
          <w:lang w:val="en-US"/>
        </w:rPr>
      </w:pPr>
      <w:r w:rsidRPr="00616F3F">
        <w:rPr>
          <w:rFonts w:ascii="Arial" w:eastAsia="Arial" w:hAnsi="Arial" w:cs="Arial"/>
          <w:lang w:val="en-US"/>
        </w:rPr>
        <w:t>Several provisions of our amended and restated articles of incorporation and bylaws could make it difficult for our shareholders to change the composition of our board of directors in any one year, preventing them from changing the composition of management. In addition, the same provisions may discourage, delay or prevent a merger or acquisition that shareholders may consider favorable.</w:t>
      </w:r>
    </w:p>
    <w:p w14:paraId="71F3E042" w14:textId="77777777" w:rsidR="0088083D" w:rsidRPr="00616F3F" w:rsidRDefault="0088083D" w:rsidP="00616F3F">
      <w:pPr>
        <w:pBdr>
          <w:top w:val="nil"/>
          <w:left w:val="nil"/>
          <w:bottom w:val="nil"/>
          <w:right w:val="nil"/>
          <w:between w:val="nil"/>
          <w:bar w:val="nil"/>
        </w:pBdr>
        <w:suppressAutoHyphens/>
        <w:jc w:val="both"/>
        <w:rPr>
          <w:rFonts w:ascii="Arial" w:eastAsia="Arial" w:hAnsi="Arial" w:cs="Arial"/>
          <w:bdr w:val="nil"/>
          <w:lang w:val="en-US"/>
        </w:rPr>
      </w:pPr>
    </w:p>
    <w:p w14:paraId="71F3E043" w14:textId="77777777" w:rsidR="0088083D" w:rsidRPr="00616F3F" w:rsidRDefault="003A4815" w:rsidP="00616F3F">
      <w:pPr>
        <w:pBdr>
          <w:top w:val="nil"/>
          <w:left w:val="nil"/>
          <w:bottom w:val="nil"/>
          <w:right w:val="nil"/>
          <w:between w:val="nil"/>
          <w:bar w:val="nil"/>
        </w:pBdr>
        <w:suppressAutoHyphens/>
        <w:jc w:val="both"/>
        <w:rPr>
          <w:rFonts w:ascii="Arial" w:eastAsia="Arial" w:hAnsi="Arial" w:cs="Arial"/>
          <w:bdr w:val="nil"/>
          <w:lang w:val="en-US"/>
        </w:rPr>
      </w:pPr>
      <w:r w:rsidRPr="00616F3F">
        <w:rPr>
          <w:rFonts w:ascii="Arial" w:eastAsia="Arial" w:hAnsi="Arial" w:cs="Arial"/>
          <w:lang w:val="en-US"/>
        </w:rPr>
        <w:t>These provisions include:</w:t>
      </w:r>
    </w:p>
    <w:p w14:paraId="71F3E044" w14:textId="77777777" w:rsidR="0088083D" w:rsidRPr="00616F3F" w:rsidRDefault="0088083D" w:rsidP="00616F3F">
      <w:pPr>
        <w:pBdr>
          <w:top w:val="nil"/>
          <w:left w:val="nil"/>
          <w:bottom w:val="nil"/>
          <w:right w:val="nil"/>
          <w:between w:val="nil"/>
          <w:bar w:val="nil"/>
        </w:pBdr>
        <w:suppressAutoHyphens/>
        <w:jc w:val="both"/>
        <w:rPr>
          <w:rFonts w:ascii="Arial" w:eastAsia="Arial" w:hAnsi="Arial" w:cs="Arial"/>
          <w:bdr w:val="nil"/>
        </w:rPr>
      </w:pPr>
    </w:p>
    <w:p w14:paraId="71F3E045"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authorizing our board of directors to issue “blank check” preferred stock without shareholder approval;</w:t>
      </w:r>
    </w:p>
    <w:p w14:paraId="71F3E046"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47"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providing for a classified board of directors with staggered, three-year terms;</w:t>
      </w:r>
    </w:p>
    <w:p w14:paraId="71F3E048"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49"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prohibiting cumulative voting in the election of directors;</w:t>
      </w:r>
    </w:p>
    <w:p w14:paraId="71F3E04A"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4B"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authorizing the removal of directors only for cause and only upon the affirmative vote of the holders of a majority of the outstanding shares of our common stock entitled to vote for the directors;</w:t>
      </w:r>
    </w:p>
    <w:p w14:paraId="71F3E04C"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4D"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prohibiting shareholder action by written consent;</w:t>
      </w:r>
    </w:p>
    <w:p w14:paraId="71F3E04E"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4F"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limiting the persons who may call special meetings of shareholders; and</w:t>
      </w:r>
    </w:p>
    <w:p w14:paraId="71F3E050" w14:textId="77777777" w:rsidR="0088083D" w:rsidRPr="00616F3F" w:rsidRDefault="0088083D" w:rsidP="00616F3F">
      <w:pPr>
        <w:pStyle w:val="ListBullet1"/>
        <w:numPr>
          <w:ilvl w:val="0"/>
          <w:numId w:val="0"/>
        </w:numPr>
        <w:pBdr>
          <w:top w:val="nil"/>
          <w:left w:val="nil"/>
          <w:bottom w:val="nil"/>
          <w:right w:val="nil"/>
          <w:between w:val="nil"/>
          <w:bar w:val="nil"/>
        </w:pBdr>
        <w:ind w:left="1080"/>
        <w:rPr>
          <w:rFonts w:ascii="Arial" w:eastAsia="Arial" w:hAnsi="Arial" w:cs="Arial"/>
          <w:bdr w:val="nil"/>
        </w:rPr>
      </w:pPr>
    </w:p>
    <w:p w14:paraId="71F3E051" w14:textId="77777777" w:rsidR="0088083D" w:rsidRPr="00616F3F" w:rsidRDefault="003A4815" w:rsidP="00616F3F">
      <w:pPr>
        <w:pStyle w:val="ListBullet1"/>
        <w:pBdr>
          <w:top w:val="nil"/>
          <w:left w:val="nil"/>
          <w:bottom w:val="nil"/>
          <w:right w:val="nil"/>
          <w:between w:val="nil"/>
          <w:bar w:val="nil"/>
        </w:pBdr>
        <w:ind w:left="1077" w:hanging="357"/>
        <w:rPr>
          <w:rFonts w:ascii="Arial" w:eastAsia="Arial" w:hAnsi="Arial" w:cs="Arial"/>
          <w:bdr w:val="nil"/>
        </w:rPr>
      </w:pPr>
      <w:r w:rsidRPr="00616F3F">
        <w:rPr>
          <w:rFonts w:ascii="Arial" w:eastAsia="Arial" w:hAnsi="Arial" w:cs="Arial"/>
        </w:rPr>
        <w:t>establishing advance notice requirements for nominations for election to our board of directors or for proposing matters that can be acted on by shareholders at shareholder meetings.</w:t>
      </w:r>
    </w:p>
    <w:p w14:paraId="71F3E052" w14:textId="77777777" w:rsidR="0088083D" w:rsidRPr="00616F3F" w:rsidRDefault="0088083D" w:rsidP="00616F3F">
      <w:pPr>
        <w:pBdr>
          <w:top w:val="nil"/>
          <w:left w:val="nil"/>
          <w:bottom w:val="nil"/>
          <w:right w:val="nil"/>
          <w:between w:val="nil"/>
          <w:bar w:val="nil"/>
        </w:pBdr>
        <w:jc w:val="both"/>
        <w:rPr>
          <w:rFonts w:ascii="Arial" w:eastAsia="Arial" w:hAnsi="Arial" w:cs="Arial"/>
          <w:bdr w:val="nil"/>
          <w:lang w:val="en-US"/>
        </w:rPr>
      </w:pPr>
    </w:p>
    <w:p w14:paraId="71F3E053" w14:textId="77777777" w:rsidR="00141DA1" w:rsidRPr="00616F3F" w:rsidRDefault="003A4815" w:rsidP="00652D37">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 xml:space="preserve">In addition, we have adopted </w:t>
      </w:r>
      <w:r w:rsidRPr="00652D37">
        <w:rPr>
          <w:rFonts w:ascii="Arial" w:eastAsia="Arial" w:hAnsi="Arial" w:cs="Arial"/>
          <w:lang w:val="en-US"/>
        </w:rPr>
        <w:t>an Amended and Restated</w:t>
      </w:r>
      <w:r w:rsidRPr="00616F3F">
        <w:rPr>
          <w:rFonts w:ascii="Arial" w:eastAsia="Arial" w:hAnsi="Arial" w:cs="Arial"/>
          <w:lang w:val="en-US"/>
        </w:rPr>
        <w:t xml:space="preserve"> Stockholders Rights Agreement, dated </w:t>
      </w:r>
      <w:r>
        <w:rPr>
          <w:rFonts w:ascii="Arial" w:eastAsia="Arial" w:hAnsi="Arial" w:cs="Arial"/>
          <w:lang w:val="en-US"/>
        </w:rPr>
        <w:t>February</w:t>
      </w:r>
      <w:r w:rsidRPr="00616F3F">
        <w:rPr>
          <w:rFonts w:ascii="Arial" w:eastAsia="Arial" w:hAnsi="Arial" w:cs="Arial"/>
          <w:lang w:val="en-US"/>
        </w:rPr>
        <w:t xml:space="preserve"> </w:t>
      </w:r>
      <w:r>
        <w:rPr>
          <w:rFonts w:ascii="Arial" w:eastAsia="Arial" w:hAnsi="Arial" w:cs="Arial"/>
          <w:lang w:val="en-US"/>
        </w:rPr>
        <w:t>2</w:t>
      </w:r>
      <w:r w:rsidRPr="00616F3F">
        <w:rPr>
          <w:rFonts w:ascii="Arial" w:eastAsia="Arial" w:hAnsi="Arial" w:cs="Arial"/>
          <w:lang w:val="en-US"/>
        </w:rPr>
        <w:t>, 20</w:t>
      </w:r>
      <w:r>
        <w:rPr>
          <w:rFonts w:ascii="Arial" w:eastAsia="Arial" w:hAnsi="Arial" w:cs="Arial"/>
          <w:lang w:val="en-US"/>
        </w:rPr>
        <w:t>24</w:t>
      </w:r>
      <w:r w:rsidRPr="00616F3F">
        <w:rPr>
          <w:rFonts w:ascii="Arial" w:eastAsia="Arial" w:hAnsi="Arial" w:cs="Arial"/>
          <w:lang w:val="en-US"/>
        </w:rPr>
        <w:t>, pursuant to which our board of directors may cause the substantial dilution of any person that attempts to acquire us without the approval of our board of directors.</w:t>
      </w:r>
      <w:r w:rsidRPr="00652D37">
        <w:rPr>
          <w:rFonts w:ascii="Arial" w:eastAsia="Arial" w:hAnsi="Arial" w:cs="Arial"/>
          <w:lang w:val="en-US"/>
        </w:rPr>
        <w:t xml:space="preserve"> See “Item</w:t>
      </w:r>
      <w:r>
        <w:rPr>
          <w:rFonts w:ascii="Arial" w:eastAsia="Arial" w:hAnsi="Arial" w:cs="Arial"/>
          <w:lang w:val="en-US"/>
        </w:rPr>
        <w:t xml:space="preserve"> </w:t>
      </w:r>
      <w:r w:rsidRPr="00652D37">
        <w:rPr>
          <w:rFonts w:ascii="Arial" w:eastAsia="Arial" w:hAnsi="Arial" w:cs="Arial"/>
          <w:lang w:val="en-US"/>
        </w:rPr>
        <w:t>10.</w:t>
      </w:r>
      <w:r>
        <w:rPr>
          <w:rFonts w:ascii="Arial" w:eastAsia="Arial" w:hAnsi="Arial" w:cs="Arial"/>
          <w:lang w:val="en-US"/>
        </w:rPr>
        <w:t xml:space="preserve"> </w:t>
      </w:r>
      <w:r w:rsidRPr="00652D37">
        <w:rPr>
          <w:rFonts w:ascii="Arial" w:eastAsia="Arial" w:hAnsi="Arial" w:cs="Arial"/>
          <w:lang w:val="en-US"/>
        </w:rPr>
        <w:t>Additional Information-B. Memorandum and Articles of Association-Stockholders Rights Agreement.”</w:t>
      </w:r>
      <w:r>
        <w:rPr>
          <w:rFonts w:ascii="Arial" w:eastAsia="Arial" w:hAnsi="Arial" w:cs="Arial"/>
          <w:lang w:val="en-US"/>
        </w:rPr>
        <w:t xml:space="preserve"> </w:t>
      </w:r>
    </w:p>
    <w:p w14:paraId="71F3E054" w14:textId="77777777" w:rsidR="00141DA1" w:rsidRPr="00616F3F" w:rsidRDefault="00141DA1" w:rsidP="00616F3F">
      <w:pPr>
        <w:pBdr>
          <w:top w:val="nil"/>
          <w:left w:val="nil"/>
          <w:bottom w:val="nil"/>
          <w:right w:val="nil"/>
          <w:between w:val="nil"/>
          <w:bar w:val="nil"/>
        </w:pBdr>
        <w:jc w:val="both"/>
        <w:rPr>
          <w:rFonts w:ascii="Arial" w:eastAsia="Arial" w:hAnsi="Arial" w:cs="Arial"/>
          <w:bdr w:val="nil"/>
          <w:lang w:val="en-US"/>
        </w:rPr>
      </w:pPr>
    </w:p>
    <w:p w14:paraId="71F3E055" w14:textId="77777777" w:rsidR="00141DA1"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These anti-takeover provisions, including provisions of our Stockholders Rights Agreement, could substantially impede the ability of public shareholders to benefit from a change in control and, as a result, may adversely affect the market price of our common stock and your ability to realize any potential change of control premium.</w:t>
      </w:r>
    </w:p>
    <w:p w14:paraId="71F3E056" w14:textId="77777777" w:rsidR="00F5225C" w:rsidRPr="00616F3F" w:rsidRDefault="00F5225C" w:rsidP="00616F3F">
      <w:pPr>
        <w:pBdr>
          <w:top w:val="nil"/>
          <w:left w:val="nil"/>
          <w:bottom w:val="nil"/>
          <w:right w:val="nil"/>
          <w:between w:val="nil"/>
          <w:bar w:val="nil"/>
        </w:pBdr>
        <w:jc w:val="both"/>
        <w:rPr>
          <w:rFonts w:ascii="Arial" w:eastAsia="Arial" w:hAnsi="Arial" w:cs="Arial"/>
          <w:bdr w:val="nil"/>
          <w:lang w:val="en-US"/>
        </w:rPr>
      </w:pPr>
    </w:p>
    <w:p w14:paraId="71F3E057" w14:textId="77777777" w:rsidR="00F5225C" w:rsidRPr="00616F3F" w:rsidRDefault="003A4815" w:rsidP="00616F3F">
      <w:pPr>
        <w:pStyle w:val="Heading4"/>
        <w:keepLines/>
        <w:pBdr>
          <w:top w:val="nil"/>
          <w:left w:val="nil"/>
          <w:bottom w:val="nil"/>
          <w:right w:val="nil"/>
          <w:between w:val="nil"/>
          <w:bar w:val="nil"/>
        </w:pBdr>
        <w:rPr>
          <w:rFonts w:eastAsia="Arial" w:cs="Arial"/>
          <w:szCs w:val="22"/>
          <w:bdr w:val="nil"/>
        </w:rPr>
      </w:pPr>
      <w:r w:rsidRPr="00616F3F">
        <w:rPr>
          <w:rFonts w:ascii="Arial" w:eastAsia="Arial" w:hAnsi="Arial" w:cs="Arial"/>
          <w:szCs w:val="22"/>
          <w:lang w:val="en-US"/>
        </w:rPr>
        <w:t>Our Series B Preferred Shares are senior obligations of ours and rank prior to our common shares with respect to dividends, distributions and payments upon liquidation, which could have an adverse effect on the value of our common shares.</w:t>
      </w:r>
    </w:p>
    <w:p w14:paraId="71F3E058" w14:textId="77777777" w:rsidR="00F5225C" w:rsidRPr="00616F3F" w:rsidRDefault="00F5225C" w:rsidP="00616F3F">
      <w:pPr>
        <w:keepNext/>
        <w:keepLines/>
        <w:pBdr>
          <w:top w:val="nil"/>
          <w:left w:val="nil"/>
          <w:bottom w:val="nil"/>
          <w:right w:val="nil"/>
          <w:between w:val="nil"/>
          <w:bar w:val="nil"/>
        </w:pBdr>
        <w:jc w:val="both"/>
        <w:rPr>
          <w:rFonts w:ascii="Arial" w:eastAsia="Arial" w:hAnsi="Arial" w:cs="Arial"/>
          <w:bdr w:val="nil"/>
          <w:lang w:val="en-US"/>
        </w:rPr>
      </w:pPr>
    </w:p>
    <w:p w14:paraId="71F3E059" w14:textId="77777777" w:rsidR="00F5225C" w:rsidRPr="00616F3F" w:rsidRDefault="003A4815" w:rsidP="00616F3F">
      <w:pPr>
        <w:pBdr>
          <w:top w:val="nil"/>
          <w:left w:val="nil"/>
          <w:bottom w:val="nil"/>
          <w:right w:val="nil"/>
          <w:between w:val="nil"/>
          <w:bar w:val="nil"/>
        </w:pBdr>
        <w:jc w:val="both"/>
        <w:rPr>
          <w:rFonts w:ascii="Arial" w:eastAsia="Arial" w:hAnsi="Arial" w:cs="Arial"/>
          <w:bdr w:val="nil"/>
          <w:lang w:val="en-US"/>
        </w:rPr>
      </w:pPr>
      <w:r w:rsidRPr="00616F3F">
        <w:rPr>
          <w:rFonts w:ascii="Arial" w:eastAsia="Arial" w:hAnsi="Arial" w:cs="Arial"/>
          <w:lang w:val="en-US"/>
        </w:rPr>
        <w:t>The rights of the holders of our Series B Preferred Shares rank senior to the obligations to holders of our common shares. Upon our liquidation, the holders of Series B Preferred Shares will be entitled to receive a liquidation preference of $25.00 per share, plus all accrued but unpaid dividends, prior and in preference to any distribution to the holders of any other class of our equity securities, including our common shares. The existence of the Series B Preferred Shares could have an adverse effect on the value of our common shares.</w:t>
      </w:r>
    </w:p>
    <w:p w14:paraId="71F3E05A" w14:textId="77777777" w:rsidR="00510CAA" w:rsidRDefault="00510CAA">
      <w:pPr>
        <w:pBdr>
          <w:top w:val="nil"/>
          <w:left w:val="nil"/>
          <w:bottom w:val="nil"/>
          <w:right w:val="nil"/>
          <w:between w:val="nil"/>
          <w:bar w:val="nil"/>
        </w:pBdr>
        <w:jc w:val="both"/>
        <w:rPr>
          <w:rFonts w:ascii="Arial" w:eastAsia="Arial" w:hAnsi="Arial" w:cs="Arial"/>
          <w:bdr w:val="nil"/>
        </w:rPr>
      </w:pPr>
    </w:p>
    <w:p w14:paraId="71F3E05B" w14:textId="77777777" w:rsidR="0088083D" w:rsidRPr="00CF7D3E" w:rsidRDefault="003A4815" w:rsidP="001F2387">
      <w:pPr>
        <w:pStyle w:val="Heading3"/>
        <w:keepLines/>
        <w:pBdr>
          <w:top w:val="nil"/>
          <w:left w:val="nil"/>
          <w:bottom w:val="nil"/>
          <w:right w:val="nil"/>
          <w:between w:val="nil"/>
          <w:bar w:val="nil"/>
        </w:pBdr>
        <w:rPr>
          <w:rFonts w:eastAsia="Arial" w:cs="Arial"/>
          <w:i w:val="0"/>
          <w:szCs w:val="22"/>
          <w:bdr w:val="nil"/>
          <w:lang w:val="en-US"/>
        </w:rPr>
      </w:pPr>
      <w:bookmarkStart w:id="101" w:name="RG_MARKER_23048"/>
      <w:r w:rsidRPr="00CF7D3E">
        <w:rPr>
          <w:rFonts w:eastAsia="Arial" w:cs="Arial"/>
          <w:i w:val="0"/>
          <w:sz w:val="24"/>
          <w:szCs w:val="22"/>
          <w:lang w:val="en-US"/>
        </w:rPr>
        <w:t>Risks Relating to Our Series B Preferred Stock</w:t>
      </w:r>
      <w:bookmarkEnd w:id="101"/>
    </w:p>
    <w:p w14:paraId="71F3E05C" w14:textId="77777777" w:rsidR="0088083D" w:rsidRPr="00CF7D3E" w:rsidRDefault="0088083D" w:rsidP="001F2387">
      <w:pPr>
        <w:keepNext/>
        <w:keepLines/>
        <w:pBdr>
          <w:top w:val="nil"/>
          <w:left w:val="nil"/>
          <w:bottom w:val="nil"/>
          <w:right w:val="nil"/>
          <w:between w:val="nil"/>
          <w:bar w:val="nil"/>
        </w:pBdr>
        <w:suppressAutoHyphens/>
        <w:jc w:val="both"/>
        <w:rPr>
          <w:rFonts w:ascii="Arial" w:eastAsia="Arial" w:hAnsi="Arial" w:cs="Arial"/>
          <w:bdr w:val="nil"/>
          <w:lang w:val="en-US"/>
        </w:rPr>
      </w:pPr>
    </w:p>
    <w:p w14:paraId="71F3E05D" w14:textId="77777777" w:rsidR="00D03E84"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We may not have sufficient cash from our operations to enable us to pay dividends on our Series B Preferred Shares following the payment of expenses and the establishment of any reserves.</w:t>
      </w:r>
    </w:p>
    <w:p w14:paraId="71F3E05E" w14:textId="77777777" w:rsidR="00D03E84" w:rsidRPr="00CF7D3E" w:rsidRDefault="00D03E84"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5F" w14:textId="77777777" w:rsidR="00D03E84"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We pay quarterly dividends on our Series B Preferred Shares only from funds legally available for such purpose when, as and if declared by our board of directors. We may not have sufficient cash available each quarter to pay dividends. The amount of dividends we can pay on our Series B Preferred Shares depends upon the amount of cash we generate from and use in our operations, which may fluctuate.</w:t>
      </w:r>
    </w:p>
    <w:p w14:paraId="71F3E060" w14:textId="77777777" w:rsidR="00D03E84" w:rsidRPr="00CF7D3E" w:rsidRDefault="00D03E84"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61" w14:textId="77777777" w:rsidR="00D03E84"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The amount of cash we have available for dividends on our Series B Preferred Shares will not depend solely on our profitability. The actual amount of cash we have available to pay dividends on our Series B Preferred Shares depends on many factors, including the following:</w:t>
      </w:r>
    </w:p>
    <w:p w14:paraId="71F3E062" w14:textId="77777777" w:rsidR="00CF7D3E" w:rsidRPr="00CF7D3E" w:rsidRDefault="00CF7D3E"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63" w14:textId="77777777" w:rsidR="00D03E84" w:rsidRDefault="003A4815" w:rsidP="00CF7D3E">
      <w:pPr>
        <w:pStyle w:val="ListParagraph"/>
        <w:numPr>
          <w:ilvl w:val="0"/>
          <w:numId w:val="11"/>
        </w:numPr>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r w:rsidRPr="00CF7D3E">
        <w:rPr>
          <w:rFonts w:ascii="Arial" w:eastAsia="Arial" w:hAnsi="Arial" w:cs="Arial"/>
          <w:lang w:val="en-US"/>
        </w:rPr>
        <w:t>changes in our operating cash flow, capital expenditure requirements, working capital requirements and other cash needs;</w:t>
      </w:r>
    </w:p>
    <w:p w14:paraId="71F3E064" w14:textId="77777777" w:rsidR="00CF7D3E" w:rsidRPr="00CF7D3E" w:rsidRDefault="00CF7D3E" w:rsidP="00CF7D3E">
      <w:pPr>
        <w:pStyle w:val="ListParagraph"/>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p>
    <w:p w14:paraId="71F3E065" w14:textId="77777777" w:rsidR="00B16FEF" w:rsidRDefault="003A4815" w:rsidP="00CF7D3E">
      <w:pPr>
        <w:pStyle w:val="ListParagraph"/>
        <w:numPr>
          <w:ilvl w:val="0"/>
          <w:numId w:val="11"/>
        </w:numPr>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r w:rsidRPr="00CF7D3E">
        <w:rPr>
          <w:rFonts w:ascii="Arial" w:eastAsia="Arial" w:hAnsi="Arial" w:cs="Arial"/>
          <w:lang w:val="en-US"/>
        </w:rPr>
        <w:t>restrictions under our existing or future credit facilities or any future debt securities on our ability to pay dividends if an event of default has occurred and is continuing or if the payment of the dividend would result in an event of default, or under certain facilities if it would result in the breach of certain financial covenants;</w:t>
      </w:r>
    </w:p>
    <w:p w14:paraId="71F3E066" w14:textId="77777777" w:rsidR="00CF7D3E" w:rsidRPr="00CF7D3E" w:rsidRDefault="00CF7D3E" w:rsidP="00CF7D3E">
      <w:pPr>
        <w:pStyle w:val="ListParagraph"/>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p>
    <w:p w14:paraId="71F3E067" w14:textId="77777777" w:rsidR="00D03E84" w:rsidRDefault="003A4815" w:rsidP="00CF7D3E">
      <w:pPr>
        <w:pStyle w:val="ListParagraph"/>
        <w:numPr>
          <w:ilvl w:val="0"/>
          <w:numId w:val="11"/>
        </w:numPr>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r w:rsidRPr="00CF7D3E">
        <w:rPr>
          <w:rFonts w:ascii="Arial" w:eastAsia="Arial" w:hAnsi="Arial" w:cs="Arial"/>
          <w:lang w:val="en-US"/>
        </w:rPr>
        <w:t>the amount of any cash reserves established by our board of directors; and</w:t>
      </w:r>
    </w:p>
    <w:p w14:paraId="71F3E068" w14:textId="77777777" w:rsidR="00CF7D3E" w:rsidRPr="00CF7D3E" w:rsidRDefault="00CF7D3E" w:rsidP="00CF7D3E">
      <w:pPr>
        <w:pStyle w:val="ListParagraph"/>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p>
    <w:p w14:paraId="71F3E069" w14:textId="77777777" w:rsidR="00D03E84" w:rsidRPr="005E609A" w:rsidRDefault="003A4815" w:rsidP="005E609A">
      <w:pPr>
        <w:pStyle w:val="ListParagraph"/>
        <w:numPr>
          <w:ilvl w:val="0"/>
          <w:numId w:val="11"/>
        </w:num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 xml:space="preserve">restrictions under Marshall Islands law, which generally prohibits the payment of dividends other than from surplus (retained earnings and the excess of consideration received for the sale of shares above the par value of the shares) </w:t>
      </w:r>
      <w:r w:rsidRPr="005E609A">
        <w:rPr>
          <w:rFonts w:ascii="Arial" w:eastAsia="Arial" w:hAnsi="Arial" w:cs="Arial"/>
          <w:lang w:val="en-US"/>
        </w:rPr>
        <w:t>or while a company is insolvent or would be rendered insolvent by the payment of such a dividend.</w:t>
      </w:r>
    </w:p>
    <w:p w14:paraId="71F3E06A" w14:textId="77777777" w:rsidR="00CF7D3E" w:rsidRPr="00CF7D3E" w:rsidRDefault="00CF7D3E" w:rsidP="00CF7D3E">
      <w:pPr>
        <w:pStyle w:val="ListParagraph"/>
        <w:pBdr>
          <w:top w:val="nil"/>
          <w:left w:val="nil"/>
          <w:bottom w:val="nil"/>
          <w:right w:val="nil"/>
          <w:between w:val="nil"/>
          <w:bar w:val="nil"/>
        </w:pBdr>
        <w:autoSpaceDE w:val="0"/>
        <w:autoSpaceDN w:val="0"/>
        <w:adjustRightInd w:val="0"/>
        <w:contextualSpacing w:val="0"/>
        <w:jc w:val="both"/>
        <w:rPr>
          <w:rFonts w:ascii="Arial" w:eastAsia="Arial" w:hAnsi="Arial" w:cs="Arial"/>
          <w:bdr w:val="nil"/>
          <w:lang w:val="en-US"/>
        </w:rPr>
      </w:pPr>
    </w:p>
    <w:p w14:paraId="71F3E06B" w14:textId="77777777" w:rsidR="0088083D"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The amount of cash we generate from our operations may differ materially from our net income or loss for the period, which is affected by non-cash items, and our board of directors in its discretion may elect not to declare any dividends. As a result of these and the other factors mentioned above, we may pay dividends during periods when we record losses and may not pay dividends during periods when we record net income.</w:t>
      </w:r>
    </w:p>
    <w:p w14:paraId="71F3E06C" w14:textId="77777777" w:rsidR="00BF252D" w:rsidRPr="00CF7D3E" w:rsidRDefault="00BF252D"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6D" w14:textId="77777777" w:rsidR="00BF252D"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The Series B Preferred Shares represent perpetual equity interests.</w:t>
      </w:r>
    </w:p>
    <w:p w14:paraId="71F3E06E" w14:textId="77777777" w:rsidR="00B16FEF" w:rsidRPr="00CF7D3E" w:rsidRDefault="00B16FEF"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6F" w14:textId="77777777" w:rsidR="00BF252D"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The Series B Preferred Shares represent perpetual equity interests in us and, unlike our indebtedness, will not give rise to a claim for payment of a principal amount at a particular date. As a result, holders of the Series B Preferred Shares may be required to bear the financial risks of an investment in the Series B Preferred Shares for an indefinite period of time. In addition, the Series B Preferred Shares will rank junior to all our indebtedness and other liabilities, and to any other senior securities we may issue in the future with respect to assets available to satisfy claims against us.</w:t>
      </w:r>
    </w:p>
    <w:p w14:paraId="71F3E070" w14:textId="77777777" w:rsidR="00BF252D" w:rsidRPr="00CF7D3E" w:rsidRDefault="00BF252D"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1" w14:textId="77777777" w:rsidR="00BF252D"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Our Series B Preferred Shares are subordinate to our indebtedness, and your interests could be diluted by the issuance of additional preferred shares, including additional Series B Preferred Shares, and by other transactions.</w:t>
      </w:r>
    </w:p>
    <w:p w14:paraId="71F3E072" w14:textId="77777777" w:rsidR="00685C30" w:rsidRPr="00CF7D3E" w:rsidRDefault="00685C30"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3" w14:textId="77777777" w:rsidR="00BF252D"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 xml:space="preserve">Our Series B Preferred Shares are subordinated to all of our existing and future indebtedness. Therefore, our ability to pay dividends on, redeem or pay the liquidation preference on our Series B Preferred Shares in liquidation or otherwise may be subject to prior payments due to the holders of our indebtedness. Our existing indebtedness restricts, and our future indebtedness may include restrictions on, our ability to pay dividends on or redeem preferred shares. Our amended and restated articles of incorporation currently authorize the issuance of up to </w:t>
      </w:r>
      <w:r>
        <w:rPr>
          <w:rFonts w:ascii="Arial" w:eastAsia="Arial" w:hAnsi="Arial" w:cs="Arial"/>
          <w:lang w:val="en-US"/>
        </w:rPr>
        <w:t>50</w:t>
      </w:r>
      <w:r w:rsidRPr="00CF7D3E">
        <w:rPr>
          <w:rFonts w:ascii="Arial" w:eastAsia="Arial" w:hAnsi="Arial" w:cs="Arial"/>
          <w:lang w:val="en-US"/>
        </w:rPr>
        <w:t>,000,000 preferred shares, par value $0.01 per share. Of these preferred shares, 1,000,000 shares have been designated Series A Participating Preferred Stock, 5,000,000 shares have been designated Series B Preferred Shares, 10,675 are designated as Series C Preferred Shares and 400 are designated as Series D Preferred Shares. The Series B Preferred Shares are senior in rank to the Series A Participating Preferred Shares. The issuance of additional Series B Preferred Shares or other preferred shares on a parity with or senior to the Series B Preferred Shares would dilute the interests of holders of our Series B Preferred Shares, and any issuance of preferred shares senior to our Series B Preferred Shares or of additional indebtedness could affect our ability to pay dividends on, redeem or pay the liquidation preference on our Series B Preferred Shares. The Series B Preferred Shares do not contain any provisions affording the holders of our Series B Preferred Shares protection in the event of a highly leveraged or other transaction, including a merger or the sale, lease or conveyance of all or substantially all our assets or business, which might adversely affect the holders of our Series B Preferred Shares, so long as the rights of our Series B Preferred Shares are not directly materially and adversely affected.</w:t>
      </w:r>
    </w:p>
    <w:p w14:paraId="71F3E074" w14:textId="77777777" w:rsidR="00030878" w:rsidRPr="00CF7D3E" w:rsidRDefault="00030878"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5" w14:textId="77777777" w:rsidR="00030878"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We may redeem the Series B Preferred Shares, and you may not be able to reinvest the redemption price you receive in a similar security.</w:t>
      </w:r>
    </w:p>
    <w:p w14:paraId="71F3E076" w14:textId="77777777" w:rsidR="00685C30" w:rsidRPr="00CF7D3E" w:rsidRDefault="00685C30"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7" w14:textId="77777777" w:rsidR="00685C30"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 xml:space="preserve">Since February 14, 2019, we may, at our option, redeem Series B Preferred Shares, in whole or in part, at any time or from time to time. We may have an incentive to redeem Series B Preferred Shares voluntarily if market conditions allow us to issue other preferred shares or debt securities at a rate that is lower than the dividend on the Series B Preferred Shares. If we redeem Series B Preferred Shares, then from and after the redemption date, your dividends will cease to accrue on your Series B Preferred Shares, your Series B Preferred Shares shall no longer be deemed outstanding and all your rights as a holder of those shares will terminate, except the right to receive the redemption price plus accumulated and unpaid dividends, if any, payable upon redemption. If we redeem the Series B Preferred Shares for any reason, you may not be able to reinvest the redemption price you receive in a similar security. </w:t>
      </w:r>
    </w:p>
    <w:p w14:paraId="71F3E078" w14:textId="77777777" w:rsidR="00685C30" w:rsidRPr="00CF7D3E" w:rsidRDefault="00685C30"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9" w14:textId="77777777" w:rsidR="00030878"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Market interest rates may adversely affect the value of our Series B Preferred Shares.</w:t>
      </w:r>
    </w:p>
    <w:p w14:paraId="71F3E07A" w14:textId="77777777" w:rsidR="00685C30" w:rsidRPr="00CF7D3E" w:rsidRDefault="00685C30"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B" w14:textId="77777777" w:rsidR="003028E4" w:rsidRPr="00CF7D3E" w:rsidRDefault="003A4815" w:rsidP="00CF7D3E">
      <w:pPr>
        <w:pStyle w:val="Normal16"/>
        <w:pBdr>
          <w:top w:val="nil"/>
          <w:left w:val="nil"/>
          <w:bottom w:val="nil"/>
          <w:right w:val="nil"/>
          <w:between w:val="nil"/>
          <w:bar w:val="nil"/>
        </w:pBdr>
        <w:autoSpaceDE w:val="0"/>
        <w:autoSpaceDN w:val="0"/>
        <w:adjustRightInd w:val="0"/>
        <w:rPr>
          <w:rFonts w:ascii="Arial" w:eastAsia="Arial" w:hAnsi="Arial" w:cs="Arial"/>
          <w:bdr w:val="nil"/>
          <w:lang w:val="en-US"/>
        </w:rPr>
      </w:pPr>
      <w:r w:rsidRPr="00CF7D3E">
        <w:rPr>
          <w:rFonts w:ascii="Arial" w:eastAsia="Arial" w:hAnsi="Arial" w:cs="Arial"/>
          <w:lang w:val="en-US"/>
        </w:rPr>
        <w:t>One of the factors that may influence the price of our Series B Preferred Shares is the dividend yield on the Series B Preferred Shares (as a percentage of the price of our Series B Preferred Shares) relative to market interest rates. An increase in market interest rates, which are currently at low levels relative to historical rates, may lead prospective purchasers of our Series B Preferred Shares to expect a higher dividend yield, and higher interest rates would likely increase our borrowing costs and potentially decrease funds available for distribution. Accordingly, higher market interest rates could cause the market price of our Series B Preferred Shares to decrease.</w:t>
      </w:r>
    </w:p>
    <w:p w14:paraId="71F3E07C" w14:textId="77777777" w:rsidR="00685C30" w:rsidRPr="00CF7D3E" w:rsidRDefault="00685C30" w:rsidP="00CF7D3E">
      <w:pPr>
        <w:pBdr>
          <w:top w:val="nil"/>
          <w:left w:val="nil"/>
          <w:bottom w:val="nil"/>
          <w:right w:val="nil"/>
          <w:between w:val="nil"/>
          <w:bar w:val="nil"/>
        </w:pBdr>
        <w:autoSpaceDE w:val="0"/>
        <w:autoSpaceDN w:val="0"/>
        <w:adjustRightInd w:val="0"/>
        <w:jc w:val="both"/>
        <w:rPr>
          <w:rFonts w:ascii="Arial" w:eastAsia="Arial" w:hAnsi="Arial" w:cs="Arial"/>
          <w:b/>
          <w:bCs/>
          <w:i/>
          <w:iCs/>
          <w:bdr w:val="nil"/>
          <w:lang w:val="en-US"/>
        </w:rPr>
      </w:pPr>
    </w:p>
    <w:p w14:paraId="71F3E07D" w14:textId="77777777" w:rsidR="00030878"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As a holder of Series B Preferred Shares you have extremely limited voting rights.</w:t>
      </w:r>
    </w:p>
    <w:p w14:paraId="71F3E07E" w14:textId="77777777" w:rsidR="00685C30" w:rsidRPr="00CF7D3E" w:rsidRDefault="00685C30" w:rsidP="00CF7D3E">
      <w:pPr>
        <w:keepNext/>
        <w:keepLines/>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7F" w14:textId="77777777" w:rsidR="003028E4" w:rsidRPr="00CF7D3E" w:rsidRDefault="003A4815" w:rsidP="00CF7D3E">
      <w:pPr>
        <w:pStyle w:val="Normal16"/>
        <w:pBdr>
          <w:top w:val="nil"/>
          <w:left w:val="nil"/>
          <w:bottom w:val="nil"/>
          <w:right w:val="nil"/>
          <w:between w:val="nil"/>
          <w:bar w:val="nil"/>
        </w:pBdr>
        <w:autoSpaceDE w:val="0"/>
        <w:autoSpaceDN w:val="0"/>
        <w:adjustRightInd w:val="0"/>
        <w:rPr>
          <w:rFonts w:ascii="Arial" w:eastAsia="Arial" w:hAnsi="Arial" w:cs="Arial"/>
          <w:bdr w:val="nil"/>
          <w:lang w:val="en-US"/>
        </w:rPr>
      </w:pPr>
      <w:r w:rsidRPr="00CF7D3E">
        <w:rPr>
          <w:rFonts w:ascii="Arial" w:eastAsia="Arial" w:hAnsi="Arial" w:cs="Arial"/>
          <w:lang w:val="en-US"/>
        </w:rPr>
        <w:t>Your voting rights as a holder of Series B Preferred Shares are extremely limited. Our common shares are the only outstanding class or series of our shares carrying full voting rights. Holders of Series B Preferred Shares have no voting rights other than the ability, subject to certain exceptions, to elect one director if dividends for six quarterly dividend periods (whether or not consecutive) payable on our Series B Preferred Shares are in arrears and certain other limited protective voting rights.</w:t>
      </w:r>
    </w:p>
    <w:p w14:paraId="71F3E080" w14:textId="77777777" w:rsidR="00685C30" w:rsidRPr="00CF7D3E" w:rsidRDefault="00685C30"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81" w14:textId="77777777" w:rsidR="00030878"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Our ability to pay dividends on and to redeem our Series B Preferred Shares is limited by the requirements of Marshall Islands law.</w:t>
      </w:r>
    </w:p>
    <w:p w14:paraId="71F3E082" w14:textId="77777777" w:rsidR="00685C30" w:rsidRPr="00CF7D3E" w:rsidRDefault="00685C30" w:rsidP="00CF7D3E">
      <w:pPr>
        <w:keepNext/>
        <w:keepLines/>
        <w:pBdr>
          <w:top w:val="nil"/>
          <w:left w:val="nil"/>
          <w:bottom w:val="nil"/>
          <w:right w:val="nil"/>
          <w:between w:val="nil"/>
          <w:bar w:val="nil"/>
        </w:pBdr>
        <w:autoSpaceDE w:val="0"/>
        <w:autoSpaceDN w:val="0"/>
        <w:adjustRightInd w:val="0"/>
        <w:jc w:val="both"/>
        <w:rPr>
          <w:rFonts w:ascii="Arial" w:eastAsia="Arial" w:hAnsi="Arial" w:cs="Arial"/>
          <w:b/>
          <w:bCs/>
          <w:i/>
          <w:iCs/>
          <w:bdr w:val="nil"/>
          <w:lang w:val="en-US"/>
        </w:rPr>
      </w:pPr>
    </w:p>
    <w:p w14:paraId="71F3E083" w14:textId="77777777" w:rsidR="00030878" w:rsidRPr="00CF7D3E"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Marshall Islands law provides that we may pay dividends on and redeem the Series B Preferred Shares only to the extent that assets are legally available for such purposes. Legally available assets generally are limited to our surplus, which essentially represents our retained earnings and the excess of consideration received by us for the sale of shares above the par value of the shares. In addition, under Marshall Islands law we may not pay dividends on or redeem Series B Preferred Shares if we are insolvent or would be rendered insolvent by the payment of such a dividend or the making of such redemption.</w:t>
      </w:r>
    </w:p>
    <w:p w14:paraId="71F3E084" w14:textId="77777777" w:rsidR="00685C30" w:rsidRPr="00CF7D3E" w:rsidRDefault="00685C30"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85" w14:textId="77777777" w:rsidR="00030878" w:rsidRPr="00CF7D3E" w:rsidRDefault="003A4815" w:rsidP="00720E4D">
      <w:pPr>
        <w:pStyle w:val="Heading4"/>
        <w:pBdr>
          <w:top w:val="nil"/>
          <w:left w:val="nil"/>
          <w:bottom w:val="nil"/>
          <w:right w:val="nil"/>
          <w:between w:val="nil"/>
          <w:bar w:val="nil"/>
        </w:pBdr>
        <w:rPr>
          <w:rFonts w:eastAsia="Arial" w:cs="Arial"/>
          <w:bdr w:val="nil"/>
          <w:lang w:val="en-US"/>
        </w:rPr>
      </w:pPr>
      <w:r w:rsidRPr="00CF7D3E">
        <w:rPr>
          <w:rFonts w:ascii="Arial" w:eastAsia="Arial" w:hAnsi="Arial" w:cs="Arial"/>
          <w:lang w:val="en-US"/>
        </w:rPr>
        <w:t xml:space="preserve">The amount of your liquidation preference is </w:t>
      </w:r>
      <w:r w:rsidR="00720E4D" w:rsidRPr="00CF7D3E">
        <w:rPr>
          <w:rFonts w:ascii="Arial" w:eastAsia="Arial" w:hAnsi="Arial" w:cs="Arial"/>
          <w:lang w:val="en-US"/>
        </w:rPr>
        <w:t>fixed</w:t>
      </w:r>
      <w:r w:rsidRPr="00CF7D3E">
        <w:rPr>
          <w:rFonts w:ascii="Arial" w:eastAsia="Arial" w:hAnsi="Arial" w:cs="Arial"/>
          <w:lang w:val="en-US"/>
        </w:rPr>
        <w:t xml:space="preserve"> and you will have no right to receive any greater payment regardless of the circumstances.</w:t>
      </w:r>
    </w:p>
    <w:p w14:paraId="71F3E086" w14:textId="77777777" w:rsidR="00685C30" w:rsidRPr="001357B4" w:rsidRDefault="00685C30" w:rsidP="001357B4">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87" w14:textId="77777777" w:rsidR="00030878" w:rsidRDefault="003A4815"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CF7D3E">
        <w:rPr>
          <w:rFonts w:ascii="Arial" w:eastAsia="Arial" w:hAnsi="Arial" w:cs="Arial"/>
          <w:lang w:val="en-US"/>
        </w:rPr>
        <w:t xml:space="preserve">The payment due upon </w:t>
      </w:r>
      <w:r w:rsidR="00720E4D" w:rsidRPr="00CF7D3E">
        <w:rPr>
          <w:rFonts w:ascii="Arial" w:eastAsia="Arial" w:hAnsi="Arial" w:cs="Arial"/>
          <w:lang w:val="en-US"/>
        </w:rPr>
        <w:t>liquidation</w:t>
      </w:r>
      <w:r w:rsidRPr="00CF7D3E">
        <w:rPr>
          <w:rFonts w:ascii="Arial" w:eastAsia="Arial" w:hAnsi="Arial" w:cs="Arial"/>
          <w:lang w:val="en-US"/>
        </w:rPr>
        <w:t xml:space="preserve"> is fixed at the redemption preference of $25.00 per share plus accumulated and unpaid dividends to the date of liquidation. If, in the case of our liquidation, there are remaining assets to be distributed after payment of this amount, you will have no right to receive or to participate in these amounts. Furthermore, if the market price for your Series B Preferred Shares is greater than the liquidation preference, you will have no right to receive the market price from us upon our liquidation.</w:t>
      </w:r>
    </w:p>
    <w:p w14:paraId="71F3E088" w14:textId="77777777" w:rsidR="008531AA" w:rsidRDefault="008531AA" w:rsidP="00CF7D3E">
      <w:pPr>
        <w:pBdr>
          <w:top w:val="nil"/>
          <w:left w:val="nil"/>
          <w:bottom w:val="nil"/>
          <w:right w:val="nil"/>
          <w:between w:val="nil"/>
          <w:bar w:val="nil"/>
        </w:pBdr>
        <w:autoSpaceDE w:val="0"/>
        <w:autoSpaceDN w:val="0"/>
        <w:adjustRightInd w:val="0"/>
        <w:jc w:val="both"/>
        <w:rPr>
          <w:rFonts w:ascii="Arial" w:eastAsia="Arial" w:hAnsi="Arial" w:cs="Arial"/>
          <w:bdr w:val="nil"/>
          <w:lang w:val="en-US"/>
        </w:rPr>
      </w:pPr>
    </w:p>
    <w:p w14:paraId="71F3E089" w14:textId="77777777" w:rsidR="008531AA" w:rsidRPr="00E93D3E" w:rsidRDefault="003A4815" w:rsidP="00720E4D">
      <w:pPr>
        <w:pStyle w:val="Heading3"/>
        <w:pBdr>
          <w:top w:val="nil"/>
          <w:left w:val="nil"/>
          <w:bottom w:val="nil"/>
          <w:right w:val="nil"/>
          <w:between w:val="nil"/>
          <w:bar w:val="nil"/>
        </w:pBdr>
        <w:rPr>
          <w:rFonts w:eastAsia="Arial" w:cs="Arial"/>
          <w:i w:val="0"/>
          <w:bdr w:val="nil"/>
          <w:lang w:val="en-US"/>
        </w:rPr>
      </w:pPr>
      <w:r w:rsidRPr="00E93D3E">
        <w:rPr>
          <w:rFonts w:eastAsia="Arial" w:cs="Arial"/>
          <w:i w:val="0"/>
          <w:sz w:val="24"/>
          <w:lang w:val="en-US"/>
        </w:rPr>
        <w:t xml:space="preserve">Risks Relating to Our Outstanding Warrants </w:t>
      </w:r>
    </w:p>
    <w:p w14:paraId="71F3E08A" w14:textId="77777777" w:rsidR="008531AA" w:rsidRDefault="008531AA" w:rsidP="008531AA">
      <w:pPr>
        <w:pBdr>
          <w:top w:val="nil"/>
          <w:left w:val="nil"/>
          <w:bottom w:val="nil"/>
          <w:right w:val="nil"/>
          <w:between w:val="nil"/>
          <w:bar w:val="nil"/>
        </w:pBdr>
        <w:jc w:val="both"/>
        <w:rPr>
          <w:rFonts w:ascii="Arial" w:eastAsia="Arial" w:hAnsi="Arial" w:cs="Arial"/>
          <w:b/>
          <w:bCs/>
          <w:i/>
          <w:iCs/>
          <w:bdr w:val="nil"/>
          <w:lang w:val="en-US"/>
        </w:rPr>
      </w:pPr>
    </w:p>
    <w:p w14:paraId="71F3E08B" w14:textId="77777777" w:rsidR="008531AA" w:rsidRPr="001357B4" w:rsidRDefault="003A4815" w:rsidP="00720E4D">
      <w:pPr>
        <w:pStyle w:val="Heading4"/>
        <w:pBdr>
          <w:top w:val="nil"/>
          <w:left w:val="nil"/>
          <w:bottom w:val="nil"/>
          <w:right w:val="nil"/>
          <w:between w:val="nil"/>
          <w:bar w:val="nil"/>
        </w:pBdr>
        <w:rPr>
          <w:rFonts w:eastAsia="Arial" w:cs="Arial"/>
          <w:bdr w:val="nil"/>
          <w:lang w:val="en-US"/>
        </w:rPr>
      </w:pPr>
      <w:r w:rsidRPr="001357B4">
        <w:rPr>
          <w:rFonts w:ascii="Arial" w:eastAsia="Arial" w:hAnsi="Arial" w:cs="Arial"/>
          <w:lang w:val="en-US"/>
        </w:rPr>
        <w:t>The issuance of our common stock upon the exercise of the Warrants may depress our stock price.</w:t>
      </w:r>
    </w:p>
    <w:p w14:paraId="71F3E08C" w14:textId="77777777" w:rsidR="008531AA" w:rsidRDefault="008531AA" w:rsidP="008531AA">
      <w:pPr>
        <w:pBdr>
          <w:top w:val="nil"/>
          <w:left w:val="nil"/>
          <w:bottom w:val="nil"/>
          <w:right w:val="nil"/>
          <w:between w:val="nil"/>
          <w:bar w:val="nil"/>
        </w:pBdr>
        <w:jc w:val="both"/>
        <w:rPr>
          <w:rFonts w:ascii="Arial" w:eastAsia="Arial" w:hAnsi="Arial" w:cs="Arial"/>
          <w:bdr w:val="nil"/>
          <w:lang w:val="en-US"/>
        </w:rPr>
      </w:pPr>
    </w:p>
    <w:p w14:paraId="71F3E08D" w14:textId="77777777" w:rsidR="008531AA" w:rsidRDefault="003A4815" w:rsidP="008531AA">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 xml:space="preserve">As of December 31, </w:t>
      </w:r>
      <w:r w:rsidR="00F3566C">
        <w:rPr>
          <w:rFonts w:ascii="Arial" w:eastAsia="Arial" w:hAnsi="Arial" w:cs="Arial"/>
          <w:lang w:val="en-US"/>
        </w:rPr>
        <w:t>2025</w:t>
      </w:r>
      <w:r>
        <w:rPr>
          <w:rFonts w:ascii="Arial" w:eastAsia="Arial" w:hAnsi="Arial" w:cs="Arial"/>
          <w:lang w:val="en-US"/>
        </w:rPr>
        <w:t>, we have issued 9.</w:t>
      </w:r>
      <w:r w:rsidR="00F3566C">
        <w:rPr>
          <w:rFonts w:ascii="Arial" w:eastAsia="Arial" w:hAnsi="Arial" w:cs="Arial"/>
          <w:lang w:val="en-US"/>
        </w:rPr>
        <w:t>9</w:t>
      </w:r>
      <w:r>
        <w:rPr>
          <w:rFonts w:ascii="Arial" w:eastAsia="Arial" w:hAnsi="Arial" w:cs="Arial"/>
          <w:lang w:val="en-US"/>
        </w:rPr>
        <w:t xml:space="preserve"> million shares of common stock and w</w:t>
      </w:r>
      <w:r w:rsidR="00E64E73">
        <w:rPr>
          <w:rFonts w:ascii="Arial" w:eastAsia="Arial" w:hAnsi="Arial" w:cs="Arial"/>
          <w:lang w:val="en-US"/>
        </w:rPr>
        <w:t>e could issue up to </w:t>
      </w:r>
      <w:r w:rsidR="000D0D3D">
        <w:rPr>
          <w:rFonts w:ascii="Arial" w:eastAsia="Arial" w:hAnsi="Arial" w:cs="Arial"/>
          <w:lang w:val="en-US"/>
        </w:rPr>
        <w:t>27.1</w:t>
      </w:r>
      <w:r>
        <w:rPr>
          <w:rFonts w:ascii="Arial" w:eastAsia="Arial" w:hAnsi="Arial" w:cs="Arial"/>
          <w:lang w:val="en-US"/>
        </w:rPr>
        <w:t xml:space="preserve"> million</w:t>
      </w:r>
      <w:r w:rsidR="00E64E73">
        <w:rPr>
          <w:rFonts w:ascii="Arial" w:eastAsia="Arial" w:hAnsi="Arial" w:cs="Arial"/>
          <w:lang w:val="en-US"/>
        </w:rPr>
        <w:t> additional shares of common stock in connection with the exercise of the Warrants. The issuances of the shares of common stock upon exercise of the Warrants and the resale of such shares after their issuance, or the perception that such sales could occur, could result in downward pressure on our stock price and could impact our ability to raise capital through the sale of additional shares in the future. See “Item 4. Information on the Company— A. History and development of the Company— Warrant Distribution" for a more detailed discussion of our Warrants.</w:t>
      </w:r>
    </w:p>
    <w:p w14:paraId="71F3E08E" w14:textId="77777777" w:rsidR="00510CAA" w:rsidRDefault="00510CAA">
      <w:pPr>
        <w:pBdr>
          <w:top w:val="nil"/>
          <w:left w:val="nil"/>
          <w:bottom w:val="nil"/>
          <w:right w:val="nil"/>
          <w:between w:val="nil"/>
          <w:bar w:val="nil"/>
        </w:pBdr>
        <w:rPr>
          <w:rFonts w:ascii="Arial" w:eastAsia="Arial" w:hAnsi="Arial" w:cs="Arial"/>
          <w:bdr w:val="nil"/>
        </w:rPr>
      </w:pPr>
    </w:p>
    <w:p w14:paraId="71F3E08F" w14:textId="77777777" w:rsidR="004109E4" w:rsidRPr="00CC4EC6" w:rsidRDefault="003A4815" w:rsidP="00CC4EC6">
      <w:pPr>
        <w:pStyle w:val="Heading1"/>
        <w:keepLines/>
        <w:pBdr>
          <w:top w:val="nil"/>
          <w:left w:val="nil"/>
          <w:bottom w:val="nil"/>
          <w:right w:val="nil"/>
          <w:between w:val="nil"/>
          <w:bar w:val="nil"/>
        </w:pBdr>
        <w:spacing w:before="0" w:after="0"/>
        <w:rPr>
          <w:rFonts w:ascii="Arial" w:eastAsia="Arial" w:hAnsi="Arial" w:cs="Arial"/>
          <w:color w:val="auto"/>
          <w:szCs w:val="28"/>
          <w:bdr w:val="nil"/>
        </w:rPr>
      </w:pPr>
      <w:bookmarkStart w:id="102" w:name="part1_item4"/>
      <w:bookmarkStart w:id="103" w:name="RG_MARKER_23056"/>
      <w:bookmarkStart w:id="104" w:name="RG_MARKER_23050"/>
      <w:bookmarkStart w:id="105" w:name="_Toc223262935"/>
      <w:bookmarkStart w:id="106" w:name="_Toc222553121"/>
      <w:bookmarkEnd w:id="102"/>
      <w:r w:rsidRPr="00CC4EC6">
        <w:rPr>
          <w:rFonts w:ascii="Arial" w:eastAsia="Arial" w:hAnsi="Arial" w:cs="Arial"/>
          <w:color w:val="auto"/>
          <w:szCs w:val="28"/>
        </w:rPr>
        <w:t>Item 4.</w:t>
      </w:r>
      <w:bookmarkEnd w:id="103"/>
      <w:bookmarkEnd w:id="104"/>
      <w:r w:rsidRPr="00CC4EC6">
        <w:rPr>
          <w:rFonts w:ascii="Arial" w:eastAsia="Arial" w:hAnsi="Arial" w:cs="Arial"/>
          <w:color w:val="auto"/>
          <w:szCs w:val="28"/>
        </w:rPr>
        <w:tab/>
        <w:t>Information on the Company</w:t>
      </w:r>
      <w:bookmarkEnd w:id="105"/>
      <w:bookmarkEnd w:id="106"/>
    </w:p>
    <w:p w14:paraId="71F3E090" w14:textId="77777777" w:rsidR="005D4E25" w:rsidRPr="00CC4EC6" w:rsidRDefault="005D4E25" w:rsidP="00CC4EC6">
      <w:pPr>
        <w:pStyle w:val="Normal15"/>
        <w:keepNext/>
        <w:keepLines/>
        <w:pBdr>
          <w:top w:val="nil"/>
          <w:left w:val="nil"/>
          <w:bottom w:val="nil"/>
          <w:right w:val="nil"/>
          <w:between w:val="nil"/>
          <w:bar w:val="nil"/>
        </w:pBdr>
        <w:jc w:val="left"/>
        <w:rPr>
          <w:rFonts w:ascii="Arial" w:eastAsia="Arial" w:hAnsi="Arial" w:cs="Arial"/>
          <w:bdr w:val="nil"/>
          <w:lang w:val="en-US"/>
        </w:rPr>
      </w:pPr>
    </w:p>
    <w:p w14:paraId="71F3E091" w14:textId="77777777" w:rsidR="004109E4" w:rsidRPr="00CC4EC6" w:rsidRDefault="003A4815" w:rsidP="00CC4EC6">
      <w:pPr>
        <w:pStyle w:val="Heading2"/>
        <w:keepLines/>
        <w:pBdr>
          <w:top w:val="nil"/>
          <w:left w:val="nil"/>
          <w:bottom w:val="nil"/>
          <w:right w:val="nil"/>
          <w:between w:val="nil"/>
          <w:bar w:val="nil"/>
        </w:pBdr>
        <w:ind w:left="714"/>
        <w:rPr>
          <w:rFonts w:ascii="Arial" w:eastAsia="Arial" w:hAnsi="Arial" w:cs="Arial"/>
          <w:color w:val="auto"/>
          <w:szCs w:val="24"/>
          <w:bdr w:val="nil"/>
        </w:rPr>
      </w:pPr>
      <w:r w:rsidRPr="00CC4EC6">
        <w:rPr>
          <w:rFonts w:ascii="Arial" w:eastAsia="Arial" w:hAnsi="Arial" w:cs="Arial"/>
          <w:color w:val="auto"/>
          <w:szCs w:val="24"/>
          <w:lang w:val="en-GB"/>
        </w:rPr>
        <w:t>A.</w:t>
      </w:r>
      <w:r w:rsidRPr="00CC4EC6">
        <w:rPr>
          <w:rFonts w:ascii="Arial" w:eastAsia="Arial" w:hAnsi="Arial" w:cs="Arial"/>
          <w:color w:val="auto"/>
          <w:szCs w:val="24"/>
          <w:lang w:val="en-GB"/>
        </w:rPr>
        <w:tab/>
        <w:t>History and development of the Company</w:t>
      </w:r>
    </w:p>
    <w:p w14:paraId="71F3E092" w14:textId="77777777" w:rsidR="005D4E25" w:rsidRPr="00CC4EC6" w:rsidRDefault="005D4E25" w:rsidP="000D1C54">
      <w:pPr>
        <w:keepNext/>
        <w:keepLines/>
        <w:pBdr>
          <w:top w:val="nil"/>
          <w:left w:val="nil"/>
          <w:bottom w:val="nil"/>
          <w:right w:val="nil"/>
          <w:between w:val="nil"/>
          <w:bar w:val="nil"/>
        </w:pBdr>
        <w:rPr>
          <w:rFonts w:ascii="Arial" w:eastAsia="Arial" w:hAnsi="Arial" w:cs="Arial"/>
          <w:bdr w:val="nil"/>
          <w:lang w:val="en-GB" w:eastAsia="el-GR"/>
        </w:rPr>
      </w:pPr>
    </w:p>
    <w:p w14:paraId="71F3E093" w14:textId="77777777" w:rsidR="004109E4" w:rsidRDefault="003A4815" w:rsidP="00CC4EC6">
      <w:pPr>
        <w:pBdr>
          <w:top w:val="nil"/>
          <w:left w:val="nil"/>
          <w:bottom w:val="nil"/>
          <w:right w:val="nil"/>
          <w:between w:val="nil"/>
          <w:bar w:val="nil"/>
        </w:pBdr>
        <w:jc w:val="both"/>
        <w:rPr>
          <w:rFonts w:ascii="Arial" w:eastAsia="Arial" w:hAnsi="Arial" w:cs="Arial"/>
          <w:bdr w:val="nil"/>
          <w:lang w:val="en-US"/>
        </w:rPr>
      </w:pPr>
      <w:r w:rsidRPr="00CC4EC6">
        <w:rPr>
          <w:rFonts w:ascii="Arial" w:eastAsia="Arial" w:hAnsi="Arial" w:cs="Arial"/>
          <w:lang w:val="en-US"/>
        </w:rPr>
        <w:t>Diana Shipping Inc. is a holding company incorporated under the laws of Liberia in March 1999 as Diana Shipping Investments Corp. In February 2005, the Company’s articles of incorporation were amended. Under the amended and restated articles of incorporation, the Company was renamed Diana Shipping Inc. and was re-domiciled from the Republic of Liberia to the Republic of the Marshall Islands.  Our executive offices are located at Pendelis 16, 175 64 Palaio Faliro, Athens, Greece. Our telephone number at this address is +30-210-947-0100. Our agent and authorized representative in the United States is our wholly owned subsidiary, Bulk Carriers (USA) LLC, established in September 2006, in the State of Delaware, which is located at 2711 Centerville Road, Suite 400, Wilmington, Delaware 19808. The SEC maintains an Internet site that contains reports, proxy and information statements, and other information regarding issuers that file electronically with the SEC. The address of the SEC's</w:t>
      </w:r>
      <w:r w:rsidR="00264D6C" w:rsidRPr="00CC4EC6">
        <w:rPr>
          <w:rFonts w:ascii="Arial" w:eastAsia="Arial" w:hAnsi="Arial" w:cs="Arial"/>
          <w:lang w:val="en-US"/>
        </w:rPr>
        <w:t xml:space="preserve"> </w:t>
      </w:r>
      <w:r w:rsidRPr="00CC4EC6">
        <w:rPr>
          <w:rFonts w:ascii="Arial" w:eastAsia="Arial" w:hAnsi="Arial" w:cs="Arial"/>
          <w:lang w:val="en-US"/>
        </w:rPr>
        <w:t xml:space="preserve">Internet site is http://www.sec.gov. The address of the Company's Internet site is </w:t>
      </w:r>
      <w:r w:rsidR="009D3149" w:rsidRPr="003A479C">
        <w:rPr>
          <w:rFonts w:ascii="Arial" w:eastAsia="Arial" w:hAnsi="Arial" w:cs="Arial"/>
          <w:color w:val="0000FF"/>
          <w:lang w:val="en-US"/>
        </w:rPr>
        <w:t>http://www.dianashippinginc.com</w:t>
      </w:r>
      <w:r w:rsidRPr="00CC4EC6">
        <w:rPr>
          <w:rFonts w:ascii="Arial" w:eastAsia="Arial" w:hAnsi="Arial" w:cs="Arial"/>
          <w:lang w:val="en-US"/>
        </w:rPr>
        <w:t>.</w:t>
      </w:r>
      <w:r w:rsidR="009D3149">
        <w:rPr>
          <w:rFonts w:ascii="Arial" w:eastAsia="Arial" w:hAnsi="Arial" w:cs="Arial"/>
          <w:lang w:val="en-US"/>
        </w:rPr>
        <w:t xml:space="preserve"> </w:t>
      </w:r>
      <w:r w:rsidR="009D3149" w:rsidRPr="009D3149">
        <w:rPr>
          <w:rFonts w:ascii="Arial" w:eastAsia="Arial" w:hAnsi="Arial" w:cs="Arial"/>
          <w:lang w:val="en-US"/>
        </w:rPr>
        <w:t>The information contained on or connected to our website is not part of this annual report.</w:t>
      </w:r>
    </w:p>
    <w:p w14:paraId="71F3E094" w14:textId="77777777" w:rsidR="00CD7BA8" w:rsidRDefault="00CD7BA8" w:rsidP="00CC4EC6">
      <w:pPr>
        <w:pBdr>
          <w:top w:val="nil"/>
          <w:left w:val="nil"/>
          <w:bottom w:val="nil"/>
          <w:right w:val="nil"/>
          <w:between w:val="nil"/>
          <w:bar w:val="nil"/>
        </w:pBdr>
        <w:jc w:val="both"/>
        <w:rPr>
          <w:rFonts w:ascii="Arial" w:eastAsia="Arial" w:hAnsi="Arial" w:cs="Arial"/>
          <w:bdr w:val="nil"/>
          <w:lang w:val="en-US"/>
        </w:rPr>
      </w:pPr>
    </w:p>
    <w:p w14:paraId="71F3E095" w14:textId="77777777" w:rsidR="00CD7BA8" w:rsidRDefault="003A4815" w:rsidP="00CD7BA8">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r>
        <w:rPr>
          <w:rFonts w:ascii="Arial" w:eastAsia="Arial" w:hAnsi="Arial" w:cs="Arial"/>
          <w:b/>
          <w:bCs/>
          <w:szCs w:val="22"/>
          <w:lang w:val="en-US"/>
        </w:rPr>
        <w:t xml:space="preserve">Recent Developments </w:t>
      </w:r>
    </w:p>
    <w:p w14:paraId="71F3E096" w14:textId="77777777" w:rsidR="009A1841" w:rsidRDefault="009A1841" w:rsidP="00CD7BA8">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p>
    <w:p w14:paraId="71F3E097" w14:textId="77777777" w:rsidR="009A1841" w:rsidRDefault="003A4815" w:rsidP="009A1841">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r>
        <w:rPr>
          <w:rFonts w:ascii="Arial" w:eastAsia="Arial" w:hAnsi="Arial" w:cs="Arial"/>
          <w:b/>
          <w:bCs/>
          <w:szCs w:val="22"/>
          <w:lang w:val="en-US"/>
        </w:rPr>
        <w:t>Genco Acquisition Proposal</w:t>
      </w:r>
    </w:p>
    <w:p w14:paraId="71F3E098" w14:textId="77777777" w:rsidR="009A1841" w:rsidRPr="009A1841" w:rsidRDefault="009A1841" w:rsidP="009A1841">
      <w:pPr>
        <w:pBdr>
          <w:top w:val="nil"/>
          <w:left w:val="nil"/>
          <w:bottom w:val="nil"/>
          <w:right w:val="nil"/>
          <w:between w:val="nil"/>
          <w:bar w:val="nil"/>
        </w:pBdr>
        <w:jc w:val="both"/>
        <w:rPr>
          <w:rFonts w:ascii="Arial" w:eastAsia="Arial" w:hAnsi="Arial" w:cs="Arial"/>
          <w:color w:val="000000"/>
          <w:bdr w:val="nil"/>
          <w:lang w:val="en-US" w:bidi="en-US"/>
        </w:rPr>
      </w:pPr>
    </w:p>
    <w:p w14:paraId="71F3E099" w14:textId="77777777" w:rsidR="00F95E4E" w:rsidRDefault="003A4815" w:rsidP="009A1841">
      <w:pPr>
        <w:pBdr>
          <w:top w:val="nil"/>
          <w:left w:val="nil"/>
          <w:bottom w:val="nil"/>
          <w:right w:val="nil"/>
          <w:between w:val="nil"/>
          <w:bar w:val="nil"/>
        </w:pBdr>
        <w:jc w:val="both"/>
        <w:rPr>
          <w:rFonts w:ascii="Arial" w:eastAsia="Arial" w:hAnsi="Arial" w:cs="Arial"/>
          <w:color w:val="000000"/>
          <w:bdr w:val="nil"/>
          <w:lang w:val="en-US" w:bidi="en-US"/>
        </w:rPr>
      </w:pPr>
      <w:r w:rsidRPr="009A1841">
        <w:rPr>
          <w:rFonts w:ascii="Arial" w:eastAsia="Arial" w:hAnsi="Arial" w:cs="Arial"/>
          <w:color w:val="000000"/>
          <w:bdr w:val="none" w:sz="0" w:space="0" w:color="auto" w:frame="1"/>
          <w:lang w:val="en-GB" w:bidi="en-US"/>
        </w:rPr>
        <w:t>During 2025, we acquired 6,413,151 shares of common stock of Genco Shipping and Trading Limited, or Genco, representing</w:t>
      </w:r>
      <w:r w:rsidRPr="006656DE">
        <w:rPr>
          <w:rFonts w:ascii="Arial" w:eastAsia="Arial" w:hAnsi="Arial" w:cs="Arial"/>
          <w:color w:val="000000"/>
          <w:bdr w:val="none" w:sz="0" w:space="0" w:color="auto" w:frame="1"/>
          <w:lang w:val="en-GB" w:bidi="en-US"/>
        </w:rPr>
        <w:t xml:space="preserve"> approximately 14.8% of Genco’s outstanding shares for $103.5 million. On November 24, 2025, we submitted to Genco’s board of directors a proposal to acquire all of the outstanding shares of Genco we did not already own for a price of $20.60 per share in cash. </w:t>
      </w:r>
      <w:r w:rsidR="006656DE" w:rsidRPr="006656DE">
        <w:rPr>
          <w:rFonts w:ascii="Arial" w:eastAsia="Arial" w:hAnsi="Arial" w:cs="Arial"/>
          <w:color w:val="000000"/>
          <w:bdr w:val="none" w:sz="0" w:space="0" w:color="auto" w:frame="1"/>
          <w:lang w:val="en-GB" w:bidi="en-US"/>
        </w:rPr>
        <w:t xml:space="preserve">On January 16, 2026, following Genco’s rejection of our proposal we announced our intention to nominate a slate of independent director candidates for election on the Genco board. </w:t>
      </w:r>
      <w:r w:rsidRPr="006656DE">
        <w:rPr>
          <w:rFonts w:ascii="Arial" w:eastAsia="Arial" w:hAnsi="Arial" w:cs="Arial"/>
          <w:color w:val="000000"/>
          <w:bdr w:val="none" w:sz="0" w:space="0" w:color="auto" w:frame="1"/>
          <w:lang w:val="en-GB" w:bidi="en-US"/>
        </w:rPr>
        <w:t>On March 6, 2026, we increased our offer to $23.50 per share in cash</w:t>
      </w:r>
      <w:r w:rsidR="00FE4DC9">
        <w:rPr>
          <w:rFonts w:ascii="Arial" w:eastAsia="Arial" w:hAnsi="Arial" w:cs="Arial"/>
          <w:color w:val="000000"/>
          <w:bdr w:val="none" w:sz="0" w:space="0" w:color="auto" w:frame="1"/>
          <w:lang w:val="en-GB" w:bidi="en-US"/>
        </w:rPr>
        <w:t>.</w:t>
      </w:r>
      <w:r w:rsidRPr="006656DE">
        <w:rPr>
          <w:rFonts w:ascii="Arial" w:eastAsia="Arial" w:hAnsi="Arial" w:cs="Arial"/>
          <w:color w:val="000000"/>
          <w:bdr w:val="none" w:sz="0" w:space="0" w:color="auto" w:frame="1"/>
          <w:lang w:val="en-GB" w:bidi="en-US"/>
        </w:rPr>
        <w:t xml:space="preserve"> Th</w:t>
      </w:r>
      <w:r w:rsidR="007464AF">
        <w:rPr>
          <w:rFonts w:ascii="Arial" w:eastAsia="Arial" w:hAnsi="Arial" w:cs="Arial"/>
          <w:color w:val="000000"/>
          <w:bdr w:val="none" w:sz="0" w:space="0" w:color="auto" w:frame="1"/>
          <w:lang w:val="en-GB" w:bidi="en-US"/>
        </w:rPr>
        <w:t>is</w:t>
      </w:r>
      <w:r w:rsidRPr="006656DE">
        <w:rPr>
          <w:rFonts w:ascii="Arial" w:eastAsia="Arial" w:hAnsi="Arial" w:cs="Arial"/>
          <w:color w:val="000000"/>
          <w:bdr w:val="none" w:sz="0" w:space="0" w:color="auto" w:frame="1"/>
          <w:lang w:val="en-GB" w:bidi="en-US"/>
        </w:rPr>
        <w:t xml:space="preserve"> acquisition</w:t>
      </w:r>
      <w:r w:rsidR="007464AF">
        <w:rPr>
          <w:rFonts w:ascii="Arial" w:eastAsia="Arial" w:hAnsi="Arial" w:cs="Arial"/>
          <w:color w:val="000000"/>
          <w:bdr w:val="none" w:sz="0" w:space="0" w:color="auto" w:frame="1"/>
          <w:lang w:val="en-GB" w:bidi="en-US"/>
        </w:rPr>
        <w:t xml:space="preserve"> proposal would</w:t>
      </w:r>
      <w:r w:rsidRPr="006656DE">
        <w:rPr>
          <w:rFonts w:ascii="Arial" w:eastAsia="Arial" w:hAnsi="Arial" w:cs="Arial"/>
          <w:color w:val="000000"/>
          <w:bdr w:val="none" w:sz="0" w:space="0" w:color="auto" w:frame="1"/>
          <w:lang w:val="en-GB" w:bidi="en-US"/>
        </w:rPr>
        <w:t xml:space="preserve"> be financed by a $1.43 billion fully committed facility arranged by DNB Carnegie and Nordea, and with</w:t>
      </w:r>
      <w:r w:rsidRPr="00F95E4E">
        <w:rPr>
          <w:rFonts w:ascii="Arial" w:eastAsia="Arial" w:hAnsi="Arial" w:cs="Arial"/>
          <w:color w:val="000000"/>
          <w:lang w:val="en-US" w:bidi="en-US"/>
        </w:rPr>
        <w:t xml:space="preserve"> participation of other international banks. Also on March 6, 2026, Diana entered into a definitive agreement with Star Bulk Carriers Corp.</w:t>
      </w:r>
      <w:r>
        <w:rPr>
          <w:rFonts w:ascii="Arial" w:eastAsia="Arial" w:hAnsi="Arial" w:cs="Arial"/>
          <w:color w:val="000000"/>
          <w:lang w:val="en-US" w:bidi="en-US"/>
        </w:rPr>
        <w:t xml:space="preserve">, or </w:t>
      </w:r>
      <w:r w:rsidRPr="00F95E4E">
        <w:rPr>
          <w:rFonts w:ascii="Arial" w:eastAsia="Arial" w:hAnsi="Arial" w:cs="Arial"/>
          <w:bCs/>
          <w:color w:val="000000"/>
          <w:lang w:val="en-US" w:bidi="en-US"/>
        </w:rPr>
        <w:t>Star Bulk</w:t>
      </w:r>
      <w:r>
        <w:rPr>
          <w:rFonts w:ascii="Arial" w:eastAsia="Arial" w:hAnsi="Arial" w:cs="Arial"/>
          <w:bCs/>
          <w:color w:val="000000"/>
          <w:lang w:val="en-US" w:bidi="en-US"/>
        </w:rPr>
        <w:t xml:space="preserve">, </w:t>
      </w:r>
      <w:r w:rsidRPr="00F95E4E">
        <w:rPr>
          <w:rFonts w:ascii="Arial" w:eastAsia="Arial" w:hAnsi="Arial" w:cs="Arial"/>
          <w:color w:val="000000"/>
          <w:lang w:val="en-US" w:bidi="en-US"/>
        </w:rPr>
        <w:t>to acquire 16 vessels of Genco for $470.5 million in cash upon, and subject to, the consummation of an acquisition of Genco by Diana</w:t>
      </w:r>
      <w:r>
        <w:rPr>
          <w:rFonts w:ascii="Arial" w:eastAsia="Arial" w:hAnsi="Arial" w:cs="Arial"/>
          <w:color w:val="000000"/>
          <w:lang w:val="en-US" w:bidi="en-US"/>
        </w:rPr>
        <w:t>.</w:t>
      </w:r>
    </w:p>
    <w:p w14:paraId="71F3E09A" w14:textId="77777777" w:rsidR="0075117B" w:rsidRDefault="0075117B" w:rsidP="00CC4EC6">
      <w:pPr>
        <w:pStyle w:val="Notesbody"/>
        <w:pBdr>
          <w:top w:val="nil"/>
          <w:left w:val="nil"/>
          <w:bottom w:val="nil"/>
          <w:right w:val="nil"/>
          <w:between w:val="nil"/>
          <w:bar w:val="nil"/>
        </w:pBdr>
        <w:rPr>
          <w:rFonts w:ascii="Arial" w:eastAsia="Arial" w:hAnsi="Arial" w:cs="Arial"/>
          <w:bdr w:val="nil"/>
        </w:rPr>
      </w:pPr>
    </w:p>
    <w:p w14:paraId="71F3E09B" w14:textId="77777777" w:rsidR="00AA1878" w:rsidRDefault="003A4815" w:rsidP="00396509">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r>
        <w:rPr>
          <w:rFonts w:ascii="Arial" w:eastAsia="Arial" w:hAnsi="Arial" w:cs="Arial"/>
          <w:b/>
          <w:bCs/>
          <w:szCs w:val="22"/>
          <w:lang w:val="en-US"/>
        </w:rPr>
        <w:t>Joint Venture Agreements</w:t>
      </w:r>
    </w:p>
    <w:p w14:paraId="71F3E09C" w14:textId="77777777" w:rsidR="00AA1878" w:rsidRPr="00AA1878" w:rsidRDefault="00AA1878" w:rsidP="00AA1878">
      <w:pPr>
        <w:pBdr>
          <w:top w:val="nil"/>
          <w:left w:val="nil"/>
          <w:bottom w:val="nil"/>
          <w:right w:val="nil"/>
          <w:between w:val="nil"/>
          <w:bar w:val="nil"/>
        </w:pBdr>
        <w:jc w:val="both"/>
        <w:rPr>
          <w:rFonts w:ascii="Arial" w:eastAsia="Arial" w:hAnsi="Arial" w:cs="Arial"/>
          <w:color w:val="000000"/>
          <w:bdr w:val="nil"/>
          <w:lang w:val="en-GB" w:bidi="en-US"/>
        </w:rPr>
      </w:pPr>
    </w:p>
    <w:p w14:paraId="71F3E09D" w14:textId="77777777" w:rsidR="001F62E5" w:rsidRPr="001F62E5" w:rsidRDefault="003A4815" w:rsidP="00E41D06">
      <w:pPr>
        <w:pBdr>
          <w:top w:val="nil"/>
          <w:left w:val="nil"/>
          <w:bottom w:val="nil"/>
          <w:right w:val="nil"/>
          <w:between w:val="nil"/>
          <w:bar w:val="nil"/>
        </w:pBdr>
        <w:jc w:val="both"/>
        <w:rPr>
          <w:rFonts w:ascii="Arial" w:eastAsia="Arial" w:hAnsi="Arial" w:cs="Arial"/>
          <w:color w:val="000000"/>
          <w:bdr w:val="nil"/>
          <w:lang w:val="en-US" w:bidi="en-US"/>
        </w:rPr>
      </w:pPr>
      <w:r w:rsidRPr="001F62E5">
        <w:rPr>
          <w:rFonts w:ascii="Arial" w:eastAsia="Arial" w:hAnsi="Arial" w:cs="Arial"/>
          <w:color w:val="000000"/>
          <w:bdr w:val="none" w:sz="0" w:space="0" w:color="auto" w:frame="1"/>
          <w:lang w:val="en-GB" w:bidi="en-US"/>
        </w:rPr>
        <w:t xml:space="preserve">In November 2023, we entered into a joint venture agreement, with two unrelated companies to form Windward Offshore GmbH &amp; Co. KG, or </w:t>
      </w:r>
      <w:r w:rsidRPr="001F62E5">
        <w:rPr>
          <w:rFonts w:ascii="Arial" w:eastAsia="Arial" w:hAnsi="Arial" w:cs="Arial"/>
          <w:color w:val="000000"/>
          <w:bdr w:val="none" w:sz="0" w:space="0" w:color="auto" w:frame="1"/>
          <w:lang w:val="en-US" w:bidi="en-US"/>
        </w:rPr>
        <w:t>Windward</w:t>
      </w:r>
      <w:r w:rsidRPr="001F62E5">
        <w:rPr>
          <w:rFonts w:ascii="Arial" w:eastAsia="Arial" w:hAnsi="Arial" w:cs="Arial"/>
          <w:color w:val="000000"/>
          <w:bdr w:val="none" w:sz="0" w:space="0" w:color="auto" w:frame="1"/>
          <w:lang w:val="en-GB" w:bidi="en-US"/>
        </w:rPr>
        <w:t>, for the purpose of establishing and operating an offshore wind vessel company. We agreed to contribute Euro 25.0 million, being 45.45% of Windward’s capital, to construct two CSOVs. In January 2024, we increase</w:t>
      </w:r>
      <w:r w:rsidR="00F95E4E">
        <w:rPr>
          <w:rFonts w:ascii="Arial" w:eastAsia="Arial" w:hAnsi="Arial" w:cs="Arial"/>
          <w:color w:val="000000"/>
          <w:bdr w:val="none" w:sz="0" w:space="0" w:color="auto" w:frame="1"/>
          <w:lang w:val="en-GB" w:bidi="en-US"/>
        </w:rPr>
        <w:t>d</w:t>
      </w:r>
      <w:r w:rsidRPr="001F62E5">
        <w:rPr>
          <w:rFonts w:ascii="Arial" w:eastAsia="Arial" w:hAnsi="Arial" w:cs="Arial"/>
          <w:color w:val="000000"/>
          <w:bdr w:val="none" w:sz="0" w:space="0" w:color="auto" w:frame="1"/>
          <w:lang w:val="en-GB" w:bidi="en-US"/>
        </w:rPr>
        <w:t xml:space="preserve"> our </w:t>
      </w:r>
      <w:r w:rsidR="00F95E4E">
        <w:rPr>
          <w:rFonts w:ascii="Arial" w:eastAsia="Arial" w:hAnsi="Arial" w:cs="Arial"/>
          <w:color w:val="000000"/>
          <w:bdr w:val="none" w:sz="0" w:space="0" w:color="auto" w:frame="1"/>
          <w:lang w:val="en-GB" w:bidi="en-US"/>
        </w:rPr>
        <w:t xml:space="preserve">commitment to </w:t>
      </w:r>
      <w:r w:rsidRPr="001F62E5">
        <w:rPr>
          <w:rFonts w:ascii="Arial" w:eastAsia="Arial" w:hAnsi="Arial" w:cs="Arial"/>
          <w:color w:val="000000"/>
          <w:bdr w:val="none" w:sz="0" w:space="0" w:color="auto" w:frame="1"/>
          <w:lang w:val="en-GB" w:bidi="en-US"/>
        </w:rPr>
        <w:t>Euro 50.0 million, being 45.87% of Windward’s capital in order for the partnership to place orders for two additional CSOVs.</w:t>
      </w:r>
      <w:r>
        <w:rPr>
          <w:rFonts w:ascii="Arial" w:eastAsia="Arial" w:hAnsi="Arial" w:cs="Arial"/>
          <w:color w:val="000000"/>
          <w:bdr w:val="none" w:sz="0" w:space="0" w:color="auto" w:frame="1"/>
          <w:lang w:val="en-GB" w:bidi="en-US"/>
        </w:rPr>
        <w:t xml:space="preserve"> </w:t>
      </w:r>
      <w:r w:rsidRPr="001F62E5">
        <w:rPr>
          <w:rFonts w:ascii="Arial" w:eastAsia="Arial" w:hAnsi="Arial" w:cs="Arial"/>
          <w:color w:val="000000"/>
          <w:bdr w:val="none" w:sz="0" w:space="0" w:color="auto" w:frame="1"/>
          <w:lang w:val="en-US" w:bidi="en-US"/>
        </w:rPr>
        <w:t xml:space="preserve">On May 5, 2025, a new partner was admitted to Windward </w:t>
      </w:r>
      <w:r w:rsidR="00064BF3" w:rsidRPr="001F62E5">
        <w:rPr>
          <w:rFonts w:ascii="Arial" w:eastAsia="Arial" w:hAnsi="Arial" w:cs="Arial"/>
          <w:color w:val="000000"/>
          <w:bdr w:val="none" w:sz="0" w:space="0" w:color="auto" w:frame="1"/>
          <w:lang w:val="en-US" w:bidi="en-US"/>
        </w:rPr>
        <w:t xml:space="preserve">which reduced </w:t>
      </w:r>
      <w:r w:rsidR="00064BF3">
        <w:rPr>
          <w:rFonts w:ascii="Arial" w:eastAsia="Arial" w:hAnsi="Arial" w:cs="Arial"/>
          <w:color w:val="000000"/>
          <w:bdr w:val="none" w:sz="0" w:space="0" w:color="auto" w:frame="1"/>
          <w:lang w:val="en-US" w:bidi="en-US"/>
        </w:rPr>
        <w:t>our</w:t>
      </w:r>
      <w:r w:rsidR="00064BF3" w:rsidRPr="001F62E5">
        <w:rPr>
          <w:rFonts w:ascii="Arial" w:eastAsia="Arial" w:hAnsi="Arial" w:cs="Arial"/>
          <w:color w:val="000000"/>
          <w:bdr w:val="none" w:sz="0" w:space="0" w:color="auto" w:frame="1"/>
          <w:lang w:val="en-US" w:bidi="en-US"/>
        </w:rPr>
        <w:t xml:space="preserve"> ownership percentage to 34%</w:t>
      </w:r>
      <w:r w:rsidR="000403D3">
        <w:rPr>
          <w:rFonts w:ascii="Arial" w:eastAsia="Arial" w:hAnsi="Arial" w:cs="Arial"/>
          <w:color w:val="000000"/>
          <w:bdr w:val="none" w:sz="0" w:space="0" w:color="auto" w:frame="1"/>
          <w:lang w:val="en-US" w:bidi="en-US"/>
        </w:rPr>
        <w:t>. In 2023, 2024 and 2025, we invested Euro 9.7 million or $10.3 million, Euro 25.</w:t>
      </w:r>
      <w:r w:rsidR="00824E7E">
        <w:rPr>
          <w:rFonts w:ascii="Arial" w:eastAsia="Arial" w:hAnsi="Arial" w:cs="Arial"/>
          <w:color w:val="000000"/>
          <w:bdr w:val="none" w:sz="0" w:space="0" w:color="auto" w:frame="1"/>
          <w:lang w:val="en-US" w:bidi="en-US"/>
        </w:rPr>
        <w:t>0</w:t>
      </w:r>
      <w:r w:rsidR="000403D3">
        <w:rPr>
          <w:rFonts w:ascii="Arial" w:eastAsia="Arial" w:hAnsi="Arial" w:cs="Arial"/>
          <w:color w:val="000000"/>
          <w:bdr w:val="none" w:sz="0" w:space="0" w:color="auto" w:frame="1"/>
          <w:lang w:val="en-US" w:bidi="en-US"/>
        </w:rPr>
        <w:t xml:space="preserve"> million or </w:t>
      </w:r>
      <w:r w:rsidR="000028F6">
        <w:rPr>
          <w:rFonts w:ascii="Arial" w:eastAsia="Arial" w:hAnsi="Arial" w:cs="Arial"/>
          <w:color w:val="000000"/>
          <w:bdr w:val="none" w:sz="0" w:space="0" w:color="auto" w:frame="1"/>
          <w:lang w:val="en-US" w:bidi="en-US"/>
        </w:rPr>
        <w:t xml:space="preserve">$27.1 million </w:t>
      </w:r>
      <w:r w:rsidR="000403D3">
        <w:rPr>
          <w:rFonts w:ascii="Arial" w:eastAsia="Arial" w:hAnsi="Arial" w:cs="Arial"/>
          <w:color w:val="000000"/>
          <w:bdr w:val="none" w:sz="0" w:space="0" w:color="auto" w:frame="1"/>
          <w:lang w:val="en-US" w:bidi="en-US"/>
        </w:rPr>
        <w:t>and Euro 7.6 million</w:t>
      </w:r>
      <w:r w:rsidR="000028F6">
        <w:rPr>
          <w:rFonts w:ascii="Arial" w:eastAsia="Arial" w:hAnsi="Arial" w:cs="Arial"/>
          <w:color w:val="000000"/>
          <w:bdr w:val="none" w:sz="0" w:space="0" w:color="auto" w:frame="1"/>
          <w:lang w:val="en-US" w:bidi="en-US"/>
        </w:rPr>
        <w:t xml:space="preserve"> or </w:t>
      </w:r>
      <w:r w:rsidR="00824E7E">
        <w:rPr>
          <w:rFonts w:ascii="Arial" w:eastAsia="Arial" w:hAnsi="Arial" w:cs="Arial"/>
          <w:color w:val="000000"/>
          <w:bdr w:val="none" w:sz="0" w:space="0" w:color="auto" w:frame="1"/>
          <w:lang w:val="en-US" w:bidi="en-US"/>
        </w:rPr>
        <w:t>$</w:t>
      </w:r>
      <w:r w:rsidR="000028F6">
        <w:rPr>
          <w:rFonts w:ascii="Arial" w:eastAsia="Arial" w:hAnsi="Arial" w:cs="Arial"/>
          <w:color w:val="000000"/>
          <w:bdr w:val="none" w:sz="0" w:space="0" w:color="auto" w:frame="1"/>
          <w:lang w:val="en-US" w:bidi="en-US"/>
        </w:rPr>
        <w:t>8.0 million</w:t>
      </w:r>
      <w:r w:rsidR="000403D3">
        <w:rPr>
          <w:rFonts w:ascii="Arial" w:eastAsia="Arial" w:hAnsi="Arial" w:cs="Arial"/>
          <w:color w:val="000000"/>
          <w:bdr w:val="none" w:sz="0" w:space="0" w:color="auto" w:frame="1"/>
          <w:lang w:val="en-US" w:bidi="en-US"/>
        </w:rPr>
        <w:t xml:space="preserve">, respectively </w:t>
      </w:r>
      <w:r w:rsidRPr="001F62E5">
        <w:rPr>
          <w:rFonts w:ascii="Arial" w:eastAsia="Arial" w:hAnsi="Arial" w:cs="Arial"/>
          <w:color w:val="000000"/>
          <w:bdr w:val="none" w:sz="0" w:space="0" w:color="auto" w:frame="1"/>
          <w:lang w:val="en-US" w:bidi="en-US"/>
        </w:rPr>
        <w:t xml:space="preserve">and </w:t>
      </w:r>
      <w:r w:rsidR="000403D3">
        <w:rPr>
          <w:rFonts w:ascii="Arial" w:eastAsia="Arial" w:hAnsi="Arial" w:cs="Arial"/>
          <w:color w:val="000000"/>
          <w:bdr w:val="none" w:sz="0" w:space="0" w:color="auto" w:frame="1"/>
          <w:lang w:val="en-US" w:bidi="en-US"/>
        </w:rPr>
        <w:t xml:space="preserve">in 2025 after the admission of the new partner, </w:t>
      </w:r>
      <w:r>
        <w:rPr>
          <w:rFonts w:ascii="Arial" w:eastAsia="Arial" w:hAnsi="Arial" w:cs="Arial"/>
          <w:color w:val="000000"/>
          <w:bdr w:val="none" w:sz="0" w:space="0" w:color="auto" w:frame="1"/>
          <w:lang w:val="en-US" w:bidi="en-US"/>
        </w:rPr>
        <w:t>we</w:t>
      </w:r>
      <w:r w:rsidRPr="001F62E5">
        <w:rPr>
          <w:rFonts w:ascii="Arial" w:eastAsia="Arial" w:hAnsi="Arial" w:cs="Arial"/>
          <w:color w:val="000000"/>
          <w:bdr w:val="none" w:sz="0" w:space="0" w:color="auto" w:frame="1"/>
          <w:lang w:val="en-US" w:bidi="en-US"/>
        </w:rPr>
        <w:t xml:space="preserve"> received Euro 3.1 million </w:t>
      </w:r>
      <w:r w:rsidR="000028F6">
        <w:rPr>
          <w:rFonts w:ascii="Arial" w:eastAsia="Arial" w:hAnsi="Arial" w:cs="Arial"/>
          <w:color w:val="000000"/>
          <w:bdr w:val="none" w:sz="0" w:space="0" w:color="auto" w:frame="1"/>
          <w:lang w:val="en-US" w:bidi="en-US"/>
        </w:rPr>
        <w:t xml:space="preserve">or $3.5 million, </w:t>
      </w:r>
      <w:r w:rsidRPr="001F62E5">
        <w:rPr>
          <w:rFonts w:ascii="Arial" w:eastAsia="Arial" w:hAnsi="Arial" w:cs="Arial"/>
          <w:color w:val="000000"/>
          <w:bdr w:val="none" w:sz="0" w:space="0" w:color="auto" w:frame="1"/>
          <w:lang w:val="en-US" w:bidi="en-US"/>
        </w:rPr>
        <w:t>as return of capital</w:t>
      </w:r>
      <w:r w:rsidR="00AB3A42">
        <w:rPr>
          <w:rFonts w:ascii="Arial" w:eastAsia="Arial" w:hAnsi="Arial" w:cs="Arial"/>
          <w:color w:val="000000"/>
          <w:bdr w:val="none" w:sz="0" w:space="0" w:color="auto" w:frame="1"/>
          <w:lang w:val="en-US" w:bidi="en-US"/>
        </w:rPr>
        <w:t>.</w:t>
      </w:r>
      <w:r w:rsidR="00EB3C76">
        <w:rPr>
          <w:rFonts w:ascii="Arial" w:eastAsia="Arial" w:hAnsi="Arial" w:cs="Arial"/>
          <w:color w:val="000000"/>
          <w:bdr w:val="none" w:sz="0" w:space="0" w:color="auto" w:frame="1"/>
          <w:lang w:val="en-US" w:bidi="en-US"/>
        </w:rPr>
        <w:t xml:space="preserve"> As of the date of this annual report, we invested Euro 1.3 million or $1.5 million and the remaining commitment amounts to Euro 9.4 million.</w:t>
      </w:r>
    </w:p>
    <w:p w14:paraId="71F3E09E" w14:textId="77777777" w:rsidR="001F62E5" w:rsidRDefault="001F62E5" w:rsidP="00E41D06">
      <w:pPr>
        <w:pBdr>
          <w:top w:val="nil"/>
          <w:left w:val="nil"/>
          <w:bottom w:val="nil"/>
          <w:right w:val="nil"/>
          <w:between w:val="nil"/>
          <w:bar w:val="nil"/>
        </w:pBdr>
        <w:jc w:val="both"/>
        <w:rPr>
          <w:rFonts w:ascii="Arial" w:eastAsia="Arial" w:hAnsi="Arial" w:cs="Arial"/>
          <w:color w:val="000000"/>
          <w:bdr w:val="nil"/>
          <w:lang w:val="en-GB" w:bidi="en-US"/>
        </w:rPr>
      </w:pPr>
    </w:p>
    <w:p w14:paraId="71F3E09F" w14:textId="77777777" w:rsidR="00E41D06" w:rsidRDefault="003A4815" w:rsidP="00E41D06">
      <w:pPr>
        <w:pBdr>
          <w:top w:val="nil"/>
          <w:left w:val="nil"/>
          <w:bottom w:val="nil"/>
          <w:right w:val="nil"/>
          <w:between w:val="nil"/>
          <w:bar w:val="nil"/>
        </w:pBdr>
        <w:jc w:val="both"/>
        <w:rPr>
          <w:rFonts w:ascii="Arial" w:eastAsia="Arial" w:hAnsi="Arial" w:cs="Arial"/>
          <w:color w:val="000000"/>
          <w:bdr w:val="nil"/>
          <w:lang w:val="en-GB" w:bidi="en-US"/>
        </w:rPr>
      </w:pPr>
      <w:r w:rsidRPr="00E41D06">
        <w:rPr>
          <w:rFonts w:ascii="Arial" w:eastAsia="Arial" w:hAnsi="Arial" w:cs="Arial"/>
          <w:color w:val="000000"/>
          <w:bdr w:val="none" w:sz="0" w:space="0" w:color="auto" w:frame="1"/>
          <w:lang w:val="en-GB" w:bidi="en-US"/>
        </w:rPr>
        <w:t xml:space="preserve">On March 12, 2025, </w:t>
      </w:r>
      <w:r>
        <w:rPr>
          <w:rFonts w:ascii="Arial" w:eastAsia="Arial" w:hAnsi="Arial" w:cs="Arial"/>
          <w:color w:val="000000"/>
          <w:bdr w:val="none" w:sz="0" w:space="0" w:color="auto" w:frame="1"/>
          <w:lang w:val="en-GB" w:bidi="en-US"/>
        </w:rPr>
        <w:t>we</w:t>
      </w:r>
      <w:r w:rsidRPr="00E41D06">
        <w:rPr>
          <w:rFonts w:ascii="Arial" w:eastAsia="Arial" w:hAnsi="Arial" w:cs="Arial"/>
          <w:color w:val="000000"/>
          <w:bdr w:val="none" w:sz="0" w:space="0" w:color="auto" w:frame="1"/>
          <w:lang w:val="en-GB" w:bidi="en-US"/>
        </w:rPr>
        <w:t xml:space="preserve"> entered into a joint venture agreement with</w:t>
      </w:r>
      <w:r w:rsidR="002C3668">
        <w:rPr>
          <w:rFonts w:ascii="Arial" w:eastAsia="Arial" w:hAnsi="Arial" w:cs="Arial"/>
          <w:color w:val="000000"/>
          <w:bdr w:val="none" w:sz="0" w:space="0" w:color="auto" w:frame="1"/>
          <w:lang w:val="en-GB" w:bidi="en-US"/>
        </w:rPr>
        <w:t xml:space="preserve"> an unrelated party to establish</w:t>
      </w:r>
      <w:r w:rsidRPr="00E41D06">
        <w:rPr>
          <w:rFonts w:ascii="Arial" w:eastAsia="Arial" w:hAnsi="Arial" w:cs="Arial"/>
          <w:color w:val="000000"/>
          <w:bdr w:val="none" w:sz="0" w:space="0" w:color="auto" w:frame="1"/>
          <w:lang w:val="en-GB" w:bidi="en-US"/>
        </w:rPr>
        <w:t xml:space="preserve"> Ecogas Holding AS, pursuant to which we agreed to contribute $18.5 million, being 80.0% interests of two LPG newbuilding vessels</w:t>
      </w:r>
      <w:r>
        <w:rPr>
          <w:rFonts w:ascii="Arial" w:eastAsia="Arial" w:hAnsi="Arial" w:cs="Arial"/>
          <w:color w:val="000000"/>
          <w:bdr w:val="none" w:sz="0" w:space="0" w:color="auto" w:frame="1"/>
          <w:lang w:val="en-GB" w:bidi="en-US"/>
        </w:rPr>
        <w:t xml:space="preserve"> with delivery in 2027</w:t>
      </w:r>
      <w:r w:rsidRPr="00E41D06">
        <w:rPr>
          <w:rFonts w:ascii="Arial" w:eastAsia="Arial" w:hAnsi="Arial" w:cs="Arial"/>
          <w:color w:val="000000"/>
          <w:bdr w:val="none" w:sz="0" w:space="0" w:color="auto" w:frame="1"/>
          <w:lang w:val="en-GB" w:bidi="en-US"/>
        </w:rPr>
        <w:t>.</w:t>
      </w:r>
      <w:r w:rsidR="000403D3">
        <w:rPr>
          <w:rFonts w:ascii="Arial" w:eastAsia="Arial" w:hAnsi="Arial" w:cs="Arial"/>
          <w:color w:val="000000"/>
          <w:bdr w:val="none" w:sz="0" w:space="0" w:color="auto" w:frame="1"/>
          <w:lang w:val="en-GB" w:bidi="en-US"/>
        </w:rPr>
        <w:t xml:space="preserve"> During 2025, we </w:t>
      </w:r>
      <w:r w:rsidR="000028F6">
        <w:rPr>
          <w:rFonts w:ascii="Arial" w:eastAsia="Arial" w:hAnsi="Arial" w:cs="Arial"/>
          <w:color w:val="000000"/>
          <w:bdr w:val="none" w:sz="0" w:space="0" w:color="auto" w:frame="1"/>
          <w:lang w:val="en-GB" w:bidi="en-US"/>
        </w:rPr>
        <w:t>invested</w:t>
      </w:r>
      <w:r w:rsidR="000403D3">
        <w:rPr>
          <w:rFonts w:ascii="Arial" w:eastAsia="Arial" w:hAnsi="Arial" w:cs="Arial"/>
          <w:color w:val="000000"/>
          <w:bdr w:val="none" w:sz="0" w:space="0" w:color="auto" w:frame="1"/>
          <w:lang w:val="en-GB" w:bidi="en-US"/>
        </w:rPr>
        <w:t xml:space="preserve"> $</w:t>
      </w:r>
      <w:r w:rsidR="000028F6">
        <w:rPr>
          <w:rFonts w:ascii="Arial" w:eastAsia="Arial" w:hAnsi="Arial" w:cs="Arial"/>
          <w:color w:val="000000"/>
          <w:bdr w:val="none" w:sz="0" w:space="0" w:color="auto" w:frame="1"/>
          <w:lang w:val="en-GB" w:bidi="en-US"/>
        </w:rPr>
        <w:t>10.2</w:t>
      </w:r>
      <w:r w:rsidR="000403D3">
        <w:rPr>
          <w:rFonts w:ascii="Arial" w:eastAsia="Arial" w:hAnsi="Arial" w:cs="Arial"/>
          <w:color w:val="000000"/>
          <w:bdr w:val="none" w:sz="0" w:space="0" w:color="auto" w:frame="1"/>
          <w:lang w:val="en-GB" w:bidi="en-US"/>
        </w:rPr>
        <w:t xml:space="preserve"> million</w:t>
      </w:r>
      <w:r w:rsidR="000028F6">
        <w:rPr>
          <w:rFonts w:ascii="Arial" w:eastAsia="Arial" w:hAnsi="Arial" w:cs="Arial"/>
          <w:color w:val="000000"/>
          <w:bdr w:val="none" w:sz="0" w:space="0" w:color="auto" w:frame="1"/>
          <w:lang w:val="en-GB" w:bidi="en-US"/>
        </w:rPr>
        <w:t xml:space="preserve"> out of the total commitment. </w:t>
      </w:r>
    </w:p>
    <w:p w14:paraId="71F3E0A0" w14:textId="77777777" w:rsidR="00986C53" w:rsidRDefault="00986C53" w:rsidP="00E41D06">
      <w:pPr>
        <w:pBdr>
          <w:top w:val="nil"/>
          <w:left w:val="nil"/>
          <w:bottom w:val="nil"/>
          <w:right w:val="nil"/>
          <w:between w:val="nil"/>
          <w:bar w:val="nil"/>
        </w:pBdr>
        <w:jc w:val="both"/>
        <w:rPr>
          <w:rFonts w:ascii="Arial" w:eastAsia="Arial" w:hAnsi="Arial" w:cs="Arial"/>
          <w:color w:val="000000"/>
          <w:bdr w:val="nil"/>
          <w:lang w:val="en-GB" w:bidi="en-US"/>
        </w:rPr>
      </w:pPr>
    </w:p>
    <w:p w14:paraId="71F3E0A1" w14:textId="77777777" w:rsidR="00F95E4E" w:rsidRDefault="003A4815" w:rsidP="00F95E4E">
      <w:pPr>
        <w:keepNext/>
        <w:keepLines/>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 xml:space="preserve">In </w:t>
      </w:r>
      <w:r>
        <w:rPr>
          <w:rFonts w:ascii="Arial" w:eastAsia="Arial" w:hAnsi="Arial" w:cs="Arial"/>
          <w:color w:val="000000"/>
          <w:lang w:val="en-US" w:bidi="en-US"/>
        </w:rPr>
        <w:t>November</w:t>
      </w:r>
      <w:r w:rsidRPr="0097158C">
        <w:rPr>
          <w:rFonts w:ascii="Arial" w:eastAsia="Arial" w:hAnsi="Arial" w:cs="Arial"/>
          <w:color w:val="000000"/>
          <w:lang w:val="en-US" w:bidi="en-US"/>
        </w:rPr>
        <w:t xml:space="preserve"> 2025, </w:t>
      </w:r>
      <w:r>
        <w:rPr>
          <w:rFonts w:ascii="Arial" w:eastAsia="Arial" w:hAnsi="Arial" w:cs="Arial"/>
          <w:color w:val="000000"/>
          <w:lang w:val="en-US" w:bidi="en-US"/>
        </w:rPr>
        <w:t>Bergen Ultra</w:t>
      </w:r>
      <w:r w:rsidR="00203037">
        <w:rPr>
          <w:rFonts w:ascii="Arial" w:eastAsia="Arial" w:hAnsi="Arial" w:cs="Arial"/>
          <w:color w:val="000000"/>
          <w:lang w:val="en-US" w:bidi="en-US"/>
        </w:rPr>
        <w:t xml:space="preserve"> LP</w:t>
      </w:r>
      <w:r>
        <w:rPr>
          <w:rFonts w:ascii="Arial" w:eastAsia="Arial" w:hAnsi="Arial" w:cs="Arial"/>
          <w:color w:val="000000"/>
          <w:lang w:val="en-US" w:bidi="en-US"/>
        </w:rPr>
        <w:t>,</w:t>
      </w:r>
      <w:r w:rsidRPr="00164D9E">
        <w:rPr>
          <w:rFonts w:ascii="Arial" w:eastAsia="Arial" w:hAnsi="Arial" w:cs="Arial"/>
          <w:color w:val="000000"/>
          <w:lang w:val="en-GB" w:bidi="en-US"/>
        </w:rPr>
        <w:t xml:space="preserve"> a limited partnership</w:t>
      </w:r>
      <w:r>
        <w:rPr>
          <w:rFonts w:ascii="Arial" w:eastAsia="Arial" w:hAnsi="Arial" w:cs="Arial"/>
          <w:color w:val="000000"/>
          <w:lang w:val="en-GB" w:bidi="en-US"/>
        </w:rPr>
        <w:t xml:space="preserve"> in which we have 25%</w:t>
      </w:r>
      <w:r w:rsidR="000028F6">
        <w:rPr>
          <w:rFonts w:ascii="Arial" w:eastAsia="Arial" w:hAnsi="Arial" w:cs="Arial"/>
          <w:color w:val="000000"/>
          <w:lang w:val="en-GB" w:bidi="en-US"/>
        </w:rPr>
        <w:t xml:space="preserve"> interest</w:t>
      </w:r>
      <w:r>
        <w:rPr>
          <w:rFonts w:ascii="Arial" w:eastAsia="Arial" w:hAnsi="Arial" w:cs="Arial"/>
          <w:color w:val="000000"/>
          <w:lang w:val="en-GB" w:bidi="en-US"/>
        </w:rPr>
        <w:t xml:space="preserve">, </w:t>
      </w:r>
      <w:r w:rsidR="00CE2F91">
        <w:rPr>
          <w:rFonts w:ascii="Arial" w:eastAsia="Arial" w:hAnsi="Arial" w:cs="Arial"/>
          <w:color w:val="000000"/>
          <w:lang w:val="en-GB" w:bidi="en-US"/>
        </w:rPr>
        <w:t>agreed</w:t>
      </w:r>
      <w:r w:rsidRPr="0097158C">
        <w:rPr>
          <w:rFonts w:ascii="Arial" w:eastAsia="Arial" w:hAnsi="Arial" w:cs="Arial"/>
          <w:color w:val="000000"/>
          <w:lang w:val="en-US" w:bidi="en-US"/>
        </w:rPr>
        <w:t xml:space="preserve"> to sell to an unrelated third party, the vessel </w:t>
      </w:r>
      <w:r>
        <w:rPr>
          <w:rFonts w:ascii="Arial" w:eastAsia="Arial" w:hAnsi="Arial" w:cs="Arial"/>
          <w:color w:val="000000"/>
          <w:lang w:val="en-US" w:bidi="en-US"/>
        </w:rPr>
        <w:t>DSI Drammen</w:t>
      </w:r>
      <w:r w:rsidRPr="0097158C">
        <w:rPr>
          <w:rFonts w:ascii="Arial" w:eastAsia="Arial" w:hAnsi="Arial" w:cs="Arial"/>
          <w:color w:val="000000"/>
          <w:lang w:val="en-US" w:bidi="en-US"/>
        </w:rPr>
        <w:t>, for $</w:t>
      </w:r>
      <w:r>
        <w:rPr>
          <w:rFonts w:ascii="Arial" w:eastAsia="Arial" w:hAnsi="Arial" w:cs="Arial"/>
          <w:color w:val="000000"/>
          <w:lang w:val="en-US" w:bidi="en-US"/>
        </w:rPr>
        <w:t>26</w:t>
      </w:r>
      <w:r w:rsidRPr="0097158C">
        <w:rPr>
          <w:rFonts w:ascii="Arial" w:eastAsia="Arial" w:hAnsi="Arial" w:cs="Arial"/>
          <w:color w:val="000000"/>
          <w:lang w:val="en-US" w:bidi="en-US"/>
        </w:rPr>
        <w:t>.</w:t>
      </w:r>
      <w:r>
        <w:rPr>
          <w:rFonts w:ascii="Arial" w:eastAsia="Arial" w:hAnsi="Arial" w:cs="Arial"/>
          <w:color w:val="000000"/>
          <w:lang w:val="en-US" w:bidi="en-US"/>
        </w:rPr>
        <w:t>4</w:t>
      </w:r>
      <w:r w:rsidRPr="0097158C">
        <w:rPr>
          <w:rFonts w:ascii="Arial" w:eastAsia="Arial" w:hAnsi="Arial" w:cs="Arial"/>
          <w:color w:val="000000"/>
          <w:lang w:val="en-US" w:bidi="en-US"/>
        </w:rPr>
        <w:t xml:space="preserve"> million. The vessel was delivered to her new owners on </w:t>
      </w:r>
      <w:r>
        <w:rPr>
          <w:rFonts w:ascii="Arial" w:eastAsia="Arial" w:hAnsi="Arial" w:cs="Arial"/>
          <w:color w:val="000000"/>
          <w:lang w:val="en-US" w:bidi="en-US"/>
        </w:rPr>
        <w:t>January</w:t>
      </w:r>
      <w:r w:rsidRPr="0097158C">
        <w:rPr>
          <w:rFonts w:ascii="Arial" w:eastAsia="Arial" w:hAnsi="Arial" w:cs="Arial"/>
          <w:color w:val="000000"/>
          <w:lang w:val="en-US" w:bidi="en-US"/>
        </w:rPr>
        <w:t xml:space="preserve"> </w:t>
      </w:r>
      <w:r>
        <w:rPr>
          <w:rFonts w:ascii="Arial" w:eastAsia="Arial" w:hAnsi="Arial" w:cs="Arial"/>
          <w:color w:val="000000"/>
          <w:lang w:val="en-US" w:bidi="en-US"/>
        </w:rPr>
        <w:t>9</w:t>
      </w:r>
      <w:r w:rsidRPr="0097158C">
        <w:rPr>
          <w:rFonts w:ascii="Arial" w:eastAsia="Arial" w:hAnsi="Arial" w:cs="Arial"/>
          <w:color w:val="000000"/>
          <w:lang w:val="en-US" w:bidi="en-US"/>
        </w:rPr>
        <w:t>, 202</w:t>
      </w:r>
      <w:r>
        <w:rPr>
          <w:rFonts w:ascii="Arial" w:eastAsia="Arial" w:hAnsi="Arial" w:cs="Arial"/>
          <w:color w:val="000000"/>
          <w:lang w:val="en-US" w:bidi="en-US"/>
        </w:rPr>
        <w:t>6</w:t>
      </w:r>
      <w:r w:rsidR="00CE2F91">
        <w:rPr>
          <w:rFonts w:ascii="Arial" w:eastAsia="Arial" w:hAnsi="Arial" w:cs="Arial"/>
          <w:color w:val="000000"/>
          <w:lang w:val="en-US" w:bidi="en-US"/>
        </w:rPr>
        <w:t xml:space="preserve"> and we received $3.7 million as return of capital.</w:t>
      </w:r>
    </w:p>
    <w:p w14:paraId="71F3E0A2" w14:textId="77777777" w:rsidR="000028F6" w:rsidRPr="000028F6" w:rsidRDefault="000028F6" w:rsidP="00F95E4E">
      <w:pPr>
        <w:keepNext/>
        <w:keepLines/>
        <w:pBdr>
          <w:top w:val="nil"/>
          <w:left w:val="nil"/>
          <w:bottom w:val="nil"/>
          <w:right w:val="nil"/>
          <w:between w:val="nil"/>
          <w:bar w:val="nil"/>
        </w:pBdr>
        <w:jc w:val="both"/>
        <w:rPr>
          <w:rFonts w:ascii="Arial" w:eastAsia="Arial" w:hAnsi="Arial" w:cs="Arial"/>
          <w:color w:val="000000"/>
          <w:bdr w:val="nil"/>
          <w:lang w:val="en-US" w:bidi="en-US"/>
        </w:rPr>
      </w:pPr>
    </w:p>
    <w:p w14:paraId="71F3E0A3" w14:textId="77777777" w:rsidR="00AE5D1A" w:rsidRPr="00AE5D1A" w:rsidRDefault="003A4815" w:rsidP="000028F6">
      <w:pPr>
        <w:keepNext/>
        <w:pBdr>
          <w:top w:val="nil"/>
          <w:left w:val="nil"/>
          <w:bottom w:val="nil"/>
          <w:right w:val="nil"/>
          <w:between w:val="nil"/>
          <w:bar w:val="nil"/>
        </w:pBdr>
        <w:jc w:val="both"/>
        <w:rPr>
          <w:rFonts w:ascii="Arial" w:eastAsia="Arial" w:hAnsi="Arial" w:cs="Arial"/>
          <w:b/>
          <w:bCs/>
          <w:color w:val="000000"/>
          <w:bdr w:val="nil"/>
          <w:lang w:val="en-US" w:bidi="en-US"/>
        </w:rPr>
      </w:pPr>
      <w:r w:rsidRPr="008C0C2B">
        <w:rPr>
          <w:rFonts w:ascii="Arial" w:eastAsia="Arial" w:hAnsi="Arial" w:cs="Arial"/>
          <w:b/>
          <w:bCs/>
          <w:color w:val="000000"/>
          <w:lang w:val="en-US" w:bidi="en-US"/>
        </w:rPr>
        <w:t>Tender offer</w:t>
      </w:r>
    </w:p>
    <w:p w14:paraId="71F3E0A4" w14:textId="77777777" w:rsidR="00617F3C" w:rsidRDefault="00617F3C" w:rsidP="000028F6">
      <w:pPr>
        <w:keepNext/>
        <w:pBdr>
          <w:top w:val="nil"/>
          <w:left w:val="nil"/>
          <w:bottom w:val="nil"/>
          <w:right w:val="nil"/>
          <w:between w:val="nil"/>
          <w:bar w:val="nil"/>
        </w:pBdr>
        <w:jc w:val="both"/>
        <w:rPr>
          <w:rFonts w:ascii="Arial" w:eastAsia="Arial" w:hAnsi="Arial" w:cs="Arial"/>
          <w:color w:val="000000"/>
          <w:bdr w:val="nil"/>
          <w:lang w:val="en-GB" w:bidi="en-US"/>
        </w:rPr>
      </w:pPr>
    </w:p>
    <w:p w14:paraId="71F3E0A5" w14:textId="77777777" w:rsidR="00617F3C" w:rsidRDefault="003A4815" w:rsidP="00AE5D1A">
      <w:pPr>
        <w:pBdr>
          <w:top w:val="nil"/>
          <w:left w:val="nil"/>
          <w:bottom w:val="nil"/>
          <w:right w:val="nil"/>
          <w:between w:val="nil"/>
          <w:bar w:val="nil"/>
        </w:pBdr>
        <w:jc w:val="both"/>
        <w:rPr>
          <w:rFonts w:ascii="Arial" w:eastAsia="Arial" w:hAnsi="Arial" w:cs="Arial"/>
          <w:color w:val="000000"/>
          <w:bdr w:val="nil"/>
          <w:lang w:val="en-GB" w:bidi="en-US"/>
        </w:rPr>
      </w:pPr>
      <w:r w:rsidRPr="00617F3C">
        <w:rPr>
          <w:rFonts w:ascii="Arial" w:eastAsia="Arial" w:hAnsi="Arial" w:cs="Arial"/>
          <w:color w:val="000000"/>
          <w:bdr w:val="none" w:sz="0" w:space="0" w:color="auto" w:frame="1"/>
          <w:lang w:val="en-US" w:bidi="en-US"/>
        </w:rPr>
        <w:t xml:space="preserve">In December 2024, </w:t>
      </w:r>
      <w:r w:rsidR="00893875">
        <w:rPr>
          <w:rFonts w:ascii="Arial" w:eastAsia="Arial" w:hAnsi="Arial" w:cs="Arial"/>
          <w:color w:val="000000"/>
          <w:bdr w:val="none" w:sz="0" w:space="0" w:color="auto" w:frame="1"/>
          <w:lang w:val="en-GB" w:bidi="en-US"/>
        </w:rPr>
        <w:t>we</w:t>
      </w:r>
      <w:r w:rsidR="00893875" w:rsidRPr="00893875">
        <w:rPr>
          <w:rFonts w:ascii="Arial" w:eastAsia="Arial" w:hAnsi="Arial" w:cs="Arial"/>
          <w:color w:val="000000"/>
          <w:bdr w:val="none" w:sz="0" w:space="0" w:color="auto" w:frame="1"/>
          <w:lang w:val="en-GB" w:bidi="en-US"/>
        </w:rPr>
        <w:t xml:space="preserve"> announced the commencement of a tender offer to purchase up to 15,000,000 shares, or about 12.0%, of </w:t>
      </w:r>
      <w:r w:rsidR="00893875">
        <w:rPr>
          <w:rFonts w:ascii="Arial" w:eastAsia="Arial" w:hAnsi="Arial" w:cs="Arial"/>
          <w:color w:val="000000"/>
          <w:bdr w:val="none" w:sz="0" w:space="0" w:color="auto" w:frame="1"/>
          <w:lang w:val="en-GB" w:bidi="en-US"/>
        </w:rPr>
        <w:t>our</w:t>
      </w:r>
      <w:r w:rsidR="00893875" w:rsidRPr="00893875">
        <w:rPr>
          <w:rFonts w:ascii="Arial" w:eastAsia="Arial" w:hAnsi="Arial" w:cs="Arial"/>
          <w:color w:val="000000"/>
          <w:bdr w:val="none" w:sz="0" w:space="0" w:color="auto" w:frame="1"/>
          <w:lang w:val="en-GB" w:bidi="en-US"/>
        </w:rPr>
        <w:t xml:space="preserve"> outstanding common stock using funds available from cash and cash equivalents at a price of $2.00 per share.</w:t>
      </w:r>
      <w:r>
        <w:rPr>
          <w:rFonts w:ascii="Arial" w:eastAsia="Arial" w:hAnsi="Arial" w:cs="Arial"/>
          <w:color w:val="000000"/>
          <w:bdr w:val="none" w:sz="0" w:space="0" w:color="auto" w:frame="1"/>
          <w:lang w:val="en-GB" w:bidi="en-US"/>
        </w:rPr>
        <w:t xml:space="preserve"> </w:t>
      </w:r>
      <w:r w:rsidRPr="0082758A">
        <w:rPr>
          <w:rFonts w:ascii="Arial" w:eastAsia="Arial" w:hAnsi="Arial" w:cs="Arial"/>
          <w:color w:val="000000"/>
          <w:bdr w:val="none" w:sz="0" w:space="0" w:color="auto" w:frame="1"/>
          <w:lang w:val="en-GB" w:bidi="en-US"/>
        </w:rPr>
        <w:t>The tender offer was settled on January 7, 2025 and we purchased a total of 11,442,645 shares of common stock for an aggregate amount of $2</w:t>
      </w:r>
      <w:r w:rsidR="002C3668">
        <w:rPr>
          <w:rFonts w:ascii="Arial" w:eastAsia="Arial" w:hAnsi="Arial" w:cs="Arial"/>
          <w:color w:val="000000"/>
          <w:bdr w:val="none" w:sz="0" w:space="0" w:color="auto" w:frame="1"/>
          <w:lang w:val="en-GB" w:bidi="en-US"/>
        </w:rPr>
        <w:t>3</w:t>
      </w:r>
      <w:r w:rsidRPr="0082758A">
        <w:rPr>
          <w:rFonts w:ascii="Arial" w:eastAsia="Arial" w:hAnsi="Arial" w:cs="Arial"/>
          <w:color w:val="000000"/>
          <w:bdr w:val="none" w:sz="0" w:space="0" w:color="auto" w:frame="1"/>
          <w:lang w:val="en-GB" w:bidi="en-US"/>
        </w:rPr>
        <w:t>.</w:t>
      </w:r>
      <w:r w:rsidR="002C3668">
        <w:rPr>
          <w:rFonts w:ascii="Arial" w:eastAsia="Arial" w:hAnsi="Arial" w:cs="Arial"/>
          <w:color w:val="000000"/>
          <w:bdr w:val="none" w:sz="0" w:space="0" w:color="auto" w:frame="1"/>
          <w:lang w:val="en-GB" w:bidi="en-US"/>
        </w:rPr>
        <w:t>0</w:t>
      </w:r>
      <w:r w:rsidRPr="0082758A">
        <w:rPr>
          <w:rFonts w:ascii="Arial" w:eastAsia="Arial" w:hAnsi="Arial" w:cs="Arial"/>
          <w:color w:val="000000"/>
          <w:bdr w:val="none" w:sz="0" w:space="0" w:color="auto" w:frame="1"/>
          <w:lang w:val="en-GB" w:bidi="en-US"/>
        </w:rPr>
        <w:t xml:space="preserve"> million.</w:t>
      </w:r>
    </w:p>
    <w:p w14:paraId="71F3E0A6" w14:textId="77777777" w:rsidR="00E64476" w:rsidRPr="000300B6" w:rsidRDefault="00E64476" w:rsidP="00CC4EC6">
      <w:pPr>
        <w:pStyle w:val="Notesbody"/>
        <w:pBdr>
          <w:top w:val="nil"/>
          <w:left w:val="nil"/>
          <w:bottom w:val="nil"/>
          <w:right w:val="nil"/>
          <w:between w:val="nil"/>
          <w:bar w:val="nil"/>
        </w:pBdr>
        <w:rPr>
          <w:rFonts w:ascii="Arial" w:eastAsia="Arial" w:hAnsi="Arial" w:cs="Arial"/>
          <w:bdr w:val="nil"/>
          <w:lang w:val="en-GB"/>
        </w:rPr>
      </w:pPr>
    </w:p>
    <w:p w14:paraId="71F3E0A7" w14:textId="77777777" w:rsidR="00E64476" w:rsidRDefault="003A4815" w:rsidP="00CC4EC6">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r w:rsidRPr="006F6E02">
        <w:rPr>
          <w:rFonts w:ascii="Arial" w:eastAsia="Arial" w:hAnsi="Arial" w:cs="Arial"/>
          <w:b/>
          <w:bCs/>
          <w:szCs w:val="22"/>
          <w:lang w:val="en-US"/>
        </w:rPr>
        <w:t>Dividends</w:t>
      </w:r>
    </w:p>
    <w:p w14:paraId="71F3E0A8" w14:textId="77777777" w:rsidR="008D1AA9" w:rsidRDefault="008D1AA9"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rPr>
      </w:pPr>
    </w:p>
    <w:p w14:paraId="71F3E0A9" w14:textId="77777777" w:rsidR="00101481" w:rsidRDefault="003A4815"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bdr w:val="nil"/>
        </w:rPr>
      </w:pPr>
      <w:r>
        <w:rPr>
          <w:rFonts w:ascii="Arial" w:eastAsia="Arial" w:hAnsi="Arial" w:cs="Arial"/>
        </w:rPr>
        <w:t xml:space="preserve">On March </w:t>
      </w:r>
      <w:r w:rsidR="008D1AA9">
        <w:rPr>
          <w:rFonts w:ascii="Arial" w:eastAsia="Arial" w:hAnsi="Arial" w:cs="Arial"/>
        </w:rPr>
        <w:t>21</w:t>
      </w:r>
      <w:r>
        <w:rPr>
          <w:rFonts w:ascii="Arial" w:eastAsia="Arial" w:hAnsi="Arial" w:cs="Arial"/>
        </w:rPr>
        <w:t>, 202</w:t>
      </w:r>
      <w:r w:rsidR="008D1AA9">
        <w:rPr>
          <w:rFonts w:ascii="Arial" w:eastAsia="Arial" w:hAnsi="Arial" w:cs="Arial"/>
        </w:rPr>
        <w:t>5</w:t>
      </w:r>
      <w:r>
        <w:rPr>
          <w:rFonts w:ascii="Arial" w:eastAsia="Arial" w:hAnsi="Arial" w:cs="Arial"/>
        </w:rPr>
        <w:t xml:space="preserve">, we paid a cash dividend </w:t>
      </w:r>
      <w:r w:rsidR="000134CA">
        <w:rPr>
          <w:rFonts w:ascii="Arial" w:eastAsia="Arial" w:hAnsi="Arial" w:cs="Arial"/>
        </w:rPr>
        <w:t>of $0.0</w:t>
      </w:r>
      <w:r w:rsidR="008D1AA9">
        <w:rPr>
          <w:rFonts w:ascii="Arial" w:eastAsia="Arial" w:hAnsi="Arial" w:cs="Arial"/>
        </w:rPr>
        <w:t>1</w:t>
      </w:r>
      <w:r w:rsidR="000134CA">
        <w:rPr>
          <w:rFonts w:ascii="Arial" w:eastAsia="Arial" w:hAnsi="Arial" w:cs="Arial"/>
        </w:rPr>
        <w:t xml:space="preserve"> per share, or</w:t>
      </w:r>
      <w:r>
        <w:rPr>
          <w:rFonts w:ascii="Arial" w:eastAsia="Arial" w:hAnsi="Arial" w:cs="Arial"/>
        </w:rPr>
        <w:t xml:space="preserve"> $</w:t>
      </w:r>
      <w:r w:rsidR="008D1AA9">
        <w:rPr>
          <w:rFonts w:ascii="Arial" w:eastAsia="Arial" w:hAnsi="Arial" w:cs="Arial"/>
        </w:rPr>
        <w:t>1</w:t>
      </w:r>
      <w:r>
        <w:rPr>
          <w:rFonts w:ascii="Arial" w:eastAsia="Arial" w:hAnsi="Arial" w:cs="Arial"/>
        </w:rPr>
        <w:t>.</w:t>
      </w:r>
      <w:r w:rsidR="008D1AA9">
        <w:rPr>
          <w:rFonts w:ascii="Arial" w:eastAsia="Arial" w:hAnsi="Arial" w:cs="Arial"/>
        </w:rPr>
        <w:t>2</w:t>
      </w:r>
      <w:r>
        <w:rPr>
          <w:rFonts w:ascii="Arial" w:eastAsia="Arial" w:hAnsi="Arial" w:cs="Arial"/>
        </w:rPr>
        <w:t xml:space="preserve"> million, to all shareholders of record as of March </w:t>
      </w:r>
      <w:r w:rsidR="008D1AA9">
        <w:rPr>
          <w:rFonts w:ascii="Arial" w:eastAsia="Arial" w:hAnsi="Arial" w:cs="Arial"/>
        </w:rPr>
        <w:t>12</w:t>
      </w:r>
      <w:r>
        <w:rPr>
          <w:rFonts w:ascii="Arial" w:eastAsia="Arial" w:hAnsi="Arial" w:cs="Arial"/>
        </w:rPr>
        <w:t>, 202</w:t>
      </w:r>
      <w:r w:rsidR="008D1AA9">
        <w:rPr>
          <w:rFonts w:ascii="Arial" w:eastAsia="Arial" w:hAnsi="Arial" w:cs="Arial"/>
        </w:rPr>
        <w:t>5</w:t>
      </w:r>
      <w:r>
        <w:rPr>
          <w:rFonts w:ascii="Arial" w:eastAsia="Arial" w:hAnsi="Arial" w:cs="Arial"/>
        </w:rPr>
        <w:t>.</w:t>
      </w:r>
    </w:p>
    <w:p w14:paraId="71F3E0AA" w14:textId="77777777" w:rsidR="005A041D" w:rsidRDefault="005A041D"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bdr w:val="nil"/>
        </w:rPr>
      </w:pPr>
    </w:p>
    <w:p w14:paraId="71F3E0AB" w14:textId="77777777" w:rsidR="005A041D" w:rsidRDefault="003A4815"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r w:rsidRPr="005A041D">
        <w:rPr>
          <w:rFonts w:ascii="Arial" w:eastAsia="Arial" w:hAnsi="Arial" w:cs="Arial"/>
          <w:szCs w:val="22"/>
          <w:lang w:val="en-US"/>
        </w:rPr>
        <w:t xml:space="preserve">On June </w:t>
      </w:r>
      <w:r w:rsidR="008D1AA9">
        <w:rPr>
          <w:rFonts w:ascii="Arial" w:eastAsia="Arial" w:hAnsi="Arial" w:cs="Arial"/>
          <w:szCs w:val="22"/>
          <w:lang w:val="en-US"/>
        </w:rPr>
        <w:t>24</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 xml:space="preserve">, </w:t>
      </w:r>
      <w:r>
        <w:rPr>
          <w:rFonts w:ascii="Arial" w:eastAsia="Arial" w:hAnsi="Arial" w:cs="Arial"/>
          <w:szCs w:val="22"/>
          <w:lang w:val="en-US"/>
        </w:rPr>
        <w:t>we</w:t>
      </w:r>
      <w:r w:rsidRPr="005A041D">
        <w:rPr>
          <w:rFonts w:ascii="Arial" w:eastAsia="Arial" w:hAnsi="Arial" w:cs="Arial"/>
          <w:szCs w:val="22"/>
          <w:lang w:val="en-US"/>
        </w:rPr>
        <w:t xml:space="preserve"> paid a cash dividend of $0.0</w:t>
      </w:r>
      <w:r w:rsidR="008D1AA9">
        <w:rPr>
          <w:rFonts w:ascii="Arial" w:eastAsia="Arial" w:hAnsi="Arial" w:cs="Arial"/>
          <w:szCs w:val="22"/>
          <w:lang w:val="en-US"/>
        </w:rPr>
        <w:t>1</w:t>
      </w:r>
      <w:r w:rsidRPr="005A041D">
        <w:rPr>
          <w:rFonts w:ascii="Arial" w:eastAsia="Arial" w:hAnsi="Arial" w:cs="Arial"/>
          <w:szCs w:val="22"/>
          <w:lang w:val="en-US"/>
        </w:rPr>
        <w:t xml:space="preserve"> per share, or $</w:t>
      </w:r>
      <w:r w:rsidR="008D1AA9">
        <w:rPr>
          <w:rFonts w:ascii="Arial" w:eastAsia="Arial" w:hAnsi="Arial" w:cs="Arial"/>
          <w:szCs w:val="22"/>
          <w:lang w:val="en-US"/>
        </w:rPr>
        <w:t>1</w:t>
      </w:r>
      <w:r>
        <w:rPr>
          <w:rFonts w:ascii="Arial" w:eastAsia="Arial" w:hAnsi="Arial" w:cs="Arial"/>
          <w:szCs w:val="22"/>
          <w:lang w:val="en-US"/>
        </w:rPr>
        <w:t>.</w:t>
      </w:r>
      <w:r w:rsidR="008D1AA9">
        <w:rPr>
          <w:rFonts w:ascii="Arial" w:eastAsia="Arial" w:hAnsi="Arial" w:cs="Arial"/>
          <w:szCs w:val="22"/>
          <w:lang w:val="en-US"/>
        </w:rPr>
        <w:t>2</w:t>
      </w:r>
      <w:r>
        <w:rPr>
          <w:rFonts w:ascii="Arial" w:eastAsia="Arial" w:hAnsi="Arial" w:cs="Arial"/>
          <w:szCs w:val="22"/>
          <w:lang w:val="en-US"/>
        </w:rPr>
        <w:t xml:space="preserve"> million</w:t>
      </w:r>
      <w:r w:rsidRPr="005A041D">
        <w:rPr>
          <w:rFonts w:ascii="Arial" w:eastAsia="Arial" w:hAnsi="Arial" w:cs="Arial"/>
          <w:szCs w:val="22"/>
          <w:lang w:val="en-US"/>
        </w:rPr>
        <w:t>, to shareholders of record as of June 1</w:t>
      </w:r>
      <w:r w:rsidR="008D1AA9">
        <w:rPr>
          <w:rFonts w:ascii="Arial" w:eastAsia="Arial" w:hAnsi="Arial" w:cs="Arial"/>
          <w:szCs w:val="22"/>
          <w:lang w:val="en-US"/>
        </w:rPr>
        <w:t>7</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 xml:space="preserve">. </w:t>
      </w:r>
    </w:p>
    <w:p w14:paraId="71F3E0AC" w14:textId="77777777" w:rsidR="005A041D" w:rsidRDefault="005A041D"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p>
    <w:p w14:paraId="71F3E0AD" w14:textId="77777777" w:rsidR="005A041D" w:rsidRDefault="003A4815"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r w:rsidRPr="005A041D">
        <w:rPr>
          <w:rFonts w:ascii="Arial" w:eastAsia="Arial" w:hAnsi="Arial" w:cs="Arial"/>
          <w:szCs w:val="22"/>
          <w:lang w:val="en-US"/>
        </w:rPr>
        <w:t xml:space="preserve">On </w:t>
      </w:r>
      <w:r w:rsidR="008D1AA9">
        <w:rPr>
          <w:rFonts w:ascii="Arial" w:eastAsia="Arial" w:hAnsi="Arial" w:cs="Arial"/>
          <w:szCs w:val="22"/>
          <w:lang w:val="en-US"/>
        </w:rPr>
        <w:t>September</w:t>
      </w:r>
      <w:r w:rsidRPr="005A041D">
        <w:rPr>
          <w:rFonts w:ascii="Arial" w:eastAsia="Arial" w:hAnsi="Arial" w:cs="Arial"/>
          <w:szCs w:val="22"/>
          <w:lang w:val="en-US"/>
        </w:rPr>
        <w:t xml:space="preserve"> </w:t>
      </w:r>
      <w:r w:rsidR="008D1AA9">
        <w:rPr>
          <w:rFonts w:ascii="Arial" w:eastAsia="Arial" w:hAnsi="Arial" w:cs="Arial"/>
          <w:szCs w:val="22"/>
          <w:lang w:val="en-US"/>
        </w:rPr>
        <w:t>11</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 xml:space="preserve">, </w:t>
      </w:r>
      <w:r>
        <w:rPr>
          <w:rFonts w:ascii="Arial" w:eastAsia="Arial" w:hAnsi="Arial" w:cs="Arial"/>
          <w:szCs w:val="22"/>
          <w:lang w:val="en-US"/>
        </w:rPr>
        <w:t>we</w:t>
      </w:r>
      <w:r w:rsidRPr="005A041D">
        <w:rPr>
          <w:rFonts w:ascii="Arial" w:eastAsia="Arial" w:hAnsi="Arial" w:cs="Arial"/>
          <w:szCs w:val="22"/>
          <w:lang w:val="en-US"/>
        </w:rPr>
        <w:t xml:space="preserve"> paid a cash dividend of $0.0</w:t>
      </w:r>
      <w:r w:rsidR="008D1AA9">
        <w:rPr>
          <w:rFonts w:ascii="Arial" w:eastAsia="Arial" w:hAnsi="Arial" w:cs="Arial"/>
          <w:szCs w:val="22"/>
          <w:lang w:val="en-US"/>
        </w:rPr>
        <w:t>1</w:t>
      </w:r>
      <w:r w:rsidRPr="005A041D">
        <w:rPr>
          <w:rFonts w:ascii="Arial" w:eastAsia="Arial" w:hAnsi="Arial" w:cs="Arial"/>
          <w:szCs w:val="22"/>
          <w:lang w:val="en-US"/>
        </w:rPr>
        <w:t xml:space="preserve"> per share, or $</w:t>
      </w:r>
      <w:r w:rsidR="008D1AA9">
        <w:rPr>
          <w:rFonts w:ascii="Arial" w:eastAsia="Arial" w:hAnsi="Arial" w:cs="Arial"/>
          <w:szCs w:val="22"/>
          <w:lang w:val="en-US"/>
        </w:rPr>
        <w:t>1</w:t>
      </w:r>
      <w:r>
        <w:rPr>
          <w:rFonts w:ascii="Arial" w:eastAsia="Arial" w:hAnsi="Arial" w:cs="Arial"/>
          <w:szCs w:val="22"/>
          <w:lang w:val="en-US"/>
        </w:rPr>
        <w:t>.</w:t>
      </w:r>
      <w:r w:rsidR="008D1AA9">
        <w:rPr>
          <w:rFonts w:ascii="Arial" w:eastAsia="Arial" w:hAnsi="Arial" w:cs="Arial"/>
          <w:szCs w:val="22"/>
          <w:lang w:val="en-US"/>
        </w:rPr>
        <w:t>2</w:t>
      </w:r>
      <w:r>
        <w:rPr>
          <w:rFonts w:ascii="Arial" w:eastAsia="Arial" w:hAnsi="Arial" w:cs="Arial"/>
          <w:szCs w:val="22"/>
          <w:lang w:val="en-US"/>
        </w:rPr>
        <w:t xml:space="preserve"> million</w:t>
      </w:r>
      <w:r w:rsidRPr="005A041D">
        <w:rPr>
          <w:rFonts w:ascii="Arial" w:eastAsia="Arial" w:hAnsi="Arial" w:cs="Arial"/>
          <w:szCs w:val="22"/>
          <w:lang w:val="en-US"/>
        </w:rPr>
        <w:t xml:space="preserve">, to shareholders of record as of August </w:t>
      </w:r>
      <w:r w:rsidR="008D1AA9">
        <w:rPr>
          <w:rFonts w:ascii="Arial" w:eastAsia="Arial" w:hAnsi="Arial" w:cs="Arial"/>
          <w:szCs w:val="22"/>
          <w:lang w:val="en-US"/>
        </w:rPr>
        <w:t>21</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w:t>
      </w:r>
    </w:p>
    <w:p w14:paraId="71F3E0AE" w14:textId="77777777" w:rsidR="005A041D" w:rsidRDefault="005A041D"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p>
    <w:p w14:paraId="71F3E0AF" w14:textId="77777777" w:rsidR="005A041D" w:rsidRDefault="003A4815"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r w:rsidRPr="005A041D">
        <w:rPr>
          <w:rFonts w:ascii="Arial" w:eastAsia="Arial" w:hAnsi="Arial" w:cs="Arial"/>
          <w:szCs w:val="22"/>
          <w:lang w:val="en-US"/>
        </w:rPr>
        <w:t xml:space="preserve">On </w:t>
      </w:r>
      <w:r>
        <w:rPr>
          <w:rFonts w:ascii="Arial" w:eastAsia="Arial" w:hAnsi="Arial" w:cs="Arial"/>
          <w:szCs w:val="22"/>
          <w:lang w:val="en-US"/>
        </w:rPr>
        <w:t>December</w:t>
      </w:r>
      <w:r w:rsidRPr="005A041D">
        <w:rPr>
          <w:rFonts w:ascii="Arial" w:eastAsia="Arial" w:hAnsi="Arial" w:cs="Arial"/>
          <w:szCs w:val="22"/>
          <w:lang w:val="en-US"/>
        </w:rPr>
        <w:t xml:space="preserve"> </w:t>
      </w:r>
      <w:r>
        <w:rPr>
          <w:rFonts w:ascii="Arial" w:eastAsia="Arial" w:hAnsi="Arial" w:cs="Arial"/>
          <w:szCs w:val="22"/>
          <w:lang w:val="en-US"/>
        </w:rPr>
        <w:t>1</w:t>
      </w:r>
      <w:r w:rsidR="008D1AA9">
        <w:rPr>
          <w:rFonts w:ascii="Arial" w:eastAsia="Arial" w:hAnsi="Arial" w:cs="Arial"/>
          <w:szCs w:val="22"/>
          <w:lang w:val="en-US"/>
        </w:rPr>
        <w:t>7</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 xml:space="preserve">, </w:t>
      </w:r>
      <w:r>
        <w:rPr>
          <w:rFonts w:ascii="Arial" w:eastAsia="Arial" w:hAnsi="Arial" w:cs="Arial"/>
          <w:szCs w:val="22"/>
          <w:lang w:val="en-US"/>
        </w:rPr>
        <w:t>we</w:t>
      </w:r>
      <w:r w:rsidRPr="005A041D">
        <w:rPr>
          <w:rFonts w:ascii="Arial" w:eastAsia="Arial" w:hAnsi="Arial" w:cs="Arial"/>
          <w:szCs w:val="22"/>
          <w:lang w:val="en-US"/>
        </w:rPr>
        <w:t xml:space="preserve"> paid a cash dividend of $0.0</w:t>
      </w:r>
      <w:r>
        <w:rPr>
          <w:rFonts w:ascii="Arial" w:eastAsia="Arial" w:hAnsi="Arial" w:cs="Arial"/>
          <w:szCs w:val="22"/>
          <w:lang w:val="en-US"/>
        </w:rPr>
        <w:t>1</w:t>
      </w:r>
      <w:r w:rsidRPr="005A041D">
        <w:rPr>
          <w:rFonts w:ascii="Arial" w:eastAsia="Arial" w:hAnsi="Arial" w:cs="Arial"/>
          <w:szCs w:val="22"/>
          <w:lang w:val="en-US"/>
        </w:rPr>
        <w:t xml:space="preserve"> per share, or $</w:t>
      </w:r>
      <w:r w:rsidR="00C10856">
        <w:rPr>
          <w:rFonts w:ascii="Arial" w:eastAsia="Arial" w:hAnsi="Arial" w:cs="Arial"/>
          <w:szCs w:val="22"/>
          <w:lang w:val="en-US"/>
        </w:rPr>
        <w:t>1</w:t>
      </w:r>
      <w:r>
        <w:rPr>
          <w:rFonts w:ascii="Arial" w:eastAsia="Arial" w:hAnsi="Arial" w:cs="Arial"/>
          <w:szCs w:val="22"/>
          <w:lang w:val="en-US"/>
        </w:rPr>
        <w:t>.</w:t>
      </w:r>
      <w:r w:rsidR="008D1AA9">
        <w:rPr>
          <w:rFonts w:ascii="Arial" w:eastAsia="Arial" w:hAnsi="Arial" w:cs="Arial"/>
          <w:szCs w:val="22"/>
          <w:lang w:val="en-US"/>
        </w:rPr>
        <w:t>2</w:t>
      </w:r>
      <w:r>
        <w:rPr>
          <w:rFonts w:ascii="Arial" w:eastAsia="Arial" w:hAnsi="Arial" w:cs="Arial"/>
          <w:szCs w:val="22"/>
          <w:lang w:val="en-US"/>
        </w:rPr>
        <w:t xml:space="preserve"> million</w:t>
      </w:r>
      <w:r w:rsidRPr="005A041D">
        <w:rPr>
          <w:rFonts w:ascii="Arial" w:eastAsia="Arial" w:hAnsi="Arial" w:cs="Arial"/>
          <w:szCs w:val="22"/>
          <w:lang w:val="en-US"/>
        </w:rPr>
        <w:t xml:space="preserve">, to shareholders of record as of </w:t>
      </w:r>
      <w:r w:rsidR="00C10856">
        <w:rPr>
          <w:rFonts w:ascii="Arial" w:eastAsia="Arial" w:hAnsi="Arial" w:cs="Arial"/>
          <w:szCs w:val="22"/>
          <w:lang w:val="en-US"/>
        </w:rPr>
        <w:t>December</w:t>
      </w:r>
      <w:r w:rsidRPr="005A041D">
        <w:rPr>
          <w:rFonts w:ascii="Arial" w:eastAsia="Arial" w:hAnsi="Arial" w:cs="Arial"/>
          <w:szCs w:val="22"/>
          <w:lang w:val="en-US"/>
        </w:rPr>
        <w:t xml:space="preserve"> </w:t>
      </w:r>
      <w:r w:rsidR="008D1AA9">
        <w:rPr>
          <w:rFonts w:ascii="Arial" w:eastAsia="Arial" w:hAnsi="Arial" w:cs="Arial"/>
          <w:szCs w:val="22"/>
          <w:lang w:val="en-US"/>
        </w:rPr>
        <w:t>8</w:t>
      </w:r>
      <w:r w:rsidRPr="005A041D">
        <w:rPr>
          <w:rFonts w:ascii="Arial" w:eastAsia="Arial" w:hAnsi="Arial" w:cs="Arial"/>
          <w:szCs w:val="22"/>
          <w:lang w:val="en-US"/>
        </w:rPr>
        <w:t>, 202</w:t>
      </w:r>
      <w:r w:rsidR="008D1AA9">
        <w:rPr>
          <w:rFonts w:ascii="Arial" w:eastAsia="Arial" w:hAnsi="Arial" w:cs="Arial"/>
          <w:szCs w:val="22"/>
          <w:lang w:val="en-US"/>
        </w:rPr>
        <w:t>5</w:t>
      </w:r>
      <w:r w:rsidRPr="005A041D">
        <w:rPr>
          <w:rFonts w:ascii="Arial" w:eastAsia="Arial" w:hAnsi="Arial" w:cs="Arial"/>
          <w:szCs w:val="22"/>
          <w:lang w:val="en-US"/>
        </w:rPr>
        <w:t>.</w:t>
      </w:r>
    </w:p>
    <w:p w14:paraId="71F3E0B0" w14:textId="77777777" w:rsidR="006524F1" w:rsidRDefault="006524F1"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p>
    <w:p w14:paraId="71F3E0B1" w14:textId="77777777" w:rsidR="006524F1" w:rsidRPr="005A041D" w:rsidRDefault="003A4815"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r w:rsidRPr="0077658B">
        <w:rPr>
          <w:rFonts w:ascii="Arial" w:eastAsia="Arial" w:hAnsi="Arial" w:cs="Arial"/>
          <w:szCs w:val="22"/>
          <w:lang w:val="en-US"/>
        </w:rPr>
        <w:t>On February 2</w:t>
      </w:r>
      <w:r w:rsidR="008D1AA9" w:rsidRPr="0077658B">
        <w:rPr>
          <w:rFonts w:ascii="Arial" w:eastAsia="Arial" w:hAnsi="Arial" w:cs="Arial"/>
          <w:szCs w:val="22"/>
          <w:lang w:val="en-US"/>
        </w:rPr>
        <w:t>6</w:t>
      </w:r>
      <w:r w:rsidRPr="0077658B">
        <w:rPr>
          <w:rFonts w:ascii="Arial" w:eastAsia="Arial" w:hAnsi="Arial" w:cs="Arial"/>
          <w:szCs w:val="22"/>
          <w:lang w:val="en-US"/>
        </w:rPr>
        <w:t>, 202</w:t>
      </w:r>
      <w:r w:rsidR="008D1AA9" w:rsidRPr="0077658B">
        <w:rPr>
          <w:rFonts w:ascii="Arial" w:eastAsia="Arial" w:hAnsi="Arial" w:cs="Arial"/>
          <w:szCs w:val="22"/>
          <w:lang w:val="en-US"/>
        </w:rPr>
        <w:t>6</w:t>
      </w:r>
      <w:r w:rsidRPr="0077658B">
        <w:rPr>
          <w:rFonts w:ascii="Arial" w:eastAsia="Arial" w:hAnsi="Arial" w:cs="Arial"/>
          <w:szCs w:val="22"/>
          <w:lang w:val="en-US"/>
        </w:rPr>
        <w:t>, we declared a cash dividend of $0.01 per share, or $1.</w:t>
      </w:r>
      <w:r w:rsidR="008D1AA9" w:rsidRPr="0077658B">
        <w:rPr>
          <w:rFonts w:ascii="Arial" w:eastAsia="Arial" w:hAnsi="Arial" w:cs="Arial"/>
          <w:szCs w:val="22"/>
          <w:lang w:val="en-US"/>
        </w:rPr>
        <w:t>2</w:t>
      </w:r>
      <w:r w:rsidRPr="0077658B">
        <w:rPr>
          <w:rFonts w:ascii="Arial" w:eastAsia="Arial" w:hAnsi="Arial" w:cs="Arial"/>
          <w:szCs w:val="22"/>
          <w:lang w:val="en-US"/>
        </w:rPr>
        <w:t xml:space="preserve"> million, payable on March </w:t>
      </w:r>
      <w:r w:rsidR="00D714D4" w:rsidRPr="0077658B">
        <w:rPr>
          <w:rFonts w:ascii="Arial" w:eastAsia="Arial" w:hAnsi="Arial" w:cs="Arial"/>
          <w:szCs w:val="22"/>
          <w:lang w:val="en-US"/>
        </w:rPr>
        <w:t>18</w:t>
      </w:r>
      <w:r w:rsidRPr="0077658B">
        <w:rPr>
          <w:rFonts w:ascii="Arial" w:eastAsia="Arial" w:hAnsi="Arial" w:cs="Arial"/>
          <w:szCs w:val="22"/>
          <w:lang w:val="en-US"/>
        </w:rPr>
        <w:t>, 202</w:t>
      </w:r>
      <w:r w:rsidR="008D1AA9" w:rsidRPr="0077658B">
        <w:rPr>
          <w:rFonts w:ascii="Arial" w:eastAsia="Arial" w:hAnsi="Arial" w:cs="Arial"/>
          <w:szCs w:val="22"/>
          <w:lang w:val="en-US"/>
        </w:rPr>
        <w:t>6</w:t>
      </w:r>
      <w:r w:rsidRPr="0077658B">
        <w:rPr>
          <w:rFonts w:ascii="Arial" w:eastAsia="Arial" w:hAnsi="Arial" w:cs="Arial"/>
          <w:szCs w:val="22"/>
          <w:lang w:val="en-US"/>
        </w:rPr>
        <w:t xml:space="preserve"> to shareholders of record as of March 1</w:t>
      </w:r>
      <w:r w:rsidR="00D714D4" w:rsidRPr="0077658B">
        <w:rPr>
          <w:rFonts w:ascii="Arial" w:eastAsia="Arial" w:hAnsi="Arial" w:cs="Arial"/>
          <w:szCs w:val="22"/>
          <w:lang w:val="en-US"/>
        </w:rPr>
        <w:t>1</w:t>
      </w:r>
      <w:r w:rsidRPr="0077658B">
        <w:rPr>
          <w:rFonts w:ascii="Arial" w:eastAsia="Arial" w:hAnsi="Arial" w:cs="Arial"/>
          <w:szCs w:val="22"/>
          <w:lang w:val="en-US"/>
        </w:rPr>
        <w:t>, 202</w:t>
      </w:r>
      <w:r w:rsidR="00D714D4" w:rsidRPr="0077658B">
        <w:rPr>
          <w:rFonts w:ascii="Arial" w:eastAsia="Arial" w:hAnsi="Arial" w:cs="Arial"/>
          <w:szCs w:val="22"/>
          <w:lang w:val="en-US"/>
        </w:rPr>
        <w:t>6</w:t>
      </w:r>
      <w:r w:rsidRPr="0077658B">
        <w:rPr>
          <w:rFonts w:ascii="Arial" w:eastAsia="Arial" w:hAnsi="Arial" w:cs="Arial"/>
          <w:szCs w:val="22"/>
          <w:lang w:val="en-US"/>
        </w:rPr>
        <w:t>.</w:t>
      </w:r>
    </w:p>
    <w:p w14:paraId="71F3E0B2" w14:textId="77777777" w:rsidR="00CE1C8B" w:rsidRPr="008D1AA9" w:rsidRDefault="00CE1C8B" w:rsidP="00CC4EC6">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p>
    <w:p w14:paraId="71F3E0B3" w14:textId="77777777" w:rsidR="001944C4" w:rsidRPr="006F6E02" w:rsidRDefault="003A4815" w:rsidP="00CC4EC6">
      <w:pPr>
        <w:pStyle w:val="Numberedbody-notes40"/>
        <w:keepNext/>
        <w:keepLines/>
        <w:widowControl/>
        <w:numPr>
          <w:ilvl w:val="0"/>
          <w:numId w:val="0"/>
        </w:numPr>
        <w:pBdr>
          <w:top w:val="nil"/>
          <w:left w:val="nil"/>
          <w:bottom w:val="nil"/>
          <w:right w:val="nil"/>
          <w:between w:val="nil"/>
          <w:bar w:val="nil"/>
        </w:pBdr>
        <w:spacing w:before="0" w:after="0"/>
        <w:rPr>
          <w:rFonts w:ascii="Arial" w:eastAsia="Arial" w:hAnsi="Arial" w:cs="Arial"/>
          <w:b/>
          <w:bCs/>
          <w:szCs w:val="22"/>
          <w:bdr w:val="nil"/>
          <w:lang w:val="en-US"/>
        </w:rPr>
      </w:pPr>
      <w:r w:rsidRPr="006F6E02">
        <w:rPr>
          <w:rFonts w:ascii="Arial" w:eastAsia="Arial" w:hAnsi="Arial" w:cs="Arial"/>
          <w:b/>
          <w:bCs/>
          <w:szCs w:val="22"/>
          <w:lang w:val="en-US"/>
        </w:rPr>
        <w:t>Loans</w:t>
      </w:r>
    </w:p>
    <w:p w14:paraId="71F3E0B4" w14:textId="77777777" w:rsidR="006F5215" w:rsidRDefault="006F5215" w:rsidP="00460853">
      <w:pPr>
        <w:pBdr>
          <w:top w:val="nil"/>
          <w:left w:val="nil"/>
          <w:bottom w:val="nil"/>
          <w:right w:val="nil"/>
          <w:between w:val="nil"/>
          <w:bar w:val="nil"/>
        </w:pBdr>
        <w:jc w:val="both"/>
        <w:rPr>
          <w:rFonts w:ascii="Arial" w:eastAsia="Arial" w:hAnsi="Arial" w:cs="Arial"/>
          <w:bCs/>
          <w:iCs/>
          <w:bdr w:val="nil"/>
          <w:lang w:val="en-US" w:eastAsia="el-GR"/>
        </w:rPr>
      </w:pPr>
    </w:p>
    <w:p w14:paraId="71F3E0B5" w14:textId="77777777" w:rsidR="006F5215" w:rsidRPr="00A622A3" w:rsidRDefault="003A4815" w:rsidP="00460853">
      <w:pPr>
        <w:pBdr>
          <w:top w:val="nil"/>
          <w:left w:val="nil"/>
          <w:bottom w:val="nil"/>
          <w:right w:val="nil"/>
          <w:between w:val="nil"/>
          <w:bar w:val="nil"/>
        </w:pBdr>
        <w:jc w:val="both"/>
        <w:rPr>
          <w:rFonts w:ascii="Arial" w:eastAsia="Arial" w:hAnsi="Arial" w:cs="Arial"/>
          <w:color w:val="000000"/>
          <w:bdr w:val="nil"/>
          <w:lang w:val="en-US" w:eastAsia="el-GR"/>
        </w:rPr>
      </w:pPr>
      <w:r w:rsidRPr="006F5215">
        <w:rPr>
          <w:rFonts w:ascii="Arial" w:eastAsia="Arial" w:hAnsi="Arial" w:cs="Arial"/>
          <w:bCs/>
          <w:iCs/>
          <w:color w:val="000000"/>
          <w:lang w:val="en-US" w:eastAsia="el-GR"/>
        </w:rPr>
        <w:t>On September 29, 2025, we signed a $55 million six-year secured term loan facility with National Bank of Greece S.A. The full amount was drawn down immediately. The new loan maturing in September 2031 is secured by five vessels.</w:t>
      </w:r>
    </w:p>
    <w:p w14:paraId="71F3E0B6" w14:textId="77777777" w:rsidR="00CE1C8B" w:rsidRPr="00CE1C8B" w:rsidRDefault="00CE1C8B" w:rsidP="00CE1C8B">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bidi="ar-SA"/>
        </w:rPr>
      </w:pPr>
    </w:p>
    <w:p w14:paraId="71F3E0B7" w14:textId="77777777" w:rsidR="000264C2" w:rsidRDefault="003A4815" w:rsidP="000264C2">
      <w:pPr>
        <w:pBdr>
          <w:top w:val="nil"/>
          <w:left w:val="nil"/>
          <w:bottom w:val="nil"/>
          <w:right w:val="nil"/>
          <w:between w:val="nil"/>
          <w:bar w:val="nil"/>
        </w:pBdr>
        <w:jc w:val="both"/>
        <w:rPr>
          <w:rFonts w:ascii="Arial" w:eastAsia="Arial" w:hAnsi="Arial" w:cs="Arial"/>
          <w:b/>
          <w:bCs/>
          <w:i/>
          <w:iCs/>
          <w:bdr w:val="nil"/>
          <w:lang w:val="en-US"/>
        </w:rPr>
      </w:pPr>
      <w:r>
        <w:rPr>
          <w:rFonts w:ascii="Arial" w:eastAsia="Arial" w:hAnsi="Arial" w:cs="Arial"/>
          <w:b/>
          <w:bCs/>
          <w:i/>
          <w:iCs/>
          <w:lang w:val="en-US"/>
        </w:rPr>
        <w:t xml:space="preserve">Warrant Distribution </w:t>
      </w:r>
    </w:p>
    <w:p w14:paraId="71F3E0B8" w14:textId="77777777" w:rsidR="000264C2" w:rsidRDefault="000264C2" w:rsidP="000264C2">
      <w:pPr>
        <w:pBdr>
          <w:top w:val="nil"/>
          <w:left w:val="nil"/>
          <w:bottom w:val="nil"/>
          <w:right w:val="nil"/>
          <w:between w:val="nil"/>
          <w:bar w:val="nil"/>
        </w:pBdr>
        <w:jc w:val="both"/>
        <w:rPr>
          <w:rFonts w:ascii="Arial" w:eastAsia="Arial" w:hAnsi="Arial" w:cs="Arial"/>
          <w:b/>
          <w:bCs/>
          <w:i/>
          <w:iCs/>
          <w:bdr w:val="nil"/>
          <w:lang w:val="en-US"/>
        </w:rPr>
      </w:pPr>
    </w:p>
    <w:p w14:paraId="71F3E0B9"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On December 14, 2023, we issued warrants to purchase common shares (the “Warrants”) to the holders of record of Common Stock as of the close of business on December 6, 2023 (the “Record Date”) on the terms and conditions described in the Warrant Agreement (as defined below and attached as exhibit 2.10 to this annual report). Each holder received one Warrant for every five shares of issued and outstanding shares of common stock held as of the Record Date (rounded down to the nearest whole number for any fractional Warrant). Each Warrant entitles the holder to purchase, at the holder’s sole and exclusive election, at the exercise price, one share of common stock, subject to adjustments, plus to the extent described below, the Bonus Share Fraction. A Bonus Share Fraction entitles a holder to receive an additional 0.5 of a share of common stock for each Warrant exercised (the “Bonus Share Fraction”) without payment of any additional exercise price, also subject to adjustments.</w:t>
      </w:r>
      <w:r w:rsidR="002F21C9">
        <w:rPr>
          <w:rFonts w:ascii="Arial" w:eastAsia="Arial" w:hAnsi="Arial" w:cs="Arial"/>
          <w:lang w:val="en-US"/>
        </w:rPr>
        <w:t xml:space="preserve"> Since the dividend ex-Date on </w:t>
      </w:r>
      <w:r w:rsidR="005E522D">
        <w:rPr>
          <w:rFonts w:ascii="Arial" w:eastAsia="Arial" w:hAnsi="Arial" w:cs="Arial"/>
          <w:lang w:val="en-US"/>
        </w:rPr>
        <w:t>March 11</w:t>
      </w:r>
      <w:r w:rsidR="002F21C9">
        <w:rPr>
          <w:rFonts w:ascii="Arial" w:eastAsia="Arial" w:hAnsi="Arial" w:cs="Arial"/>
          <w:lang w:val="en-US"/>
        </w:rPr>
        <w:t>, 20</w:t>
      </w:r>
      <w:r w:rsidR="00B66E5F">
        <w:rPr>
          <w:rFonts w:ascii="Arial" w:eastAsia="Arial" w:hAnsi="Arial" w:cs="Arial"/>
          <w:lang w:val="en-US"/>
        </w:rPr>
        <w:t>2</w:t>
      </w:r>
      <w:r w:rsidR="005E522D">
        <w:rPr>
          <w:rFonts w:ascii="Arial" w:eastAsia="Arial" w:hAnsi="Arial" w:cs="Arial"/>
          <w:lang w:val="en-US"/>
        </w:rPr>
        <w:t>6</w:t>
      </w:r>
      <w:r w:rsidR="002F21C9">
        <w:rPr>
          <w:rFonts w:ascii="Arial" w:eastAsia="Arial" w:hAnsi="Arial" w:cs="Arial"/>
          <w:lang w:val="en-US"/>
        </w:rPr>
        <w:t xml:space="preserve">, </w:t>
      </w:r>
      <w:r w:rsidR="00460853">
        <w:rPr>
          <w:rFonts w:ascii="Arial" w:eastAsia="Arial" w:hAnsi="Arial" w:cs="Arial"/>
          <w:lang w:val="en-US"/>
        </w:rPr>
        <w:t>each Warrant entitles the holder to purchase 1.</w:t>
      </w:r>
      <w:r w:rsidR="00546134">
        <w:rPr>
          <w:rFonts w:ascii="Arial" w:eastAsia="Arial" w:hAnsi="Arial" w:cs="Arial"/>
          <w:lang w:val="en-US"/>
        </w:rPr>
        <w:t>1</w:t>
      </w:r>
      <w:r w:rsidR="005E522D">
        <w:rPr>
          <w:rFonts w:ascii="Arial" w:eastAsia="Arial" w:hAnsi="Arial" w:cs="Arial"/>
          <w:lang w:val="en-US"/>
        </w:rPr>
        <w:t>2097</w:t>
      </w:r>
      <w:r w:rsidR="00460853">
        <w:rPr>
          <w:rFonts w:ascii="Arial" w:eastAsia="Arial" w:hAnsi="Arial" w:cs="Arial"/>
          <w:lang w:val="en-US"/>
        </w:rPr>
        <w:t xml:space="preserve"> shares of common stock plus </w:t>
      </w:r>
      <w:r w:rsidR="002F21C9">
        <w:rPr>
          <w:rFonts w:ascii="Arial" w:eastAsia="Arial" w:hAnsi="Arial" w:cs="Arial"/>
          <w:lang w:val="en-US"/>
        </w:rPr>
        <w:t>the Bonus Share Fraction adjusted to 0.</w:t>
      </w:r>
      <w:r w:rsidR="00546134">
        <w:rPr>
          <w:rFonts w:ascii="Arial" w:eastAsia="Arial" w:hAnsi="Arial" w:cs="Arial"/>
          <w:lang w:val="en-US"/>
        </w:rPr>
        <w:t>5</w:t>
      </w:r>
      <w:r w:rsidR="005E522D">
        <w:rPr>
          <w:rFonts w:ascii="Arial" w:eastAsia="Arial" w:hAnsi="Arial" w:cs="Arial"/>
          <w:lang w:val="en-US"/>
        </w:rPr>
        <w:t>6050</w:t>
      </w:r>
      <w:r w:rsidR="002F21C9">
        <w:rPr>
          <w:rFonts w:ascii="Arial" w:eastAsia="Arial" w:hAnsi="Arial" w:cs="Arial"/>
          <w:lang w:val="en-US"/>
        </w:rPr>
        <w:t xml:space="preserve"> o</w:t>
      </w:r>
      <w:r>
        <w:rPr>
          <w:rFonts w:ascii="Arial" w:eastAsia="Arial" w:hAnsi="Arial" w:cs="Arial"/>
          <w:lang w:val="en-US"/>
        </w:rPr>
        <w:t>f</w:t>
      </w:r>
      <w:r w:rsidR="002F21C9">
        <w:rPr>
          <w:rFonts w:ascii="Arial" w:eastAsia="Arial" w:hAnsi="Arial" w:cs="Arial"/>
          <w:lang w:val="en-US"/>
        </w:rPr>
        <w:t xml:space="preserve"> a share of common stock</w:t>
      </w:r>
      <w:r w:rsidR="002F21C9" w:rsidRPr="002F21C9">
        <w:rPr>
          <w:rFonts w:ascii="Arial" w:eastAsia="Arial" w:hAnsi="Arial" w:cs="Arial"/>
          <w:lang w:val="en-US"/>
        </w:rPr>
        <w:t xml:space="preserve"> </w:t>
      </w:r>
      <w:r w:rsidR="002F21C9">
        <w:rPr>
          <w:rFonts w:ascii="Arial" w:eastAsia="Arial" w:hAnsi="Arial" w:cs="Arial"/>
          <w:lang w:val="en-US"/>
        </w:rPr>
        <w:t>for each Warrant exercised.</w:t>
      </w:r>
    </w:p>
    <w:p w14:paraId="71F3E0BA" w14:textId="77777777" w:rsidR="000264C2" w:rsidRDefault="000264C2" w:rsidP="000264C2">
      <w:pPr>
        <w:pBdr>
          <w:top w:val="nil"/>
          <w:left w:val="nil"/>
          <w:bottom w:val="nil"/>
          <w:right w:val="nil"/>
          <w:between w:val="nil"/>
          <w:bar w:val="nil"/>
        </w:pBdr>
        <w:jc w:val="both"/>
        <w:rPr>
          <w:rFonts w:ascii="Arial" w:eastAsia="Arial" w:hAnsi="Arial" w:cs="Arial"/>
          <w:bdr w:val="nil"/>
          <w:lang w:val="en-US"/>
        </w:rPr>
      </w:pPr>
    </w:p>
    <w:p w14:paraId="71F3E0BB"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The right to receive the Bonus Share Fraction will expire at 5:00 p.m. New York City time (the “Bonus Share Expiration Date”) upon the earlier of (i) the date specified by the Registrant upon not less than 20 business days’ notice and (ii) the first business day following the last day of the first 30 consecutive trading day period in which the daily VWAP of the shares of common stock has been at least equal to the then applicable trigger price for at least 20 trading days (whether or not consecutive) (the “Bonus Price Condition”). Any Warrant exercised with an exercise date after the Bonus Share Expiration Date will not be entitled to any Bonus Share Fraction. The Company will make a public announcement of the Bonus Share Expiration Date (i) at least 20 business days prior to such date, in the case of the Company setting a Bonus Share Expiration Date and (ii) prior to market open on the Bonus Share Expiration Date in the case of a Bonus Price Condition.</w:t>
      </w:r>
    </w:p>
    <w:p w14:paraId="71F3E0BC" w14:textId="77777777" w:rsidR="000264C2" w:rsidRDefault="000264C2" w:rsidP="000264C2">
      <w:pPr>
        <w:pBdr>
          <w:top w:val="nil"/>
          <w:left w:val="nil"/>
          <w:bottom w:val="nil"/>
          <w:right w:val="nil"/>
          <w:between w:val="nil"/>
          <w:bar w:val="nil"/>
        </w:pBdr>
        <w:jc w:val="both"/>
        <w:rPr>
          <w:rFonts w:ascii="Arial" w:eastAsia="Arial" w:hAnsi="Arial" w:cs="Arial"/>
          <w:bdr w:val="nil"/>
          <w:lang w:val="en-US"/>
        </w:rPr>
      </w:pPr>
    </w:p>
    <w:p w14:paraId="71F3E0BD"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Unless earlier redeemed, the Warrants will expire and cease to be exercisable at 5:00 p.m. New York City time on December 14, 2026 (the “Expiration Date”).</w:t>
      </w:r>
    </w:p>
    <w:p w14:paraId="71F3E0BE" w14:textId="77777777" w:rsidR="000264C2" w:rsidRDefault="000264C2" w:rsidP="000264C2">
      <w:pPr>
        <w:pBdr>
          <w:top w:val="nil"/>
          <w:left w:val="nil"/>
          <w:bottom w:val="nil"/>
          <w:right w:val="nil"/>
          <w:between w:val="nil"/>
          <w:bar w:val="nil"/>
        </w:pBdr>
        <w:jc w:val="both"/>
        <w:rPr>
          <w:rFonts w:ascii="Arial" w:eastAsia="Arial" w:hAnsi="Arial" w:cs="Arial"/>
          <w:bdr w:val="nil"/>
          <w:lang w:val="en-US"/>
        </w:rPr>
      </w:pPr>
    </w:p>
    <w:p w14:paraId="71F3E0BF"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 xml:space="preserve">In connection with the Warrant distribution, we filed a prospectus supplement, dated December 14, 2023, pursuant to </w:t>
      </w:r>
      <w:r w:rsidR="0097158C">
        <w:rPr>
          <w:rFonts w:ascii="Arial" w:eastAsia="Arial" w:hAnsi="Arial" w:cs="Arial"/>
          <w:lang w:val="en-US"/>
        </w:rPr>
        <w:t>a</w:t>
      </w:r>
      <w:r>
        <w:rPr>
          <w:rFonts w:ascii="Arial" w:eastAsia="Arial" w:hAnsi="Arial" w:cs="Arial"/>
          <w:lang w:val="en-US"/>
        </w:rPr>
        <w:t xml:space="preserve"> shelf registration statement on Form F-3 declared effective on July 9, 2021, registering up to 33,919,605 shares of common stock to be issued upon exercise of the Warrants under the Securities Act of 1933, as amended.</w:t>
      </w:r>
      <w:r w:rsidR="0097158C">
        <w:rPr>
          <w:rFonts w:ascii="Arial" w:eastAsia="Arial" w:hAnsi="Arial" w:cs="Arial"/>
          <w:lang w:val="en-US"/>
        </w:rPr>
        <w:t xml:space="preserve"> </w:t>
      </w:r>
      <w:r w:rsidR="0097158C" w:rsidRPr="0097158C">
        <w:rPr>
          <w:rFonts w:ascii="Arial" w:eastAsia="Arial" w:hAnsi="Arial" w:cs="Arial"/>
          <w:lang w:val="en-US"/>
        </w:rPr>
        <w:t>The shelf registration statement on Form F-3 declared effective on July 9, 2021 expired and the Warrant distribution is now being offered pursuant to our existing shelf registration statement on Form F-3 declared effective on September 9, 2024.</w:t>
      </w:r>
    </w:p>
    <w:p w14:paraId="71F3E0C0" w14:textId="77777777" w:rsidR="000264C2" w:rsidRDefault="000264C2" w:rsidP="000264C2">
      <w:pPr>
        <w:pBdr>
          <w:top w:val="nil"/>
          <w:left w:val="nil"/>
          <w:bottom w:val="nil"/>
          <w:right w:val="nil"/>
          <w:between w:val="nil"/>
          <w:bar w:val="nil"/>
        </w:pBdr>
        <w:jc w:val="both"/>
        <w:rPr>
          <w:rFonts w:ascii="Arial" w:eastAsia="Arial" w:hAnsi="Arial" w:cs="Arial"/>
          <w:bdr w:val="nil"/>
          <w:lang w:val="en-US"/>
        </w:rPr>
      </w:pPr>
    </w:p>
    <w:p w14:paraId="71F3E0C1"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The Warrants commenced trading on the New York Stock Exchange under the ticker “DSX WS” on December 14, 2023.</w:t>
      </w:r>
    </w:p>
    <w:p w14:paraId="71F3E0C2" w14:textId="77777777" w:rsidR="000264C2" w:rsidRDefault="000264C2" w:rsidP="000264C2">
      <w:pPr>
        <w:pBdr>
          <w:top w:val="nil"/>
          <w:left w:val="nil"/>
          <w:bottom w:val="nil"/>
          <w:right w:val="nil"/>
          <w:between w:val="nil"/>
          <w:bar w:val="nil"/>
        </w:pBdr>
        <w:jc w:val="both"/>
        <w:rPr>
          <w:rFonts w:ascii="Arial" w:eastAsia="Arial" w:hAnsi="Arial" w:cs="Arial"/>
          <w:bdr w:val="nil"/>
          <w:lang w:val="en-US"/>
        </w:rPr>
      </w:pPr>
    </w:p>
    <w:p w14:paraId="71F3E0C3" w14:textId="77777777" w:rsidR="000264C2" w:rsidRDefault="003A4815" w:rsidP="000264C2">
      <w:pPr>
        <w:pBdr>
          <w:top w:val="nil"/>
          <w:left w:val="nil"/>
          <w:bottom w:val="nil"/>
          <w:right w:val="nil"/>
          <w:between w:val="nil"/>
          <w:bar w:val="nil"/>
        </w:pBdr>
        <w:jc w:val="both"/>
        <w:rPr>
          <w:rFonts w:ascii="Arial" w:eastAsia="Arial" w:hAnsi="Arial" w:cs="Arial"/>
          <w:bdr w:val="nil"/>
          <w:lang w:val="en-US"/>
        </w:rPr>
      </w:pPr>
      <w:r w:rsidRPr="000A292B">
        <w:rPr>
          <w:rFonts w:ascii="Arial" w:eastAsia="Arial" w:hAnsi="Arial" w:cs="Arial"/>
          <w:lang w:val="en-US"/>
        </w:rPr>
        <w:t xml:space="preserve">As of the date of this annual report, out of the 22,613,070 Warrants distributed in this </w:t>
      </w:r>
      <w:r w:rsidR="00546134" w:rsidRPr="000A292B">
        <w:rPr>
          <w:rFonts w:ascii="Arial" w:eastAsia="Arial" w:hAnsi="Arial" w:cs="Arial"/>
          <w:lang w:val="en-US"/>
        </w:rPr>
        <w:t>transaction,</w:t>
      </w:r>
      <w:r w:rsidR="00546134">
        <w:rPr>
          <w:rFonts w:ascii="Arial" w:eastAsia="Arial" w:hAnsi="Arial" w:cs="Arial"/>
          <w:lang w:val="en-US"/>
        </w:rPr>
        <w:t xml:space="preserve"> </w:t>
      </w:r>
      <w:r w:rsidR="000353AF">
        <w:rPr>
          <w:rFonts w:ascii="Arial" w:eastAsia="Arial" w:hAnsi="Arial" w:cs="Arial"/>
          <w:lang w:val="en-US"/>
        </w:rPr>
        <w:t>6,410,343</w:t>
      </w:r>
      <w:r>
        <w:rPr>
          <w:rFonts w:ascii="Arial" w:eastAsia="Arial" w:hAnsi="Arial" w:cs="Arial"/>
          <w:lang w:val="en-US"/>
        </w:rPr>
        <w:t xml:space="preserve"> Warrants have been exercised and 9,866,677 common shares have been issued.</w:t>
      </w:r>
    </w:p>
    <w:p w14:paraId="71F3E0C4" w14:textId="77777777" w:rsidR="00B4562B" w:rsidRDefault="00B4562B" w:rsidP="000264C2">
      <w:pPr>
        <w:pBdr>
          <w:top w:val="nil"/>
          <w:left w:val="nil"/>
          <w:bottom w:val="nil"/>
          <w:right w:val="nil"/>
          <w:between w:val="nil"/>
          <w:bar w:val="nil"/>
        </w:pBdr>
        <w:jc w:val="both"/>
        <w:rPr>
          <w:rFonts w:ascii="Arial" w:eastAsia="Arial" w:hAnsi="Arial" w:cs="Arial"/>
          <w:bdr w:val="nil"/>
          <w:lang w:val="en-US"/>
        </w:rPr>
      </w:pPr>
    </w:p>
    <w:p w14:paraId="71F3E0C5" w14:textId="77777777" w:rsidR="00B4562B" w:rsidRDefault="003A4815" w:rsidP="00B4562B">
      <w:pPr>
        <w:pBdr>
          <w:top w:val="nil"/>
          <w:left w:val="nil"/>
          <w:bottom w:val="nil"/>
          <w:right w:val="nil"/>
          <w:between w:val="nil"/>
          <w:bar w:val="nil"/>
        </w:pBdr>
        <w:jc w:val="both"/>
        <w:rPr>
          <w:rFonts w:ascii="Arial" w:eastAsia="Arial" w:hAnsi="Arial" w:cs="Arial"/>
          <w:b/>
          <w:bCs/>
          <w:bdr w:val="nil"/>
          <w:lang w:val="en-US"/>
        </w:rPr>
      </w:pPr>
      <w:r w:rsidRPr="00B67E6B">
        <w:rPr>
          <w:rFonts w:ascii="Arial" w:eastAsia="Arial" w:hAnsi="Arial" w:cs="Arial"/>
          <w:b/>
          <w:bCs/>
          <w:lang w:val="en-US"/>
        </w:rPr>
        <w:t>Appointment of new Co-Chief Financial Officer</w:t>
      </w:r>
    </w:p>
    <w:p w14:paraId="71F3E0C6" w14:textId="77777777" w:rsidR="00B4562B" w:rsidRPr="00E22580" w:rsidRDefault="00B4562B" w:rsidP="00B4562B">
      <w:pPr>
        <w:pBdr>
          <w:top w:val="nil"/>
          <w:left w:val="nil"/>
          <w:bottom w:val="nil"/>
          <w:right w:val="nil"/>
          <w:between w:val="nil"/>
          <w:bar w:val="nil"/>
        </w:pBdr>
        <w:jc w:val="both"/>
        <w:rPr>
          <w:rFonts w:ascii="Arial" w:eastAsia="Arial" w:hAnsi="Arial" w:cs="Arial"/>
          <w:bdr w:val="nil"/>
          <w:lang w:val="en-US"/>
        </w:rPr>
      </w:pPr>
    </w:p>
    <w:p w14:paraId="71F3E0C7" w14:textId="77777777" w:rsidR="00E22580" w:rsidRPr="00E22580" w:rsidRDefault="003A4815" w:rsidP="00E22580">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Effective</w:t>
      </w:r>
      <w:r w:rsidR="00D01828" w:rsidRPr="00E22580">
        <w:rPr>
          <w:rFonts w:ascii="Arial" w:eastAsia="Arial" w:hAnsi="Arial" w:cs="Arial"/>
          <w:lang w:val="en-US"/>
        </w:rPr>
        <w:t xml:space="preserve"> January 17, 2025, we appointed Ms. Maria Dede as the Company’s </w:t>
      </w:r>
      <w:r w:rsidR="002862C1">
        <w:rPr>
          <w:rFonts w:ascii="Arial" w:eastAsia="Arial" w:hAnsi="Arial" w:cs="Arial"/>
          <w:lang w:val="en-US"/>
        </w:rPr>
        <w:t>Co-</w:t>
      </w:r>
      <w:r w:rsidR="00D01828" w:rsidRPr="00E22580">
        <w:rPr>
          <w:rFonts w:ascii="Arial" w:eastAsia="Arial" w:hAnsi="Arial" w:cs="Arial"/>
          <w:lang w:val="en-US"/>
        </w:rPr>
        <w:t>Chief Financial Officer. In addition, effective January 1, 2026, she was appointed Co</w:t>
      </w:r>
      <w:r w:rsidR="00D01828" w:rsidRPr="00E22580">
        <w:rPr>
          <w:rFonts w:ascii="Arial" w:eastAsia="Arial" w:hAnsi="Arial" w:cs="Arial"/>
          <w:lang w:val="en-US"/>
        </w:rPr>
        <w:noBreakHyphen/>
        <w:t>Chief Financial Officer and Treasurer.</w:t>
      </w:r>
    </w:p>
    <w:p w14:paraId="71F3E0C8" w14:textId="77777777" w:rsidR="000757CD" w:rsidRDefault="000757CD" w:rsidP="00B4562B">
      <w:pPr>
        <w:pBdr>
          <w:top w:val="nil"/>
          <w:left w:val="nil"/>
          <w:bottom w:val="nil"/>
          <w:right w:val="nil"/>
          <w:between w:val="nil"/>
          <w:bar w:val="nil"/>
        </w:pBdr>
        <w:jc w:val="both"/>
        <w:rPr>
          <w:rFonts w:ascii="Arial" w:eastAsia="Arial" w:hAnsi="Arial" w:cs="Arial"/>
          <w:bdr w:val="nil"/>
          <w:lang w:val="en-US"/>
        </w:rPr>
      </w:pPr>
    </w:p>
    <w:p w14:paraId="71F3E0C9" w14:textId="77777777" w:rsidR="000757CD" w:rsidRDefault="003A4815" w:rsidP="00B4562B">
      <w:pPr>
        <w:pBdr>
          <w:top w:val="nil"/>
          <w:left w:val="nil"/>
          <w:bottom w:val="nil"/>
          <w:right w:val="nil"/>
          <w:between w:val="nil"/>
          <w:bar w:val="nil"/>
        </w:pBdr>
        <w:jc w:val="both"/>
        <w:rPr>
          <w:rFonts w:ascii="Arial" w:eastAsia="Arial" w:hAnsi="Arial" w:cs="Arial"/>
          <w:bdr w:val="nil"/>
          <w:lang w:val="en-US"/>
        </w:rPr>
      </w:pPr>
      <w:r w:rsidRPr="000757CD">
        <w:rPr>
          <w:rFonts w:ascii="Arial" w:eastAsia="Arial" w:hAnsi="Arial" w:cs="Arial"/>
          <w:lang w:val="en-US"/>
        </w:rPr>
        <w:t>Effective January 1, 2026, Mr. Ioannis Zafirakis is the Company’s President, Mr. Evangelos Sfakiotakis is the Company’s Chief Technical Investment Officer and Ms. Margarita Veniou is the Company’s Secretary and Corporate Contact.</w:t>
      </w:r>
    </w:p>
    <w:p w14:paraId="71F3E0CA" w14:textId="77777777" w:rsidR="0097158C" w:rsidRDefault="0097158C" w:rsidP="00B4562B">
      <w:pPr>
        <w:pBdr>
          <w:top w:val="nil"/>
          <w:left w:val="nil"/>
          <w:bottom w:val="nil"/>
          <w:right w:val="nil"/>
          <w:between w:val="nil"/>
          <w:bar w:val="nil"/>
        </w:pBdr>
        <w:jc w:val="both"/>
        <w:rPr>
          <w:rFonts w:ascii="Arial" w:eastAsia="Arial" w:hAnsi="Arial" w:cs="Arial"/>
          <w:bdr w:val="nil"/>
          <w:lang w:val="en-US"/>
        </w:rPr>
      </w:pPr>
    </w:p>
    <w:p w14:paraId="71F3E0CB" w14:textId="77777777" w:rsidR="0097158C" w:rsidRPr="0097158C" w:rsidRDefault="003A4815" w:rsidP="0097158C">
      <w:pPr>
        <w:keepNext/>
        <w:keepLines/>
        <w:pBdr>
          <w:top w:val="nil"/>
          <w:left w:val="nil"/>
          <w:bottom w:val="nil"/>
          <w:right w:val="nil"/>
          <w:between w:val="nil"/>
          <w:bar w:val="nil"/>
        </w:pBdr>
        <w:jc w:val="both"/>
        <w:outlineLvl w:val="2"/>
        <w:rPr>
          <w:rFonts w:ascii="Arial" w:eastAsia="Arial" w:hAnsi="Arial" w:cs="Arial"/>
          <w:b/>
          <w:bCs/>
          <w:sz w:val="24"/>
          <w:bdr w:val="nil"/>
          <w:lang w:val="en-GB" w:bidi="en-US"/>
        </w:rPr>
      </w:pPr>
      <w:bookmarkStart w:id="107" w:name="RG_MARKER_19839"/>
      <w:bookmarkStart w:id="108" w:name="RG_MARKER_19716"/>
      <w:bookmarkStart w:id="109" w:name="RG_MARKER_19836"/>
      <w:bookmarkStart w:id="110" w:name="_Hlk192673060"/>
      <w:r w:rsidRPr="0097158C">
        <w:rPr>
          <w:rFonts w:ascii="Arial" w:eastAsia="Arial" w:hAnsi="Arial" w:cs="Arial"/>
          <w:b/>
          <w:bCs/>
          <w:sz w:val="24"/>
          <w:lang w:val="en-GB" w:bidi="en-US"/>
        </w:rPr>
        <w:t>Vessels under construction</w:t>
      </w:r>
      <w:bookmarkEnd w:id="107"/>
      <w:bookmarkEnd w:id="108"/>
      <w:bookmarkEnd w:id="109"/>
    </w:p>
    <w:p w14:paraId="71F3E0CC" w14:textId="77777777" w:rsidR="0097158C" w:rsidRPr="0097158C" w:rsidRDefault="0097158C" w:rsidP="0097158C">
      <w:pPr>
        <w:pBdr>
          <w:top w:val="nil"/>
          <w:left w:val="nil"/>
          <w:bottom w:val="nil"/>
          <w:right w:val="nil"/>
          <w:between w:val="nil"/>
          <w:bar w:val="nil"/>
        </w:pBdr>
        <w:jc w:val="both"/>
        <w:rPr>
          <w:rFonts w:ascii="Arial" w:eastAsia="Arial" w:hAnsi="Arial" w:cs="Arial"/>
          <w:szCs w:val="24"/>
          <w:bdr w:val="nil"/>
          <w:lang w:val="en-GB" w:bidi="en-US"/>
        </w:rPr>
      </w:pPr>
    </w:p>
    <w:p w14:paraId="71F3E0CD"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In February 2024, we signed an agreement with an unaffiliated third party, for the construction of two 81,200 dwt methanol dual fuel new-building Kamsarmax dry bulk vessels to be built at Tsuneishi Group (Zhoushan) Shipbuilding Inc., China. The vessels are expected to be delivered to the Company by the second half of 2027 and the first half of 2028.</w:t>
      </w:r>
    </w:p>
    <w:p w14:paraId="71F3E0CE" w14:textId="77777777" w:rsidR="0097158C" w:rsidRPr="0097158C" w:rsidRDefault="0097158C" w:rsidP="0097158C">
      <w:pPr>
        <w:pBdr>
          <w:top w:val="nil"/>
          <w:left w:val="nil"/>
          <w:bottom w:val="nil"/>
          <w:right w:val="nil"/>
          <w:between w:val="nil"/>
          <w:bar w:val="nil"/>
        </w:pBdr>
        <w:jc w:val="both"/>
        <w:rPr>
          <w:rFonts w:ascii="Arial" w:eastAsia="Arial" w:hAnsi="Arial" w:cs="Arial"/>
          <w:szCs w:val="24"/>
          <w:bdr w:val="nil"/>
          <w:lang w:val="en-US" w:bidi="en-US"/>
        </w:rPr>
      </w:pPr>
    </w:p>
    <w:p w14:paraId="71F3E0CF" w14:textId="77777777" w:rsidR="0097158C" w:rsidRPr="0097158C" w:rsidRDefault="003A4815" w:rsidP="0097158C">
      <w:pPr>
        <w:keepNext/>
        <w:keepLines/>
        <w:pBdr>
          <w:top w:val="nil"/>
          <w:left w:val="nil"/>
          <w:bottom w:val="nil"/>
          <w:right w:val="nil"/>
          <w:between w:val="nil"/>
          <w:bar w:val="nil"/>
        </w:pBdr>
        <w:jc w:val="both"/>
        <w:outlineLvl w:val="2"/>
        <w:rPr>
          <w:rFonts w:ascii="Arial" w:eastAsia="Arial" w:hAnsi="Arial" w:cs="Arial"/>
          <w:b/>
          <w:bCs/>
          <w:sz w:val="24"/>
          <w:bdr w:val="nil"/>
          <w:lang w:val="en-GB" w:bidi="en-US"/>
        </w:rPr>
      </w:pPr>
      <w:r w:rsidRPr="0097158C">
        <w:rPr>
          <w:rFonts w:ascii="Arial" w:eastAsia="Arial" w:hAnsi="Arial" w:cs="Arial"/>
          <w:b/>
          <w:bCs/>
          <w:sz w:val="24"/>
          <w:lang w:val="en-GB" w:bidi="en-US"/>
        </w:rPr>
        <w:t>Vessel acquisitions</w:t>
      </w:r>
    </w:p>
    <w:p w14:paraId="71F3E0D0"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1"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 xml:space="preserve">In August 2022, we entered into a master agreement with an unaffiliated third party, to acquire nine Ultramax vessels for an aggregate purchase price of $330 million, of which $220 million payable in cash and $110 million through an aggregate of 18,487,393 newly issued common shares, issuable on the delivery of each vessel. In addition to the master agreement, we also entered into nine separate memoranda of agreement for the acquisition of each vessel and issued nine warrants to the seller, for the issuance of the shares, exercisable on the delivery date of each vessel. We took delivery of eight vessels in December 2022 and the ninth vessel in January 2023. </w:t>
      </w:r>
    </w:p>
    <w:p w14:paraId="71F3E0D2"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3" w14:textId="77777777" w:rsidR="0097158C" w:rsidRPr="0097158C" w:rsidRDefault="003A4815" w:rsidP="003C29DC">
      <w:pPr>
        <w:keepNext/>
        <w:keepLines/>
        <w:pBdr>
          <w:top w:val="nil"/>
          <w:left w:val="nil"/>
          <w:bottom w:val="nil"/>
          <w:right w:val="nil"/>
          <w:between w:val="nil"/>
          <w:bar w:val="nil"/>
        </w:pBdr>
        <w:jc w:val="both"/>
        <w:outlineLvl w:val="2"/>
        <w:rPr>
          <w:rFonts w:ascii="Arial" w:eastAsia="Arial" w:hAnsi="Arial" w:cs="Arial"/>
          <w:b/>
          <w:bCs/>
          <w:sz w:val="24"/>
          <w:bdr w:val="nil"/>
          <w:lang w:val="en-GB" w:bidi="en-US"/>
        </w:rPr>
      </w:pPr>
      <w:r w:rsidRPr="0097158C">
        <w:rPr>
          <w:rFonts w:ascii="Arial" w:eastAsia="Arial" w:hAnsi="Arial" w:cs="Arial"/>
          <w:b/>
          <w:bCs/>
          <w:sz w:val="24"/>
          <w:lang w:val="en-GB" w:bidi="en-US"/>
        </w:rPr>
        <w:t>Vessel disposals</w:t>
      </w:r>
    </w:p>
    <w:p w14:paraId="71F3E0D4" w14:textId="77777777" w:rsidR="0097158C" w:rsidRPr="0097158C" w:rsidRDefault="0097158C" w:rsidP="003C29DC">
      <w:pPr>
        <w:keepNext/>
        <w:keepLines/>
        <w:pBdr>
          <w:top w:val="nil"/>
          <w:left w:val="nil"/>
          <w:bottom w:val="nil"/>
          <w:right w:val="nil"/>
          <w:between w:val="nil"/>
          <w:bar w:val="nil"/>
        </w:pBdr>
        <w:jc w:val="both"/>
        <w:rPr>
          <w:rFonts w:ascii="Arial" w:eastAsia="Arial" w:hAnsi="Arial" w:cs="Arial"/>
          <w:color w:val="000000"/>
          <w:bdr w:val="nil"/>
          <w:lang w:val="en-US" w:bidi="en-US"/>
        </w:rPr>
      </w:pPr>
    </w:p>
    <w:p w14:paraId="71F3E0D5" w14:textId="77777777" w:rsidR="000757CD" w:rsidRPr="000757CD" w:rsidRDefault="003A4815" w:rsidP="003C29DC">
      <w:pPr>
        <w:keepNext/>
        <w:keepLines/>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 xml:space="preserve">In </w:t>
      </w:r>
      <w:r>
        <w:rPr>
          <w:rFonts w:ascii="Arial" w:eastAsia="Arial" w:hAnsi="Arial" w:cs="Arial"/>
          <w:color w:val="000000"/>
          <w:lang w:val="en-US" w:bidi="en-US"/>
        </w:rPr>
        <w:t>June</w:t>
      </w:r>
      <w:r w:rsidRPr="0097158C">
        <w:rPr>
          <w:rFonts w:ascii="Arial" w:eastAsia="Arial" w:hAnsi="Arial" w:cs="Arial"/>
          <w:color w:val="000000"/>
          <w:lang w:val="en-US" w:bidi="en-US"/>
        </w:rPr>
        <w:t xml:space="preserve"> 2025, we agreed to sell to an unrelated third party, the vessel </w:t>
      </w:r>
      <w:r>
        <w:rPr>
          <w:rFonts w:ascii="Arial" w:eastAsia="Arial" w:hAnsi="Arial" w:cs="Arial"/>
          <w:color w:val="000000"/>
          <w:lang w:val="en-US" w:bidi="en-US"/>
        </w:rPr>
        <w:t>Selina</w:t>
      </w:r>
      <w:r w:rsidRPr="0097158C">
        <w:rPr>
          <w:rFonts w:ascii="Arial" w:eastAsia="Arial" w:hAnsi="Arial" w:cs="Arial"/>
          <w:color w:val="000000"/>
          <w:lang w:val="en-US" w:bidi="en-US"/>
        </w:rPr>
        <w:t>, for $11.</w:t>
      </w:r>
      <w:r>
        <w:rPr>
          <w:rFonts w:ascii="Arial" w:eastAsia="Arial" w:hAnsi="Arial" w:cs="Arial"/>
          <w:color w:val="000000"/>
          <w:lang w:val="en-US" w:bidi="en-US"/>
        </w:rPr>
        <w:t>8</w:t>
      </w:r>
      <w:r w:rsidRPr="0097158C">
        <w:rPr>
          <w:rFonts w:ascii="Arial" w:eastAsia="Arial" w:hAnsi="Arial" w:cs="Arial"/>
          <w:color w:val="000000"/>
          <w:lang w:val="en-US" w:bidi="en-US"/>
        </w:rPr>
        <w:t xml:space="preserve"> million. The vessel was delivered to her new owners on </w:t>
      </w:r>
      <w:r w:rsidR="00164D9E">
        <w:rPr>
          <w:rFonts w:ascii="Arial" w:eastAsia="Arial" w:hAnsi="Arial" w:cs="Arial"/>
          <w:color w:val="000000"/>
          <w:lang w:val="en-US" w:bidi="en-US"/>
        </w:rPr>
        <w:t>July</w:t>
      </w:r>
      <w:r w:rsidRPr="0097158C">
        <w:rPr>
          <w:rFonts w:ascii="Arial" w:eastAsia="Arial" w:hAnsi="Arial" w:cs="Arial"/>
          <w:color w:val="000000"/>
          <w:lang w:val="en-US" w:bidi="en-US"/>
        </w:rPr>
        <w:t xml:space="preserve"> </w:t>
      </w:r>
      <w:r w:rsidR="00164D9E">
        <w:rPr>
          <w:rFonts w:ascii="Arial" w:eastAsia="Arial" w:hAnsi="Arial" w:cs="Arial"/>
          <w:color w:val="000000"/>
          <w:lang w:val="en-US" w:bidi="en-US"/>
        </w:rPr>
        <w:t>15</w:t>
      </w:r>
      <w:r w:rsidRPr="0097158C">
        <w:rPr>
          <w:rFonts w:ascii="Arial" w:eastAsia="Arial" w:hAnsi="Arial" w:cs="Arial"/>
          <w:color w:val="000000"/>
          <w:lang w:val="en-US" w:bidi="en-US"/>
        </w:rPr>
        <w:t>, 202</w:t>
      </w:r>
      <w:r>
        <w:rPr>
          <w:rFonts w:ascii="Arial" w:eastAsia="Arial" w:hAnsi="Arial" w:cs="Arial"/>
          <w:color w:val="000000"/>
          <w:lang w:val="en-US" w:bidi="en-US"/>
        </w:rPr>
        <w:t>5</w:t>
      </w:r>
      <w:r w:rsidRPr="0097158C">
        <w:rPr>
          <w:rFonts w:ascii="Arial" w:eastAsia="Arial" w:hAnsi="Arial" w:cs="Arial"/>
          <w:color w:val="000000"/>
          <w:lang w:val="en-US" w:bidi="en-US"/>
        </w:rPr>
        <w:t>.</w:t>
      </w:r>
    </w:p>
    <w:p w14:paraId="71F3E0D6" w14:textId="77777777" w:rsidR="000757CD" w:rsidRDefault="000757CD" w:rsidP="003C29DC">
      <w:pPr>
        <w:keepNext/>
        <w:keepLines/>
        <w:pBdr>
          <w:top w:val="nil"/>
          <w:left w:val="nil"/>
          <w:bottom w:val="nil"/>
          <w:right w:val="nil"/>
          <w:between w:val="nil"/>
          <w:bar w:val="nil"/>
        </w:pBdr>
        <w:jc w:val="both"/>
        <w:rPr>
          <w:rFonts w:ascii="Arial" w:eastAsia="Arial" w:hAnsi="Arial" w:cs="Arial"/>
          <w:color w:val="000000"/>
          <w:bdr w:val="nil"/>
          <w:lang w:val="en-US" w:bidi="en-US"/>
        </w:rPr>
      </w:pPr>
    </w:p>
    <w:p w14:paraId="71F3E0D7" w14:textId="77777777" w:rsidR="0097158C" w:rsidRPr="0097158C" w:rsidRDefault="003A4815" w:rsidP="003C29DC">
      <w:pPr>
        <w:keepNext/>
        <w:keepLines/>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 xml:space="preserve">In </w:t>
      </w:r>
      <w:r>
        <w:rPr>
          <w:rFonts w:ascii="Arial" w:eastAsia="Arial" w:hAnsi="Arial" w:cs="Arial"/>
          <w:color w:val="000000"/>
          <w:lang w:val="en-US" w:bidi="en-US"/>
        </w:rPr>
        <w:t>February</w:t>
      </w:r>
      <w:r w:rsidRPr="0097158C">
        <w:rPr>
          <w:rFonts w:ascii="Arial" w:eastAsia="Arial" w:hAnsi="Arial" w:cs="Arial"/>
          <w:color w:val="000000"/>
          <w:lang w:val="en-US" w:bidi="en-US"/>
        </w:rPr>
        <w:t xml:space="preserve"> 2025, we agreed to sell to an unrelated third party, the vessel Alcmene, for $11.9 million. The vessel was delivered to her new owners on </w:t>
      </w:r>
      <w:r>
        <w:rPr>
          <w:rFonts w:ascii="Arial" w:eastAsia="Arial" w:hAnsi="Arial" w:cs="Arial"/>
          <w:color w:val="000000"/>
          <w:lang w:val="en-US" w:bidi="en-US"/>
        </w:rPr>
        <w:t>March</w:t>
      </w:r>
      <w:r w:rsidRPr="0097158C">
        <w:rPr>
          <w:rFonts w:ascii="Arial" w:eastAsia="Arial" w:hAnsi="Arial" w:cs="Arial"/>
          <w:color w:val="000000"/>
          <w:lang w:val="en-US" w:bidi="en-US"/>
        </w:rPr>
        <w:t xml:space="preserve"> </w:t>
      </w:r>
      <w:r>
        <w:rPr>
          <w:rFonts w:ascii="Arial" w:eastAsia="Arial" w:hAnsi="Arial" w:cs="Arial"/>
          <w:color w:val="000000"/>
          <w:lang w:val="en-US" w:bidi="en-US"/>
        </w:rPr>
        <w:t>13</w:t>
      </w:r>
      <w:r w:rsidRPr="0097158C">
        <w:rPr>
          <w:rFonts w:ascii="Arial" w:eastAsia="Arial" w:hAnsi="Arial" w:cs="Arial"/>
          <w:color w:val="000000"/>
          <w:lang w:val="en-US" w:bidi="en-US"/>
        </w:rPr>
        <w:t>, 202</w:t>
      </w:r>
      <w:r>
        <w:rPr>
          <w:rFonts w:ascii="Arial" w:eastAsia="Arial" w:hAnsi="Arial" w:cs="Arial"/>
          <w:color w:val="000000"/>
          <w:lang w:val="en-US" w:bidi="en-US"/>
        </w:rPr>
        <w:t>5</w:t>
      </w:r>
      <w:r w:rsidRPr="0097158C">
        <w:rPr>
          <w:rFonts w:ascii="Arial" w:eastAsia="Arial" w:hAnsi="Arial" w:cs="Arial"/>
          <w:color w:val="000000"/>
          <w:lang w:val="en-US" w:bidi="en-US"/>
        </w:rPr>
        <w:t>.</w:t>
      </w:r>
    </w:p>
    <w:p w14:paraId="71F3E0D8"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9"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In February 2024, we agreed to sell to an unrelated third party, the vessel Houston, for $23.3 million. The vessel was delivered to her new owners on September 4, 2024.</w:t>
      </w:r>
    </w:p>
    <w:p w14:paraId="71F3E0DA"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B"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 xml:space="preserve">In January 2024, we agreed to sell to an unrelated third party, the vessel Artemis, for the purchase price of $13.0 million. The vessel was delivered to her new owners on March 5, 2024. </w:t>
      </w:r>
    </w:p>
    <w:p w14:paraId="71F3E0DC"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D"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In October 2023, we agreed to sell to an unrelated third party, the vessel Boston, for $18.0 million. The vessel was delivered to her new owners on December 6, 2023.</w:t>
      </w:r>
    </w:p>
    <w:p w14:paraId="71F3E0DE" w14:textId="77777777" w:rsidR="0097158C" w:rsidRPr="0097158C" w:rsidRDefault="0097158C" w:rsidP="0097158C">
      <w:pPr>
        <w:pBdr>
          <w:top w:val="nil"/>
          <w:left w:val="nil"/>
          <w:bottom w:val="nil"/>
          <w:right w:val="nil"/>
          <w:between w:val="nil"/>
          <w:bar w:val="nil"/>
        </w:pBdr>
        <w:jc w:val="both"/>
        <w:rPr>
          <w:rFonts w:ascii="Arial" w:eastAsia="Arial" w:hAnsi="Arial" w:cs="Arial"/>
          <w:color w:val="000000"/>
          <w:bdr w:val="nil"/>
          <w:lang w:val="en-US" w:bidi="en-US"/>
        </w:rPr>
      </w:pPr>
    </w:p>
    <w:p w14:paraId="71F3E0DF"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In February 2023, we agreed to sell to OceanPal, a related party, the vessel Melia, for $14.0 million, of which $4.0 million was paid in cash and $10.0 million through 13,157 of OceanPal Series D Convertible Preferred Shares. The vessel was delivered to her new owners on February 8, 2023.</w:t>
      </w:r>
    </w:p>
    <w:p w14:paraId="71F3E0E0" w14:textId="77777777" w:rsidR="0097158C" w:rsidRPr="0097158C" w:rsidRDefault="0097158C" w:rsidP="0097158C">
      <w:pPr>
        <w:pBdr>
          <w:top w:val="nil"/>
          <w:left w:val="nil"/>
          <w:bottom w:val="nil"/>
          <w:right w:val="nil"/>
          <w:between w:val="nil"/>
          <w:bar w:val="nil"/>
        </w:pBdr>
        <w:jc w:val="both"/>
        <w:rPr>
          <w:rFonts w:ascii="Arial" w:eastAsia="Arial" w:hAnsi="Arial" w:cs="Arial"/>
          <w:szCs w:val="24"/>
          <w:bdr w:val="nil"/>
          <w:lang w:val="en-GB" w:bidi="en-US"/>
        </w:rPr>
      </w:pPr>
    </w:p>
    <w:p w14:paraId="71F3E0E1" w14:textId="77777777" w:rsidR="0097158C" w:rsidRPr="0097158C" w:rsidRDefault="003A4815" w:rsidP="0097158C">
      <w:pPr>
        <w:pBdr>
          <w:top w:val="nil"/>
          <w:left w:val="nil"/>
          <w:bottom w:val="nil"/>
          <w:right w:val="nil"/>
          <w:between w:val="nil"/>
          <w:bar w:val="nil"/>
        </w:pBdr>
        <w:jc w:val="both"/>
        <w:rPr>
          <w:rFonts w:ascii="Arial" w:eastAsia="Arial" w:hAnsi="Arial" w:cs="Arial"/>
          <w:color w:val="000000"/>
          <w:bdr w:val="nil"/>
          <w:lang w:val="en-US" w:bidi="en-US"/>
        </w:rPr>
      </w:pPr>
      <w:r w:rsidRPr="0097158C">
        <w:rPr>
          <w:rFonts w:ascii="Arial" w:eastAsia="Arial" w:hAnsi="Arial" w:cs="Arial"/>
          <w:color w:val="000000"/>
          <w:lang w:val="en-US" w:bidi="en-US"/>
        </w:rPr>
        <w:t>In January 2023, we agreed to sell to an unrelated third party, the vessel Aliki, for $15.08 million. The vessel was delivered to her new owners on February 8, 2023.</w:t>
      </w:r>
      <w:bookmarkEnd w:id="110"/>
    </w:p>
    <w:p w14:paraId="71F3E0E2" w14:textId="77777777" w:rsidR="00510CAA" w:rsidRDefault="00510CAA">
      <w:pPr>
        <w:pBdr>
          <w:top w:val="nil"/>
          <w:left w:val="nil"/>
          <w:bottom w:val="nil"/>
          <w:right w:val="nil"/>
          <w:between w:val="nil"/>
          <w:bar w:val="nil"/>
        </w:pBdr>
        <w:jc w:val="both"/>
        <w:rPr>
          <w:rFonts w:ascii="Arial" w:eastAsia="Arial" w:hAnsi="Arial" w:cs="Arial"/>
          <w:bdr w:val="nil"/>
        </w:rPr>
      </w:pPr>
    </w:p>
    <w:p w14:paraId="71F3E0E3" w14:textId="77777777" w:rsidR="0057486A" w:rsidRPr="00F52A25" w:rsidRDefault="003A4815" w:rsidP="00434398">
      <w:pPr>
        <w:pStyle w:val="Heading2"/>
        <w:keepLines/>
        <w:pBdr>
          <w:top w:val="nil"/>
          <w:left w:val="nil"/>
          <w:bottom w:val="nil"/>
          <w:right w:val="nil"/>
          <w:between w:val="nil"/>
          <w:bar w:val="nil"/>
        </w:pBdr>
        <w:ind w:left="714"/>
        <w:jc w:val="both"/>
        <w:rPr>
          <w:rFonts w:ascii="Arial" w:eastAsia="Arial" w:hAnsi="Arial" w:cs="Arial"/>
          <w:color w:val="auto"/>
          <w:szCs w:val="24"/>
          <w:bdr w:val="nil"/>
          <w:lang w:val="en-GB"/>
        </w:rPr>
      </w:pPr>
      <w:bookmarkStart w:id="111" w:name="RG_MARKER_23051"/>
      <w:r w:rsidRPr="00F52A25">
        <w:rPr>
          <w:rFonts w:ascii="Arial" w:eastAsia="Arial" w:hAnsi="Arial" w:cs="Arial"/>
          <w:color w:val="auto"/>
          <w:szCs w:val="24"/>
          <w:lang w:val="en-GB"/>
        </w:rPr>
        <w:t>B.</w:t>
      </w:r>
      <w:bookmarkEnd w:id="111"/>
      <w:r w:rsidRPr="00F52A25">
        <w:rPr>
          <w:rFonts w:ascii="Arial" w:eastAsia="Arial" w:hAnsi="Arial" w:cs="Arial"/>
          <w:color w:val="auto"/>
          <w:szCs w:val="24"/>
          <w:lang w:val="en-GB"/>
        </w:rPr>
        <w:tab/>
        <w:t>Business overview</w:t>
      </w:r>
    </w:p>
    <w:p w14:paraId="71F3E0E4" w14:textId="77777777" w:rsidR="00FC27C0" w:rsidRPr="00F52A25" w:rsidRDefault="00FC27C0" w:rsidP="00434398">
      <w:pPr>
        <w:keepNext/>
        <w:keepLines/>
        <w:pBdr>
          <w:top w:val="nil"/>
          <w:left w:val="nil"/>
          <w:bottom w:val="nil"/>
          <w:right w:val="nil"/>
          <w:between w:val="nil"/>
          <w:bar w:val="nil"/>
        </w:pBdr>
        <w:jc w:val="both"/>
        <w:rPr>
          <w:rFonts w:ascii="Arial" w:eastAsia="Arial" w:hAnsi="Arial" w:cs="Arial"/>
          <w:bdr w:val="nil"/>
          <w:lang w:val="en-GB" w:eastAsia="el-GR"/>
        </w:rPr>
      </w:pPr>
    </w:p>
    <w:p w14:paraId="71F3E0E5" w14:textId="77777777" w:rsidR="009021F7" w:rsidRPr="00F52A25" w:rsidRDefault="003A4815" w:rsidP="00F52A25">
      <w:pPr>
        <w:pBdr>
          <w:top w:val="nil"/>
          <w:left w:val="nil"/>
          <w:bottom w:val="nil"/>
          <w:right w:val="nil"/>
          <w:between w:val="nil"/>
          <w:bar w:val="nil"/>
        </w:pBdr>
        <w:jc w:val="both"/>
        <w:rPr>
          <w:rFonts w:ascii="Arial" w:eastAsia="Arial" w:hAnsi="Arial" w:cs="Arial"/>
          <w:color w:val="000000"/>
          <w:bdr w:val="nil"/>
          <w:lang w:val="en-US"/>
        </w:rPr>
      </w:pPr>
      <w:r w:rsidRPr="00F52A25">
        <w:rPr>
          <w:rFonts w:ascii="Arial" w:eastAsia="Arial" w:hAnsi="Arial" w:cs="Arial"/>
          <w:lang w:val="en-US"/>
        </w:rPr>
        <w:t xml:space="preserve">We specialize in the ownership and bareboat charter-in of dry bulk vessels, determined as one business segment. </w:t>
      </w:r>
      <w:r w:rsidRPr="00F52A25">
        <w:rPr>
          <w:rFonts w:ascii="Arial" w:eastAsia="Arial" w:hAnsi="Arial" w:cs="Arial"/>
          <w:color w:val="000000"/>
          <w:bdr w:val="none" w:sz="0" w:space="0" w:color="auto" w:frame="1"/>
          <w:lang w:val="en-US"/>
        </w:rPr>
        <w:t>Each of our vessels is owned through a separate wholly-owned subsidiary.</w:t>
      </w:r>
      <w:r w:rsidRPr="00F52A25">
        <w:rPr>
          <w:rFonts w:ascii="Arial" w:eastAsia="Arial" w:hAnsi="Arial" w:cs="Arial"/>
          <w:lang w:val="en-US"/>
        </w:rPr>
        <w:t xml:space="preserve"> </w:t>
      </w:r>
    </w:p>
    <w:p w14:paraId="71F3E0E6" w14:textId="77777777" w:rsidR="00D45DED" w:rsidRPr="00F52A25" w:rsidRDefault="00D45DED" w:rsidP="00F52A25">
      <w:pPr>
        <w:pStyle w:val="Normal17"/>
        <w:pBdr>
          <w:top w:val="nil"/>
          <w:left w:val="nil"/>
          <w:bottom w:val="nil"/>
          <w:right w:val="nil"/>
          <w:between w:val="nil"/>
          <w:bar w:val="nil"/>
        </w:pBdr>
        <w:rPr>
          <w:rFonts w:ascii="Arial" w:eastAsia="Arial" w:hAnsi="Arial" w:cs="Arial"/>
          <w:bdr w:val="nil"/>
          <w:lang w:val="en-US"/>
        </w:rPr>
      </w:pPr>
    </w:p>
    <w:p w14:paraId="71F3E0E7" w14:textId="77777777" w:rsidR="00973216" w:rsidRPr="00F52A25" w:rsidRDefault="003A4815" w:rsidP="00F52A25">
      <w:pPr>
        <w:pStyle w:val="Numberedbody-notes40"/>
        <w:numPr>
          <w:ilvl w:val="0"/>
          <w:numId w:val="0"/>
        </w:numPr>
        <w:pBdr>
          <w:top w:val="nil"/>
          <w:left w:val="nil"/>
          <w:bottom w:val="nil"/>
          <w:right w:val="nil"/>
          <w:between w:val="nil"/>
          <w:bar w:val="nil"/>
        </w:pBdr>
        <w:spacing w:before="0" w:after="0"/>
        <w:rPr>
          <w:rFonts w:ascii="Arial" w:eastAsia="Arial" w:hAnsi="Arial" w:cs="Arial"/>
          <w:szCs w:val="22"/>
          <w:bdr w:val="nil"/>
          <w:lang w:val="en-US"/>
        </w:rPr>
      </w:pPr>
      <w:r w:rsidRPr="00F52A25">
        <w:rPr>
          <w:rFonts w:ascii="Arial" w:eastAsia="Arial" w:hAnsi="Arial" w:cs="Arial"/>
          <w:szCs w:val="22"/>
          <w:lang w:val="en-US"/>
        </w:rPr>
        <w:t xml:space="preserve">As of the date of this report, our fleet </w:t>
      </w:r>
      <w:r>
        <w:rPr>
          <w:rFonts w:ascii="Arial" w:eastAsia="Arial" w:hAnsi="Arial" w:cs="Arial"/>
          <w:lang w:val="en-US"/>
        </w:rPr>
        <w:t>consisted of 38 vessels of which 3</w:t>
      </w:r>
      <w:r w:rsidR="008D2D34">
        <w:rPr>
          <w:rFonts w:ascii="Arial" w:eastAsia="Arial" w:hAnsi="Arial" w:cs="Arial"/>
          <w:lang w:val="en-US"/>
        </w:rPr>
        <w:t>6</w:t>
      </w:r>
      <w:r>
        <w:rPr>
          <w:rFonts w:ascii="Arial" w:eastAsia="Arial" w:hAnsi="Arial" w:cs="Arial"/>
          <w:lang w:val="en-US"/>
        </w:rPr>
        <w:t xml:space="preserve"> in operation, owned and chartered-in, having a combined carrying capacity of 4.1 million dead weight tons, or dwt, and a weighted average age of 12.3 years. We also have two Kamsarmax vessels under construction with expected deliveries in 2027 and 2028.</w:t>
      </w:r>
      <w:r w:rsidRPr="00F52A25">
        <w:rPr>
          <w:rFonts w:ascii="Arial" w:eastAsia="Arial" w:hAnsi="Arial" w:cs="Arial"/>
          <w:szCs w:val="22"/>
          <w:lang w:val="en-US"/>
        </w:rPr>
        <w:t xml:space="preserve"> </w:t>
      </w:r>
    </w:p>
    <w:p w14:paraId="71F3E0E8" w14:textId="77777777" w:rsidR="00F35E7C" w:rsidRPr="00F52A25" w:rsidRDefault="00F35E7C" w:rsidP="00F52A25">
      <w:pPr>
        <w:pStyle w:val="Normal17"/>
        <w:pBdr>
          <w:top w:val="nil"/>
          <w:left w:val="nil"/>
          <w:bottom w:val="nil"/>
          <w:right w:val="nil"/>
          <w:between w:val="nil"/>
          <w:bar w:val="nil"/>
        </w:pBdr>
        <w:rPr>
          <w:rFonts w:ascii="Arial" w:eastAsia="Arial" w:hAnsi="Arial" w:cs="Arial"/>
          <w:bdr w:val="nil"/>
          <w:lang w:val="en-US"/>
        </w:rPr>
      </w:pPr>
    </w:p>
    <w:p w14:paraId="71F3E0E9" w14:textId="77777777" w:rsidR="008366DF" w:rsidRPr="00F52A25" w:rsidRDefault="003A4815" w:rsidP="00F52A25">
      <w:pPr>
        <w:pStyle w:val="Normal17"/>
        <w:pBdr>
          <w:top w:val="nil"/>
          <w:left w:val="nil"/>
          <w:bottom w:val="nil"/>
          <w:right w:val="nil"/>
          <w:between w:val="nil"/>
          <w:bar w:val="nil"/>
        </w:pBdr>
        <w:rPr>
          <w:rFonts w:ascii="Arial" w:eastAsia="Arial" w:hAnsi="Arial" w:cs="Arial"/>
          <w:bdr w:val="nil"/>
          <w:lang w:val="en-US"/>
        </w:rPr>
      </w:pPr>
      <w:r w:rsidRPr="00F52A25">
        <w:rPr>
          <w:rFonts w:ascii="Arial" w:eastAsia="Arial" w:hAnsi="Arial" w:cs="Arial"/>
          <w:lang w:val="en-US"/>
        </w:rPr>
        <w:t xml:space="preserve">As of December 31, 2025, </w:t>
      </w:r>
      <w:r>
        <w:rPr>
          <w:rFonts w:ascii="Arial" w:eastAsia="Arial" w:hAnsi="Arial" w:cs="Arial"/>
          <w:lang w:val="en-US"/>
        </w:rPr>
        <w:t>we had a fleet</w:t>
      </w:r>
      <w:r w:rsidRPr="00F52A25">
        <w:rPr>
          <w:rFonts w:ascii="Arial" w:eastAsia="Arial" w:hAnsi="Arial" w:cs="Arial"/>
          <w:lang w:val="en-US"/>
        </w:rPr>
        <w:t xml:space="preserve"> of 36 dry bulk carriers</w:t>
      </w:r>
      <w:r>
        <w:rPr>
          <w:rFonts w:ascii="Arial" w:eastAsia="Arial" w:hAnsi="Arial" w:cs="Arial"/>
          <w:lang w:val="en-US"/>
        </w:rPr>
        <w:t>, owned and chartered-in, consisting</w:t>
      </w:r>
      <w:r w:rsidRPr="00F52A25">
        <w:rPr>
          <w:rFonts w:ascii="Arial" w:eastAsia="Arial" w:hAnsi="Arial" w:cs="Arial"/>
          <w:lang w:val="en-US"/>
        </w:rPr>
        <w:t xml:space="preserve"> of nine Ultramax, five Panamax, six Kamsarmax, four Post-Panamax, eight Capesize and four Newcastlemax vessels, having a combined carrying capacity of approximately 4.1 million dwt and a weighted average age of 12.1 years. </w:t>
      </w:r>
    </w:p>
    <w:p w14:paraId="71F3E0EA" w14:textId="77777777" w:rsidR="005E6555" w:rsidRPr="00F52A25" w:rsidRDefault="005E6555" w:rsidP="00F52A25">
      <w:pPr>
        <w:pStyle w:val="Normal17"/>
        <w:pBdr>
          <w:top w:val="nil"/>
          <w:left w:val="nil"/>
          <w:bottom w:val="nil"/>
          <w:right w:val="nil"/>
          <w:between w:val="nil"/>
          <w:bar w:val="nil"/>
        </w:pBdr>
        <w:tabs>
          <w:tab w:val="left" w:pos="4560"/>
        </w:tabs>
        <w:rPr>
          <w:rFonts w:ascii="Arial" w:eastAsia="Arial" w:hAnsi="Arial" w:cs="Arial"/>
          <w:bdr w:val="nil"/>
          <w:lang w:val="en-US"/>
        </w:rPr>
      </w:pPr>
    </w:p>
    <w:p w14:paraId="71F3E0EB" w14:textId="77777777" w:rsidR="006C113C" w:rsidRDefault="003A4815" w:rsidP="00CD2DA8">
      <w:pPr>
        <w:pStyle w:val="Normal17"/>
        <w:pBdr>
          <w:top w:val="nil"/>
          <w:left w:val="nil"/>
          <w:bottom w:val="nil"/>
          <w:right w:val="nil"/>
          <w:between w:val="nil"/>
          <w:bar w:val="nil"/>
        </w:pBdr>
        <w:rPr>
          <w:rFonts w:ascii="Arial" w:eastAsia="Arial" w:hAnsi="Arial" w:cs="Arial"/>
          <w:bdr w:val="nil"/>
          <w:lang w:val="en-US"/>
        </w:rPr>
      </w:pPr>
      <w:r w:rsidRPr="00F52A25">
        <w:rPr>
          <w:rFonts w:ascii="Arial" w:eastAsia="Arial" w:hAnsi="Arial" w:cs="Arial"/>
          <w:lang w:val="en-US"/>
        </w:rPr>
        <w:t xml:space="preserve">As of December 31, 2024, </w:t>
      </w:r>
      <w:r>
        <w:rPr>
          <w:rFonts w:ascii="Arial" w:eastAsia="Arial" w:hAnsi="Arial" w:cs="Arial"/>
          <w:lang w:val="en-US"/>
        </w:rPr>
        <w:t>we had a fleet</w:t>
      </w:r>
      <w:r w:rsidRPr="00F52A25">
        <w:rPr>
          <w:rFonts w:ascii="Arial" w:eastAsia="Arial" w:hAnsi="Arial" w:cs="Arial"/>
          <w:lang w:val="en-US"/>
        </w:rPr>
        <w:t xml:space="preserve"> of 38 dry bulk carriers, </w:t>
      </w:r>
      <w:r w:rsidR="002A7698">
        <w:rPr>
          <w:rFonts w:ascii="Arial" w:eastAsia="Arial" w:hAnsi="Arial" w:cs="Arial"/>
          <w:lang w:val="en-US"/>
        </w:rPr>
        <w:t xml:space="preserve">owned and chartered-in, </w:t>
      </w:r>
      <w:r>
        <w:rPr>
          <w:rFonts w:ascii="Arial" w:eastAsia="Arial" w:hAnsi="Arial" w:cs="Arial"/>
          <w:lang w:val="en-US"/>
        </w:rPr>
        <w:t>consisting of</w:t>
      </w:r>
      <w:r w:rsidRPr="00F52A25">
        <w:rPr>
          <w:rFonts w:ascii="Arial" w:eastAsia="Arial" w:hAnsi="Arial" w:cs="Arial"/>
          <w:lang w:val="en-US"/>
        </w:rPr>
        <w:t xml:space="preserve"> </w:t>
      </w:r>
      <w:r w:rsidR="002A7698" w:rsidRPr="00F52A25">
        <w:rPr>
          <w:rFonts w:ascii="Arial" w:eastAsia="Arial" w:hAnsi="Arial" w:cs="Arial"/>
          <w:lang w:val="en-US"/>
        </w:rPr>
        <w:t xml:space="preserve">nine </w:t>
      </w:r>
      <w:r w:rsidRPr="00F52A25">
        <w:rPr>
          <w:rFonts w:ascii="Arial" w:eastAsia="Arial" w:hAnsi="Arial" w:cs="Arial"/>
          <w:lang w:val="en-US"/>
        </w:rPr>
        <w:t>Ultramax</w:t>
      </w:r>
      <w:r>
        <w:rPr>
          <w:rFonts w:ascii="Arial" w:eastAsia="Arial" w:hAnsi="Arial" w:cs="Arial"/>
          <w:lang w:val="en-US"/>
        </w:rPr>
        <w:t>,</w:t>
      </w:r>
      <w:r w:rsidRPr="00F52A25">
        <w:rPr>
          <w:rFonts w:ascii="Arial" w:eastAsia="Arial" w:hAnsi="Arial" w:cs="Arial"/>
          <w:lang w:val="en-US"/>
        </w:rPr>
        <w:t xml:space="preserve"> six Panamax, six Kamsarmax, five Post-Panamax, eight Capesize and four Newcastlemax vessels, having a combined carrying capacity of approximately 4.2 million dwt and a weighted average age of 11.3 years.</w:t>
      </w:r>
    </w:p>
    <w:p w14:paraId="71F3E0EC" w14:textId="77777777" w:rsidR="006C113C" w:rsidRDefault="006C113C" w:rsidP="00CD2DA8">
      <w:pPr>
        <w:pStyle w:val="Normal17"/>
        <w:pBdr>
          <w:top w:val="nil"/>
          <w:left w:val="nil"/>
          <w:bottom w:val="nil"/>
          <w:right w:val="nil"/>
          <w:between w:val="nil"/>
          <w:bar w:val="nil"/>
        </w:pBdr>
        <w:rPr>
          <w:rFonts w:ascii="Arial" w:eastAsia="Arial" w:hAnsi="Arial" w:cs="Arial"/>
          <w:bdr w:val="nil"/>
          <w:lang w:val="en-US"/>
        </w:rPr>
      </w:pPr>
    </w:p>
    <w:p w14:paraId="71F3E0ED" w14:textId="77777777" w:rsidR="00CD2DA8" w:rsidRPr="00F52A25" w:rsidRDefault="003A4815" w:rsidP="006C113C">
      <w:pPr>
        <w:pStyle w:val="Normal17"/>
        <w:pBdr>
          <w:top w:val="nil"/>
          <w:left w:val="nil"/>
          <w:bottom w:val="nil"/>
          <w:right w:val="nil"/>
          <w:between w:val="nil"/>
          <w:bar w:val="nil"/>
        </w:pBdr>
        <w:rPr>
          <w:rFonts w:ascii="Arial" w:eastAsia="Arial" w:hAnsi="Arial" w:cs="Arial"/>
          <w:bdr w:val="nil"/>
          <w:lang w:val="en-US"/>
        </w:rPr>
      </w:pPr>
      <w:r w:rsidRPr="006C113C">
        <w:rPr>
          <w:rFonts w:ascii="Arial" w:eastAsia="Arial" w:hAnsi="Arial" w:cs="Arial"/>
          <w:lang w:val="en-US"/>
        </w:rPr>
        <w:t xml:space="preserve">As of December 31, </w:t>
      </w:r>
      <w:r w:rsidR="002A7698">
        <w:rPr>
          <w:rFonts w:ascii="Arial" w:eastAsia="Arial" w:hAnsi="Arial" w:cs="Arial"/>
          <w:lang w:val="en-US"/>
        </w:rPr>
        <w:t>2023</w:t>
      </w:r>
      <w:r w:rsidRPr="006C113C">
        <w:rPr>
          <w:rFonts w:ascii="Arial" w:eastAsia="Arial" w:hAnsi="Arial" w:cs="Arial"/>
          <w:lang w:val="en-US"/>
        </w:rPr>
        <w:t xml:space="preserve">, we had a fleet of </w:t>
      </w:r>
      <w:r w:rsidRPr="00F52A25">
        <w:rPr>
          <w:rFonts w:ascii="Arial" w:eastAsia="Arial" w:hAnsi="Arial" w:cs="Arial"/>
          <w:lang w:val="en-US"/>
        </w:rPr>
        <w:t>40</w:t>
      </w:r>
      <w:r w:rsidRPr="006C113C">
        <w:rPr>
          <w:rFonts w:ascii="Arial" w:eastAsia="Arial" w:hAnsi="Arial" w:cs="Arial"/>
          <w:lang w:val="en-US"/>
        </w:rPr>
        <w:t xml:space="preserve"> dry bulk carriers, consisting of </w:t>
      </w:r>
      <w:r w:rsidR="00EA1F11">
        <w:rPr>
          <w:rFonts w:ascii="Arial" w:eastAsia="Arial" w:hAnsi="Arial" w:cs="Arial"/>
          <w:lang w:val="en-US"/>
        </w:rPr>
        <w:t>nine</w:t>
      </w:r>
      <w:r w:rsidRPr="006C113C">
        <w:rPr>
          <w:rFonts w:ascii="Arial" w:eastAsia="Arial" w:hAnsi="Arial" w:cs="Arial"/>
          <w:lang w:val="en-US"/>
        </w:rPr>
        <w:t xml:space="preserve"> Ultramax, </w:t>
      </w:r>
      <w:r w:rsidRPr="00F52A25">
        <w:rPr>
          <w:rFonts w:ascii="Arial" w:eastAsia="Arial" w:hAnsi="Arial" w:cs="Arial"/>
          <w:lang w:val="en-US"/>
        </w:rPr>
        <w:t>seven</w:t>
      </w:r>
      <w:r>
        <w:rPr>
          <w:rFonts w:ascii="Arial" w:eastAsia="Arial" w:hAnsi="Arial" w:cs="Arial"/>
          <w:lang w:val="en-US"/>
        </w:rPr>
        <w:t xml:space="preserve"> </w:t>
      </w:r>
      <w:r w:rsidRPr="006C113C">
        <w:rPr>
          <w:rFonts w:ascii="Arial" w:eastAsia="Arial" w:hAnsi="Arial" w:cs="Arial"/>
          <w:lang w:val="en-US"/>
        </w:rPr>
        <w:t xml:space="preserve">Panamax, </w:t>
      </w:r>
      <w:r w:rsidRPr="00F52A25">
        <w:rPr>
          <w:rFonts w:ascii="Arial" w:eastAsia="Arial" w:hAnsi="Arial" w:cs="Arial"/>
          <w:lang w:val="en-US"/>
        </w:rPr>
        <w:t>six</w:t>
      </w:r>
      <w:r w:rsidRPr="006C113C">
        <w:rPr>
          <w:rFonts w:ascii="Arial" w:eastAsia="Arial" w:hAnsi="Arial" w:cs="Arial"/>
          <w:lang w:val="en-US"/>
        </w:rPr>
        <w:t xml:space="preserve"> Kamsarmax, </w:t>
      </w:r>
      <w:r w:rsidRPr="00F52A25">
        <w:rPr>
          <w:rFonts w:ascii="Arial" w:eastAsia="Arial" w:hAnsi="Arial" w:cs="Arial"/>
          <w:lang w:val="en-US"/>
        </w:rPr>
        <w:t>five</w:t>
      </w:r>
      <w:r w:rsidRPr="006C113C">
        <w:rPr>
          <w:rFonts w:ascii="Arial" w:eastAsia="Arial" w:hAnsi="Arial" w:cs="Arial"/>
          <w:lang w:val="en-US"/>
        </w:rPr>
        <w:t xml:space="preserve"> Post-Panamax, </w:t>
      </w:r>
      <w:r w:rsidRPr="00F52A25">
        <w:rPr>
          <w:rFonts w:ascii="Arial" w:eastAsia="Arial" w:hAnsi="Arial" w:cs="Arial"/>
          <w:lang w:val="en-US"/>
        </w:rPr>
        <w:t>nine Capesize and four Newcastlemax vessels</w:t>
      </w:r>
      <w:r w:rsidRPr="006C113C">
        <w:rPr>
          <w:rFonts w:ascii="Arial" w:eastAsia="Arial" w:hAnsi="Arial" w:cs="Arial"/>
          <w:lang w:val="en-US"/>
        </w:rPr>
        <w:t>,</w:t>
      </w:r>
      <w:r>
        <w:rPr>
          <w:rFonts w:ascii="Arial" w:eastAsia="Arial" w:hAnsi="Arial" w:cs="Arial"/>
          <w:lang w:val="en-US"/>
        </w:rPr>
        <w:t xml:space="preserve"> </w:t>
      </w:r>
      <w:r w:rsidRPr="006C113C">
        <w:rPr>
          <w:rFonts w:ascii="Arial" w:eastAsia="Arial" w:hAnsi="Arial" w:cs="Arial"/>
          <w:lang w:val="en-US"/>
        </w:rPr>
        <w:t>having</w:t>
      </w:r>
      <w:r>
        <w:rPr>
          <w:rFonts w:ascii="Arial" w:eastAsia="Arial" w:hAnsi="Arial" w:cs="Arial"/>
          <w:lang w:val="en-US"/>
        </w:rPr>
        <w:t xml:space="preserve"> </w:t>
      </w:r>
      <w:r w:rsidRPr="006C113C">
        <w:rPr>
          <w:rFonts w:ascii="Arial" w:eastAsia="Arial" w:hAnsi="Arial" w:cs="Arial"/>
          <w:lang w:val="en-US"/>
        </w:rPr>
        <w:t xml:space="preserve">a combined carrying capacity of approximately </w:t>
      </w:r>
      <w:r w:rsidRPr="00F52A25">
        <w:rPr>
          <w:rFonts w:ascii="Arial" w:eastAsia="Arial" w:hAnsi="Arial" w:cs="Arial"/>
          <w:lang w:val="en-US"/>
        </w:rPr>
        <w:t>4.5 million dwt and a weighted average age of 10.5 years</w:t>
      </w:r>
      <w:r w:rsidRPr="006C113C">
        <w:rPr>
          <w:rFonts w:ascii="Arial" w:eastAsia="Arial" w:hAnsi="Arial" w:cs="Arial"/>
          <w:lang w:val="en-US"/>
        </w:rPr>
        <w:t>.</w:t>
      </w:r>
    </w:p>
    <w:p w14:paraId="71F3E0EE" w14:textId="77777777" w:rsidR="00EA4664" w:rsidRPr="00F52A25" w:rsidRDefault="00EA4664" w:rsidP="00F52A25">
      <w:pPr>
        <w:pStyle w:val="Normal17"/>
        <w:pBdr>
          <w:top w:val="nil"/>
          <w:left w:val="nil"/>
          <w:bottom w:val="nil"/>
          <w:right w:val="nil"/>
          <w:between w:val="nil"/>
          <w:bar w:val="nil"/>
        </w:pBdr>
        <w:rPr>
          <w:rFonts w:ascii="Arial" w:eastAsia="Arial" w:hAnsi="Arial" w:cs="Arial"/>
          <w:bdr w:val="nil"/>
          <w:lang w:val="en-US"/>
        </w:rPr>
      </w:pPr>
    </w:p>
    <w:p w14:paraId="71F3E0EF" w14:textId="77777777" w:rsidR="00EB5DA0" w:rsidRPr="00F52A25" w:rsidRDefault="003A4815" w:rsidP="00F52A25">
      <w:pPr>
        <w:pBdr>
          <w:top w:val="nil"/>
          <w:left w:val="nil"/>
          <w:bottom w:val="nil"/>
          <w:right w:val="nil"/>
          <w:between w:val="nil"/>
          <w:bar w:val="nil"/>
        </w:pBdr>
        <w:jc w:val="both"/>
        <w:rPr>
          <w:rFonts w:ascii="Arial" w:eastAsia="Arial" w:hAnsi="Arial" w:cs="Arial"/>
          <w:bdr w:val="nil"/>
          <w:lang w:val="en-US"/>
        </w:rPr>
      </w:pPr>
      <w:r w:rsidRPr="00F52A25">
        <w:rPr>
          <w:rFonts w:ascii="Arial" w:eastAsia="Arial" w:hAnsi="Arial" w:cs="Arial"/>
          <w:lang w:val="en-US"/>
        </w:rPr>
        <w:t>During 2025, 2024 and 2023, we had a fleet utilization of 99.7%, 99.7% and 99.7%, respectively, our vessels achieved daily time charter equivalent rates of $15,454, $15,267 and $16,713, respectively, and we generated revenues of $213.5 million, $228.2 million and $262.1 million, respectively.</w:t>
      </w:r>
    </w:p>
    <w:p w14:paraId="71F3E0F0" w14:textId="77777777" w:rsidR="00813A5C" w:rsidRPr="00F52A25" w:rsidRDefault="00813A5C" w:rsidP="00F52A25">
      <w:pPr>
        <w:pBdr>
          <w:top w:val="nil"/>
          <w:left w:val="nil"/>
          <w:bottom w:val="nil"/>
          <w:right w:val="nil"/>
          <w:between w:val="nil"/>
          <w:bar w:val="nil"/>
        </w:pBdr>
        <w:jc w:val="both"/>
        <w:rPr>
          <w:rFonts w:ascii="Arial" w:eastAsia="Arial" w:hAnsi="Arial" w:cs="Arial"/>
          <w:bdr w:val="nil"/>
          <w:lang w:val="en-US"/>
        </w:rPr>
      </w:pPr>
    </w:p>
    <w:p w14:paraId="71F3E0F1" w14:textId="77777777" w:rsidR="0031103D" w:rsidRPr="004E056A" w:rsidRDefault="003A4815" w:rsidP="0031103D">
      <w:pPr>
        <w:pStyle w:val="Normal130"/>
        <w:pBdr>
          <w:top w:val="nil"/>
          <w:left w:val="nil"/>
          <w:bottom w:val="nil"/>
          <w:right w:val="nil"/>
          <w:between w:val="nil"/>
          <w:bar w:val="nil"/>
        </w:pBdr>
        <w:rPr>
          <w:rFonts w:ascii="Arial" w:eastAsia="Arial" w:hAnsi="Arial" w:cs="Arial"/>
          <w:bdr w:val="nil"/>
          <w:lang w:val="en-US"/>
        </w:rPr>
      </w:pPr>
      <w:r w:rsidRPr="00F52A25">
        <w:rPr>
          <w:rFonts w:ascii="Arial" w:eastAsia="Arial" w:hAnsi="Arial" w:cs="Arial"/>
          <w:bdr w:val="none" w:sz="0" w:space="0" w:color="auto" w:frame="1"/>
          <w:lang w:val="en-US"/>
        </w:rPr>
        <w:t xml:space="preserve">We operate our vessels worldwide, in markets that have historically exhibited seasonal variations in demand and, as a result, in charter hire rates. The dry bulk carrier market is typically stronger in the fall and winter months in anticipation of increased consumption of coal and other raw materials in the northern hemisphere during the winter months. In addition, unpredictable weather patterns in these months tend to disrupt vessel scheduling and supplies of certain commodities. </w:t>
      </w:r>
      <w:r w:rsidRPr="004E056A">
        <w:rPr>
          <w:rFonts w:ascii="Arial" w:eastAsia="Arial" w:hAnsi="Arial" w:cs="Arial"/>
          <w:bdr w:val="none" w:sz="0" w:space="0" w:color="auto" w:frame="1"/>
          <w:lang w:val="en-US"/>
        </w:rPr>
        <w:t>Currently, the majority of our vessels are employed on short</w:t>
      </w:r>
      <w:r w:rsidRPr="004E056A">
        <w:rPr>
          <w:rFonts w:ascii="Arial" w:eastAsia="Arial" w:hAnsi="Arial" w:cs="Arial"/>
          <w:bdr w:val="none" w:sz="0" w:space="0" w:color="auto" w:frame="1"/>
          <w:lang w:val="en-US"/>
        </w:rPr>
        <w:noBreakHyphen/>
        <w:t xml:space="preserve"> to medium</w:t>
      </w:r>
      <w:r w:rsidRPr="004E056A">
        <w:rPr>
          <w:rFonts w:ascii="Arial" w:eastAsia="Arial" w:hAnsi="Arial" w:cs="Arial"/>
          <w:bdr w:val="none" w:sz="0" w:space="0" w:color="auto" w:frame="1"/>
          <w:lang w:val="en-US"/>
        </w:rPr>
        <w:noBreakHyphen/>
        <w:t>term time charter agreements</w:t>
      </w:r>
      <w:r>
        <w:rPr>
          <w:rFonts w:ascii="Arial" w:eastAsia="Arial" w:hAnsi="Arial" w:cs="Arial"/>
          <w:bdr w:val="none" w:sz="0" w:space="0" w:color="auto" w:frame="1"/>
          <w:lang w:val="en-US"/>
        </w:rPr>
        <w:t>. W</w:t>
      </w:r>
      <w:r w:rsidRPr="004E056A">
        <w:rPr>
          <w:rFonts w:ascii="Arial" w:eastAsia="Arial" w:hAnsi="Arial" w:cs="Arial"/>
          <w:bdr w:val="none" w:sz="0" w:space="0" w:color="auto" w:frame="1"/>
          <w:lang w:val="en-US"/>
        </w:rPr>
        <w:t xml:space="preserve">e </w:t>
      </w:r>
      <w:r>
        <w:rPr>
          <w:rFonts w:ascii="Arial" w:eastAsia="Arial" w:hAnsi="Arial" w:cs="Arial"/>
          <w:bdr w:val="none" w:sz="0" w:space="0" w:color="auto" w:frame="1"/>
          <w:lang w:val="en-US"/>
        </w:rPr>
        <w:t xml:space="preserve">may </w:t>
      </w:r>
      <w:r w:rsidRPr="004E056A">
        <w:rPr>
          <w:rFonts w:ascii="Arial" w:eastAsia="Arial" w:hAnsi="Arial" w:cs="Arial"/>
          <w:bdr w:val="none" w:sz="0" w:space="0" w:color="auto" w:frame="1"/>
          <w:lang w:val="en-US"/>
        </w:rPr>
        <w:t>fix our vessels on short</w:t>
      </w:r>
      <w:r w:rsidRPr="004E056A">
        <w:rPr>
          <w:rFonts w:ascii="Arial" w:eastAsia="Arial" w:hAnsi="Arial" w:cs="Arial"/>
          <w:bdr w:val="none" w:sz="0" w:space="0" w:color="auto" w:frame="1"/>
          <w:lang w:val="en-US"/>
        </w:rPr>
        <w:noBreakHyphen/>
        <w:t>, medium</w:t>
      </w:r>
      <w:r w:rsidRPr="004E056A">
        <w:rPr>
          <w:rFonts w:ascii="Arial" w:eastAsia="Arial" w:hAnsi="Arial" w:cs="Arial"/>
          <w:bdr w:val="none" w:sz="0" w:space="0" w:color="auto" w:frame="1"/>
          <w:lang w:val="en-US"/>
        </w:rPr>
        <w:noBreakHyphen/>
        <w:t xml:space="preserve"> or long</w:t>
      </w:r>
      <w:r w:rsidRPr="004E056A">
        <w:rPr>
          <w:rFonts w:ascii="Arial" w:eastAsia="Arial" w:hAnsi="Arial" w:cs="Arial"/>
          <w:bdr w:val="none" w:sz="0" w:space="0" w:color="auto" w:frame="1"/>
          <w:lang w:val="en-US"/>
        </w:rPr>
        <w:noBreakHyphen/>
        <w:t>term employment depending on prevailing market conditions, which provides us with flexibility in responding to market developments.</w:t>
      </w:r>
    </w:p>
    <w:p w14:paraId="71F3E0F2" w14:textId="77777777" w:rsidR="0031103D" w:rsidRPr="0031103D" w:rsidRDefault="0031103D" w:rsidP="00F52A25">
      <w:pPr>
        <w:pStyle w:val="Normal130"/>
        <w:pBdr>
          <w:top w:val="nil"/>
          <w:left w:val="nil"/>
          <w:bottom w:val="nil"/>
          <w:right w:val="nil"/>
          <w:between w:val="nil"/>
          <w:bar w:val="nil"/>
        </w:pBdr>
        <w:rPr>
          <w:rFonts w:ascii="Arial" w:eastAsia="Arial" w:hAnsi="Arial" w:cs="Arial"/>
          <w:bdr w:val="nil"/>
          <w:lang w:val="en-US"/>
        </w:rPr>
      </w:pPr>
    </w:p>
    <w:p w14:paraId="71F3E0F3" w14:textId="77777777" w:rsidR="000A31D1" w:rsidRPr="00F52A25" w:rsidRDefault="003A4815" w:rsidP="00F52A25">
      <w:pPr>
        <w:pStyle w:val="Heading3"/>
        <w:keepLines/>
        <w:pBdr>
          <w:top w:val="nil"/>
          <w:left w:val="nil"/>
          <w:bottom w:val="nil"/>
          <w:right w:val="nil"/>
          <w:between w:val="nil"/>
          <w:bar w:val="nil"/>
        </w:pBdr>
        <w:rPr>
          <w:rFonts w:eastAsia="Arial" w:cs="Arial"/>
          <w:i w:val="0"/>
          <w:szCs w:val="22"/>
          <w:bdr w:val="nil"/>
          <w:lang w:val="en-GB"/>
        </w:rPr>
      </w:pPr>
      <w:r w:rsidRPr="00F52A25">
        <w:rPr>
          <w:rFonts w:eastAsia="Arial" w:cs="Arial"/>
          <w:i w:val="0"/>
          <w:szCs w:val="22"/>
          <w:lang w:val="en-GB"/>
        </w:rPr>
        <w:t>Management of Our Fleet</w:t>
      </w:r>
    </w:p>
    <w:p w14:paraId="71F3E0F4" w14:textId="77777777" w:rsidR="000A31D1" w:rsidRPr="00F52A25" w:rsidRDefault="000A31D1" w:rsidP="00F52A25">
      <w:pPr>
        <w:keepNext/>
        <w:keepLines/>
        <w:pBdr>
          <w:top w:val="nil"/>
          <w:left w:val="nil"/>
          <w:bottom w:val="nil"/>
          <w:right w:val="nil"/>
          <w:between w:val="nil"/>
          <w:bar w:val="nil"/>
        </w:pBdr>
        <w:jc w:val="both"/>
        <w:rPr>
          <w:rFonts w:ascii="Arial" w:eastAsia="Arial" w:hAnsi="Arial" w:cs="Arial"/>
          <w:bdr w:val="nil"/>
          <w:lang w:val="en-US"/>
        </w:rPr>
      </w:pPr>
    </w:p>
    <w:p w14:paraId="71F3E0F5" w14:textId="77777777" w:rsidR="000A31D1" w:rsidRPr="00F52A25" w:rsidRDefault="003A4815" w:rsidP="00F52A25">
      <w:pPr>
        <w:pStyle w:val="Normal21"/>
        <w:pBdr>
          <w:top w:val="nil"/>
          <w:left w:val="nil"/>
          <w:bottom w:val="nil"/>
          <w:right w:val="nil"/>
          <w:between w:val="nil"/>
          <w:bar w:val="nil"/>
        </w:pBdr>
        <w:rPr>
          <w:rFonts w:ascii="Arial" w:eastAsia="Arial" w:hAnsi="Arial" w:cs="Arial"/>
          <w:szCs w:val="22"/>
          <w:bdr w:val="nil"/>
        </w:rPr>
      </w:pPr>
      <w:r w:rsidRPr="00F52A25">
        <w:rPr>
          <w:rFonts w:ascii="Arial" w:eastAsia="Arial" w:hAnsi="Arial" w:cs="Arial"/>
          <w:szCs w:val="22"/>
        </w:rPr>
        <w:t xml:space="preserve">The commercial and technical management of our fleet, owned and bareboat chartered-in, as well as the provision of administrative services relating to the fleet’s operations, are carried out by our wholly-owned subsidiary, Diana Shipping Services S.A., which we refer to as DSS, and Diana Wilhelmsen Management Limited, a 50/50 joint venture with Wilhelmsen Ship Management, which we refer to as DWM. In exchange for providing us with commercial and technical services, personnel and office space, we pay DSS a commission, which is a percentage of the managed vessels’ gross revenues, a fixed monthly fee per managed vessel and an additional monthly fee for the administrative services provided to Diana Shipping Inc. Such services may include budgeting, reporting, monitoring of bank accounts, compliance with banks, payroll services and any other possible service that Diana Shipping Inc. would require to perform its operations. Similarly, in exchange for providing us with commercial and technical services, we pay to DWM a commission which is a percentage of the managed vessels’ gross revenues and a fixed management monthly fee for each managed vessel. The amounts deriving from the agreements with DSS are considered inter-company transactions and, therefore, are eliminated from our consolidated financial statements. The management fees and commissions deriving from the agreements with DWM are included in our statement of </w:t>
      </w:r>
      <w:r>
        <w:rPr>
          <w:rFonts w:ascii="Arial" w:eastAsia="Arial" w:hAnsi="Arial" w:cs="Arial"/>
          <w:szCs w:val="22"/>
        </w:rPr>
        <w:t>income</w:t>
      </w:r>
      <w:r w:rsidRPr="00F52A25">
        <w:rPr>
          <w:rFonts w:ascii="Arial" w:eastAsia="Arial" w:hAnsi="Arial" w:cs="Arial"/>
          <w:szCs w:val="22"/>
        </w:rPr>
        <w:t xml:space="preserve"> in “Management fees to </w:t>
      </w:r>
      <w:r>
        <w:rPr>
          <w:rFonts w:ascii="Arial" w:eastAsia="Arial" w:hAnsi="Arial" w:cs="Arial"/>
          <w:szCs w:val="22"/>
        </w:rPr>
        <w:t xml:space="preserve">a </w:t>
      </w:r>
      <w:r w:rsidRPr="00F52A25">
        <w:rPr>
          <w:rFonts w:ascii="Arial" w:eastAsia="Arial" w:hAnsi="Arial" w:cs="Arial"/>
          <w:szCs w:val="22"/>
        </w:rPr>
        <w:t>related party”</w:t>
      </w:r>
      <w:r>
        <w:rPr>
          <w:rFonts w:ascii="Arial" w:eastAsia="Arial" w:hAnsi="Arial" w:cs="Arial"/>
          <w:szCs w:val="22"/>
        </w:rPr>
        <w:t xml:space="preserve"> and </w:t>
      </w:r>
      <w:r w:rsidRPr="00F52A25">
        <w:rPr>
          <w:rFonts w:ascii="Arial" w:eastAsia="Arial" w:hAnsi="Arial" w:cs="Arial"/>
          <w:szCs w:val="22"/>
        </w:rPr>
        <w:t>“Voyage Expenses”</w:t>
      </w:r>
      <w:r>
        <w:rPr>
          <w:rFonts w:ascii="Arial" w:eastAsia="Arial" w:hAnsi="Arial" w:cs="Arial"/>
          <w:szCs w:val="22"/>
        </w:rPr>
        <w:t>.</w:t>
      </w:r>
    </w:p>
    <w:p w14:paraId="71F3E0F6" w14:textId="77777777" w:rsidR="00973216" w:rsidRPr="00F52A25" w:rsidRDefault="00973216" w:rsidP="00F52A25">
      <w:pPr>
        <w:pBdr>
          <w:top w:val="nil"/>
          <w:left w:val="nil"/>
          <w:bottom w:val="nil"/>
          <w:right w:val="nil"/>
          <w:between w:val="nil"/>
          <w:bar w:val="nil"/>
        </w:pBdr>
        <w:jc w:val="both"/>
        <w:rPr>
          <w:rFonts w:ascii="Arial" w:eastAsia="Arial" w:hAnsi="Arial" w:cs="Arial"/>
          <w:bdr w:val="nil"/>
          <w:lang w:val="en-US"/>
        </w:rPr>
      </w:pPr>
    </w:p>
    <w:p w14:paraId="71F3E0F7" w14:textId="77777777" w:rsidR="000A31D1" w:rsidRPr="00F52A25" w:rsidRDefault="003A4815" w:rsidP="00F52A25">
      <w:pPr>
        <w:pBdr>
          <w:top w:val="nil"/>
          <w:left w:val="nil"/>
          <w:bottom w:val="nil"/>
          <w:right w:val="nil"/>
          <w:between w:val="nil"/>
          <w:bar w:val="nil"/>
        </w:pBdr>
        <w:jc w:val="both"/>
        <w:rPr>
          <w:rFonts w:ascii="Arial" w:eastAsia="Arial" w:hAnsi="Arial" w:cs="Arial"/>
          <w:bdr w:val="nil"/>
          <w:lang w:val="en-US"/>
        </w:rPr>
      </w:pPr>
      <w:r w:rsidRPr="00F52A25">
        <w:rPr>
          <w:rFonts w:ascii="Arial" w:eastAsia="Arial" w:hAnsi="Arial" w:cs="Arial"/>
          <w:lang w:val="en-US"/>
        </w:rPr>
        <w:t>Steamship Shipbroking Enterprises Inc., or Steamship, a related party controlled by our CEO Ms. Semiramis Paliou</w:t>
      </w:r>
      <w:r>
        <w:rPr>
          <w:rFonts w:ascii="Arial" w:eastAsia="Arial" w:hAnsi="Arial" w:cs="Arial"/>
          <w:lang w:val="en-US"/>
        </w:rPr>
        <w:t>,</w:t>
      </w:r>
      <w:r w:rsidRPr="00F52A25">
        <w:rPr>
          <w:rFonts w:ascii="Arial" w:eastAsia="Arial" w:hAnsi="Arial" w:cs="Arial"/>
          <w:lang w:val="en-US"/>
        </w:rPr>
        <w:t xml:space="preserve"> provides brokerage services to us, since June 1, 2010. Brokerage fees are included in “General and Administrative expenses” in our statement of </w:t>
      </w:r>
      <w:r>
        <w:rPr>
          <w:rFonts w:ascii="Arial" w:eastAsia="Arial" w:hAnsi="Arial" w:cs="Arial"/>
          <w:lang w:val="en-US"/>
        </w:rPr>
        <w:t>income</w:t>
      </w:r>
      <w:r w:rsidRPr="00F52A25">
        <w:rPr>
          <w:rFonts w:ascii="Arial" w:eastAsia="Arial" w:hAnsi="Arial" w:cs="Arial"/>
          <w:lang w:val="en-US"/>
        </w:rPr>
        <w:t xml:space="preserve">. The terms of this relationship </w:t>
      </w:r>
      <w:r w:rsidRPr="00B4259A">
        <w:rPr>
          <w:rFonts w:ascii="Arial" w:eastAsia="Arial" w:hAnsi="Arial" w:cs="Arial"/>
          <w:lang w:val="en-US"/>
        </w:rPr>
        <w:t>are currently governed by a Brokerage Services Agreement dated February 2</w:t>
      </w:r>
      <w:r>
        <w:rPr>
          <w:rFonts w:ascii="Arial" w:eastAsia="Arial" w:hAnsi="Arial" w:cs="Arial"/>
          <w:lang w:val="en-US"/>
        </w:rPr>
        <w:t>5</w:t>
      </w:r>
      <w:r w:rsidRPr="00B4259A">
        <w:rPr>
          <w:rFonts w:ascii="Arial" w:eastAsia="Arial" w:hAnsi="Arial" w:cs="Arial"/>
          <w:lang w:val="en-US"/>
        </w:rPr>
        <w:t>, 202</w:t>
      </w:r>
      <w:r w:rsidR="009E626F">
        <w:rPr>
          <w:rFonts w:ascii="Arial" w:eastAsia="Arial" w:hAnsi="Arial" w:cs="Arial"/>
          <w:lang w:val="en-US"/>
        </w:rPr>
        <w:t>6</w:t>
      </w:r>
      <w:r w:rsidRPr="00B4259A">
        <w:rPr>
          <w:rFonts w:ascii="Arial" w:eastAsia="Arial" w:hAnsi="Arial" w:cs="Arial"/>
          <w:lang w:val="en-US"/>
        </w:rPr>
        <w:t>.</w:t>
      </w:r>
    </w:p>
    <w:p w14:paraId="71F3E0F8" w14:textId="77777777" w:rsidR="000A31D1" w:rsidRPr="00F52A25" w:rsidRDefault="000A31D1" w:rsidP="00F52A25">
      <w:pPr>
        <w:pBdr>
          <w:top w:val="nil"/>
          <w:left w:val="nil"/>
          <w:bottom w:val="nil"/>
          <w:right w:val="nil"/>
          <w:between w:val="nil"/>
          <w:bar w:val="nil"/>
        </w:pBdr>
        <w:jc w:val="both"/>
        <w:rPr>
          <w:rFonts w:ascii="Arial" w:eastAsia="Arial" w:hAnsi="Arial" w:cs="Arial"/>
          <w:bdr w:val="nil"/>
          <w:lang w:val="en-US"/>
        </w:rPr>
      </w:pPr>
    </w:p>
    <w:p w14:paraId="71F3E0F9" w14:textId="77777777" w:rsidR="000A31D1" w:rsidRDefault="003A4815" w:rsidP="00237A5C">
      <w:pPr>
        <w:keepNext/>
        <w:keepLines/>
        <w:pBdr>
          <w:top w:val="nil"/>
          <w:left w:val="nil"/>
          <w:bottom w:val="nil"/>
          <w:right w:val="nil"/>
          <w:between w:val="nil"/>
          <w:bar w:val="nil"/>
        </w:pBdr>
        <w:jc w:val="both"/>
        <w:rPr>
          <w:rFonts w:ascii="Arial" w:eastAsia="Arial" w:hAnsi="Arial" w:cs="Arial"/>
          <w:bdr w:val="nil"/>
          <w:lang w:val="en-US"/>
        </w:rPr>
      </w:pPr>
      <w:r w:rsidRPr="00F52A25">
        <w:rPr>
          <w:rFonts w:ascii="Arial" w:eastAsia="Arial" w:hAnsi="Arial" w:cs="Arial"/>
          <w:lang w:val="en-US"/>
        </w:rPr>
        <w:t>The following table presents certain information concerning the dry bulk carriers in our fleet, as of the date of this annual report.</w:t>
      </w:r>
    </w:p>
    <w:p w14:paraId="71F3E0FA" w14:textId="77777777" w:rsidR="00F52A25" w:rsidRPr="00F52A25" w:rsidRDefault="00F52A25" w:rsidP="00237A5C">
      <w:pPr>
        <w:keepNext/>
        <w:keepLines/>
        <w:pBdr>
          <w:top w:val="nil"/>
          <w:left w:val="nil"/>
          <w:bottom w:val="nil"/>
          <w:right w:val="nil"/>
          <w:between w:val="nil"/>
          <w:bar w:val="nil"/>
        </w:pBdr>
        <w:jc w:val="both"/>
        <w:rPr>
          <w:rFonts w:ascii="Arial" w:eastAsia="Arial" w:hAnsi="Arial" w:cs="Arial"/>
          <w:bdr w:val="nil"/>
          <w:lang w:val="en-US"/>
        </w:rPr>
      </w:pPr>
    </w:p>
    <w:tbl>
      <w:tblPr>
        <w:tblStyle w:val="CDMRange1"/>
        <w:tblW w:w="11295" w:type="dxa"/>
        <w:tblLayout w:type="fixed"/>
        <w:tblLook w:val="0600" w:firstRow="0" w:lastRow="0" w:firstColumn="0" w:lastColumn="0" w:noHBand="1" w:noVBand="1"/>
      </w:tblPr>
      <w:tblGrid>
        <w:gridCol w:w="450"/>
        <w:gridCol w:w="1425"/>
        <w:gridCol w:w="75"/>
        <w:gridCol w:w="630"/>
        <w:gridCol w:w="1290"/>
        <w:gridCol w:w="660"/>
        <w:gridCol w:w="2595"/>
        <w:gridCol w:w="1410"/>
        <w:gridCol w:w="2100"/>
        <w:gridCol w:w="660"/>
      </w:tblGrid>
      <w:tr w:rsidR="00510CAA" w14:paraId="71F3E0FC" w14:textId="77777777">
        <w:trPr>
          <w:trHeight w:hRule="exact" w:val="285"/>
        </w:trPr>
        <w:tc>
          <w:tcPr>
            <w:tcW w:w="11295" w:type="dxa"/>
            <w:gridSpan w:val="10"/>
            <w:tcBorders>
              <w:top w:val="nil"/>
              <w:left w:val="nil"/>
              <w:bottom w:val="nil"/>
              <w:right w:val="nil"/>
              <w:tl2br w:val="nil"/>
              <w:tr2bl w:val="nil"/>
            </w:tcBorders>
            <w:tcMar>
              <w:left w:w="40" w:type="dxa"/>
              <w:right w:w="40" w:type="dxa"/>
            </w:tcMar>
            <w:vAlign w:val="bottom"/>
          </w:tcPr>
          <w:p w14:paraId="71F3E0FB" w14:textId="77777777" w:rsidR="00510CAA" w:rsidRDefault="003A4815">
            <w:pPr>
              <w:pageBreakBefore/>
              <w:rPr>
                <w:rFonts w:ascii="Arial" w:eastAsia="Arial" w:hAnsi="Arial" w:cs="Arial"/>
                <w:b/>
                <w:color w:val="000000"/>
                <w:sz w:val="16"/>
              </w:rPr>
            </w:pPr>
            <w:bookmarkStart w:id="112" w:name="RG_MARKER_23352"/>
            <w:r>
              <w:rPr>
                <w:rFonts w:ascii="Arial" w:eastAsia="Arial" w:hAnsi="Arial" w:cs="Arial"/>
                <w:b/>
                <w:color w:val="000000"/>
                <w:sz w:val="16"/>
              </w:rPr>
              <w:t>Fleet Employment (As of the date of this annual report)</w:t>
            </w:r>
            <w:bookmarkEnd w:id="112"/>
          </w:p>
        </w:tc>
      </w:tr>
      <w:tr w:rsidR="00510CAA" w14:paraId="71F3E10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nil"/>
              <w:left w:val="nil"/>
              <w:bottom w:val="single" w:sz="4" w:space="0" w:color="000000"/>
              <w:right w:val="nil"/>
              <w:tl2br w:val="nil"/>
              <w:tr2bl w:val="nil"/>
            </w:tcBorders>
            <w:tcMar>
              <w:left w:w="0" w:type="dxa"/>
              <w:right w:w="0" w:type="dxa"/>
            </w:tcMar>
            <w:vAlign w:val="center"/>
          </w:tcPr>
          <w:p w14:paraId="71F3E0FD" w14:textId="77777777" w:rsidR="00510CAA" w:rsidRDefault="00510CAA">
            <w:pPr>
              <w:jc w:val="cente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noWrap/>
            <w:tcMar>
              <w:left w:w="0" w:type="dxa"/>
              <w:right w:w="0" w:type="dxa"/>
            </w:tcMar>
            <w:vAlign w:val="center"/>
          </w:tcPr>
          <w:p w14:paraId="71F3E0FE" w14:textId="77777777" w:rsidR="00510CAA" w:rsidRDefault="00510CAA">
            <w:pPr>
              <w:jc w:val="center"/>
              <w:rPr>
                <w:rFonts w:ascii="Arial" w:eastAsia="Arial" w:hAnsi="Arial" w:cs="Arial"/>
                <w:color w:val="000000"/>
                <w:sz w:val="16"/>
              </w:rPr>
            </w:pPr>
          </w:p>
        </w:tc>
        <w:tc>
          <w:tcPr>
            <w:tcW w:w="75" w:type="dxa"/>
            <w:tcBorders>
              <w:top w:val="nil"/>
              <w:left w:val="nil"/>
              <w:bottom w:val="single" w:sz="4" w:space="0" w:color="000000"/>
              <w:right w:val="nil"/>
              <w:tl2br w:val="nil"/>
              <w:tr2bl w:val="nil"/>
            </w:tcBorders>
            <w:noWrap/>
            <w:tcMar>
              <w:left w:w="0" w:type="dxa"/>
              <w:right w:w="0" w:type="dxa"/>
            </w:tcMar>
            <w:vAlign w:val="bottom"/>
          </w:tcPr>
          <w:p w14:paraId="71F3E0FF" w14:textId="77777777" w:rsidR="00510CAA" w:rsidRDefault="00510CAA">
            <w:pPr>
              <w:jc w:val="center"/>
              <w:rPr>
                <w:rFonts w:ascii="Arial" w:eastAsia="Arial" w:hAnsi="Arial" w:cs="Arial"/>
                <w:color w:val="000000"/>
                <w:sz w:val="16"/>
              </w:rPr>
            </w:pPr>
          </w:p>
        </w:tc>
        <w:tc>
          <w:tcPr>
            <w:tcW w:w="630" w:type="dxa"/>
            <w:tcBorders>
              <w:top w:val="nil"/>
              <w:left w:val="nil"/>
              <w:bottom w:val="single" w:sz="4" w:space="0" w:color="000000"/>
              <w:right w:val="nil"/>
              <w:tl2br w:val="nil"/>
              <w:tr2bl w:val="nil"/>
            </w:tcBorders>
            <w:noWrap/>
            <w:tcMar>
              <w:left w:w="0" w:type="dxa"/>
              <w:right w:w="0" w:type="dxa"/>
            </w:tcMar>
            <w:vAlign w:val="center"/>
          </w:tcPr>
          <w:p w14:paraId="71F3E100" w14:textId="77777777" w:rsidR="00510CAA" w:rsidRDefault="00510CAA">
            <w:pPr>
              <w:jc w:val="cente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noWrap/>
            <w:tcMar>
              <w:left w:w="0" w:type="dxa"/>
              <w:right w:w="0" w:type="dxa"/>
            </w:tcMar>
            <w:vAlign w:val="bottom"/>
          </w:tcPr>
          <w:p w14:paraId="71F3E101"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bottom"/>
          </w:tcPr>
          <w:p w14:paraId="71F3E102" w14:textId="77777777" w:rsidR="00510CAA" w:rsidRDefault="00510CAA">
            <w:pPr>
              <w:jc w:val="center"/>
              <w:rPr>
                <w:rFonts w:ascii="Arial" w:eastAsia="Arial" w:hAnsi="Arial" w:cs="Arial"/>
                <w:color w:val="000000"/>
                <w:sz w:val="16"/>
              </w:rPr>
            </w:pPr>
          </w:p>
        </w:tc>
        <w:tc>
          <w:tcPr>
            <w:tcW w:w="2595" w:type="dxa"/>
            <w:tcBorders>
              <w:top w:val="nil"/>
              <w:left w:val="nil"/>
              <w:bottom w:val="single" w:sz="4" w:space="0" w:color="000000"/>
              <w:right w:val="nil"/>
              <w:tl2br w:val="nil"/>
              <w:tr2bl w:val="nil"/>
            </w:tcBorders>
            <w:noWrap/>
            <w:tcMar>
              <w:left w:w="0" w:type="dxa"/>
              <w:right w:w="0" w:type="dxa"/>
            </w:tcMar>
          </w:tcPr>
          <w:p w14:paraId="71F3E103" w14:textId="77777777" w:rsidR="00510CAA" w:rsidRDefault="00510CAA">
            <w:pPr>
              <w:jc w:val="center"/>
              <w:rPr>
                <w:rFonts w:ascii="Arial" w:eastAsia="Arial" w:hAnsi="Arial" w:cs="Arial"/>
                <w:color w:val="000000"/>
                <w:sz w:val="16"/>
              </w:rPr>
            </w:pPr>
          </w:p>
        </w:tc>
        <w:tc>
          <w:tcPr>
            <w:tcW w:w="1410" w:type="dxa"/>
            <w:tcBorders>
              <w:top w:val="nil"/>
              <w:left w:val="nil"/>
              <w:bottom w:val="single" w:sz="4" w:space="0" w:color="000000"/>
              <w:right w:val="nil"/>
              <w:tl2br w:val="nil"/>
              <w:tr2bl w:val="nil"/>
            </w:tcBorders>
            <w:noWrap/>
            <w:tcMar>
              <w:left w:w="0" w:type="dxa"/>
              <w:right w:w="0" w:type="dxa"/>
            </w:tcMar>
            <w:vAlign w:val="bottom"/>
          </w:tcPr>
          <w:p w14:paraId="71F3E104" w14:textId="77777777" w:rsidR="00510CAA" w:rsidRDefault="00510CAA">
            <w:pPr>
              <w:jc w:val="center"/>
              <w:rPr>
                <w:rFonts w:ascii="Arial" w:eastAsia="Arial" w:hAnsi="Arial" w:cs="Arial"/>
                <w:color w:val="000000"/>
                <w:sz w:val="16"/>
              </w:rPr>
            </w:pPr>
          </w:p>
        </w:tc>
        <w:tc>
          <w:tcPr>
            <w:tcW w:w="2100" w:type="dxa"/>
            <w:tcBorders>
              <w:top w:val="nil"/>
              <w:left w:val="nil"/>
              <w:bottom w:val="single" w:sz="4" w:space="0" w:color="000000"/>
              <w:right w:val="nil"/>
              <w:tl2br w:val="nil"/>
              <w:tr2bl w:val="nil"/>
            </w:tcBorders>
            <w:noWrap/>
            <w:tcMar>
              <w:left w:w="0" w:type="dxa"/>
              <w:right w:w="0" w:type="dxa"/>
            </w:tcMar>
            <w:vAlign w:val="bottom"/>
          </w:tcPr>
          <w:p w14:paraId="71F3E105"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106" w14:textId="77777777" w:rsidR="00510CAA" w:rsidRDefault="00510CAA">
            <w:pPr>
              <w:jc w:val="center"/>
              <w:rPr>
                <w:rFonts w:ascii="Arial" w:eastAsia="Arial" w:hAnsi="Arial" w:cs="Arial"/>
                <w:color w:val="000000"/>
                <w:sz w:val="16"/>
              </w:rPr>
            </w:pPr>
          </w:p>
        </w:tc>
      </w:tr>
      <w:tr w:rsidR="00510CAA" w14:paraId="71F3E11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single" w:sz="4" w:space="0" w:color="000000"/>
              <w:left w:val="nil"/>
              <w:bottom w:val="nil"/>
              <w:right w:val="nil"/>
              <w:tl2br w:val="nil"/>
              <w:tr2bl w:val="nil"/>
            </w:tcBorders>
            <w:tcMar>
              <w:left w:w="0" w:type="dxa"/>
              <w:right w:w="0" w:type="dxa"/>
            </w:tcMar>
            <w:vAlign w:val="center"/>
          </w:tcPr>
          <w:p w14:paraId="71F3E108" w14:textId="77777777" w:rsidR="00510CAA" w:rsidRDefault="00510CAA">
            <w:pPr>
              <w:jc w:val="center"/>
              <w:rPr>
                <w:rFonts w:ascii="Arial" w:eastAsia="Arial" w:hAnsi="Arial" w:cs="Arial"/>
                <w:b/>
                <w:color w:val="000000"/>
                <w:sz w:val="16"/>
              </w:rPr>
            </w:pPr>
          </w:p>
        </w:tc>
        <w:tc>
          <w:tcPr>
            <w:tcW w:w="1425" w:type="dxa"/>
            <w:tcBorders>
              <w:top w:val="single" w:sz="4" w:space="0" w:color="000000"/>
              <w:left w:val="nil"/>
              <w:bottom w:val="nil"/>
              <w:right w:val="nil"/>
              <w:tl2br w:val="nil"/>
              <w:tr2bl w:val="nil"/>
            </w:tcBorders>
            <w:tcMar>
              <w:left w:w="40" w:type="dxa"/>
              <w:right w:w="40" w:type="dxa"/>
            </w:tcMar>
            <w:vAlign w:val="center"/>
          </w:tcPr>
          <w:p w14:paraId="71F3E109"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VESSEL</w:t>
            </w:r>
          </w:p>
        </w:tc>
        <w:tc>
          <w:tcPr>
            <w:tcW w:w="75" w:type="dxa"/>
            <w:tcBorders>
              <w:top w:val="single" w:sz="4" w:space="0" w:color="000000"/>
              <w:left w:val="nil"/>
              <w:bottom w:val="nil"/>
              <w:right w:val="nil"/>
              <w:tl2br w:val="nil"/>
              <w:tr2bl w:val="nil"/>
            </w:tcBorders>
            <w:tcMar>
              <w:left w:w="0" w:type="dxa"/>
              <w:right w:w="0" w:type="dxa"/>
            </w:tcMar>
            <w:vAlign w:val="center"/>
          </w:tcPr>
          <w:p w14:paraId="71F3E10A" w14:textId="77777777" w:rsidR="00510CAA" w:rsidRDefault="00510CAA">
            <w:pPr>
              <w:jc w:val="center"/>
              <w:rPr>
                <w:rFonts w:ascii="Arial" w:eastAsia="Arial" w:hAnsi="Arial" w:cs="Arial"/>
                <w:b/>
                <w:color w:val="000000"/>
                <w:sz w:val="16"/>
              </w:rPr>
            </w:pPr>
          </w:p>
        </w:tc>
        <w:tc>
          <w:tcPr>
            <w:tcW w:w="630" w:type="dxa"/>
            <w:vMerge w:val="restart"/>
            <w:tcBorders>
              <w:top w:val="single" w:sz="4" w:space="0" w:color="000000"/>
              <w:left w:val="nil"/>
              <w:bottom w:val="nil"/>
              <w:right w:val="nil"/>
              <w:tl2br w:val="nil"/>
              <w:tr2bl w:val="nil"/>
            </w:tcBorders>
            <w:tcMar>
              <w:left w:w="40" w:type="dxa"/>
              <w:right w:w="40" w:type="dxa"/>
            </w:tcMar>
            <w:vAlign w:val="center"/>
          </w:tcPr>
          <w:p w14:paraId="71F3E10B"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SISTER SHIPS*</w:t>
            </w:r>
          </w:p>
        </w:tc>
        <w:tc>
          <w:tcPr>
            <w:tcW w:w="1290" w:type="dxa"/>
            <w:vMerge w:val="restart"/>
            <w:tcBorders>
              <w:top w:val="single" w:sz="4" w:space="0" w:color="000000"/>
              <w:left w:val="nil"/>
              <w:bottom w:val="nil"/>
              <w:right w:val="nil"/>
              <w:tl2br w:val="nil"/>
              <w:tr2bl w:val="nil"/>
            </w:tcBorders>
            <w:tcMar>
              <w:left w:w="40" w:type="dxa"/>
              <w:right w:w="40" w:type="dxa"/>
            </w:tcMar>
            <w:vAlign w:val="center"/>
          </w:tcPr>
          <w:p w14:paraId="71F3E10C"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GROSS RATE (USD PER DAY)</w:t>
            </w:r>
          </w:p>
        </w:tc>
        <w:tc>
          <w:tcPr>
            <w:tcW w:w="660" w:type="dxa"/>
            <w:vMerge w:val="restart"/>
            <w:tcBorders>
              <w:top w:val="single" w:sz="4" w:space="0" w:color="000000"/>
              <w:left w:val="nil"/>
              <w:bottom w:val="nil"/>
              <w:right w:val="nil"/>
              <w:tl2br w:val="nil"/>
              <w:tr2bl w:val="nil"/>
            </w:tcBorders>
            <w:tcMar>
              <w:left w:w="40" w:type="dxa"/>
              <w:right w:w="40" w:type="dxa"/>
            </w:tcMar>
            <w:vAlign w:val="center"/>
          </w:tcPr>
          <w:p w14:paraId="71F3E10D"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COM**</w:t>
            </w:r>
          </w:p>
        </w:tc>
        <w:tc>
          <w:tcPr>
            <w:tcW w:w="2595" w:type="dxa"/>
            <w:vMerge w:val="restart"/>
            <w:tcBorders>
              <w:top w:val="single" w:sz="4" w:space="0" w:color="000000"/>
              <w:left w:val="nil"/>
              <w:bottom w:val="nil"/>
              <w:right w:val="nil"/>
              <w:tl2br w:val="nil"/>
              <w:tr2bl w:val="nil"/>
            </w:tcBorders>
            <w:tcMar>
              <w:left w:w="40" w:type="dxa"/>
              <w:right w:w="40" w:type="dxa"/>
            </w:tcMar>
            <w:vAlign w:val="center"/>
          </w:tcPr>
          <w:p w14:paraId="71F3E10E"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CHARTERERS</w:t>
            </w:r>
          </w:p>
        </w:tc>
        <w:tc>
          <w:tcPr>
            <w:tcW w:w="1410" w:type="dxa"/>
            <w:vMerge w:val="restart"/>
            <w:tcBorders>
              <w:top w:val="single" w:sz="4" w:space="0" w:color="000000"/>
              <w:left w:val="nil"/>
              <w:bottom w:val="nil"/>
              <w:right w:val="nil"/>
              <w:tl2br w:val="nil"/>
              <w:tr2bl w:val="nil"/>
            </w:tcBorders>
            <w:tcMar>
              <w:left w:w="40" w:type="dxa"/>
              <w:right w:w="40" w:type="dxa"/>
            </w:tcMar>
            <w:vAlign w:val="center"/>
          </w:tcPr>
          <w:p w14:paraId="71F3E10F"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DELIVERY DATE TO CHARTERERS***</w:t>
            </w:r>
          </w:p>
        </w:tc>
        <w:tc>
          <w:tcPr>
            <w:tcW w:w="2100" w:type="dxa"/>
            <w:vMerge w:val="restart"/>
            <w:tcBorders>
              <w:top w:val="single" w:sz="4" w:space="0" w:color="000000"/>
              <w:left w:val="nil"/>
              <w:bottom w:val="nil"/>
              <w:right w:val="nil"/>
              <w:tl2br w:val="nil"/>
              <w:tr2bl w:val="nil"/>
            </w:tcBorders>
            <w:tcMar>
              <w:left w:w="40" w:type="dxa"/>
              <w:right w:w="40" w:type="dxa"/>
            </w:tcMar>
            <w:vAlign w:val="center"/>
          </w:tcPr>
          <w:p w14:paraId="71F3E110"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REDELIVERY DATE TO OWNERS****</w:t>
            </w:r>
          </w:p>
        </w:tc>
        <w:tc>
          <w:tcPr>
            <w:tcW w:w="660" w:type="dxa"/>
            <w:vMerge w:val="restart"/>
            <w:tcBorders>
              <w:top w:val="single" w:sz="4" w:space="0" w:color="000000"/>
              <w:left w:val="nil"/>
              <w:bottom w:val="nil"/>
              <w:right w:val="nil"/>
              <w:tl2br w:val="nil"/>
              <w:tr2bl w:val="nil"/>
            </w:tcBorders>
            <w:tcMar>
              <w:left w:w="40" w:type="dxa"/>
              <w:right w:w="40" w:type="dxa"/>
            </w:tcMar>
            <w:vAlign w:val="center"/>
          </w:tcPr>
          <w:p w14:paraId="71F3E111" w14:textId="77777777" w:rsidR="00510CAA" w:rsidRDefault="003A4815">
            <w:pPr>
              <w:rPr>
                <w:rFonts w:ascii="Arial" w:eastAsia="Arial" w:hAnsi="Arial" w:cs="Arial"/>
                <w:b/>
                <w:color w:val="000000"/>
                <w:sz w:val="16"/>
              </w:rPr>
            </w:pPr>
            <w:r>
              <w:rPr>
                <w:rFonts w:ascii="Arial" w:eastAsia="Arial" w:hAnsi="Arial" w:cs="Arial"/>
                <w:b/>
                <w:color w:val="000000"/>
                <w:sz w:val="16"/>
              </w:rPr>
              <w:t>NOTES</w:t>
            </w:r>
          </w:p>
        </w:tc>
      </w:tr>
      <w:tr w:rsidR="00510CAA" w14:paraId="71F3E11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single" w:sz="4" w:space="0" w:color="000000"/>
              <w:right w:val="nil"/>
              <w:tl2br w:val="nil"/>
              <w:tr2bl w:val="nil"/>
            </w:tcBorders>
            <w:tcMar>
              <w:left w:w="0" w:type="dxa"/>
              <w:right w:w="0" w:type="dxa"/>
            </w:tcMar>
            <w:vAlign w:val="center"/>
          </w:tcPr>
          <w:p w14:paraId="71F3E113" w14:textId="77777777" w:rsidR="00510CAA" w:rsidRDefault="00510CAA">
            <w:pPr>
              <w:jc w:val="center"/>
              <w:rPr>
                <w:rFonts w:ascii="Arial" w:eastAsia="Arial" w:hAnsi="Arial" w:cs="Arial"/>
                <w:b/>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114"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BUILT DWT</w:t>
            </w:r>
          </w:p>
        </w:tc>
        <w:tc>
          <w:tcPr>
            <w:tcW w:w="75" w:type="dxa"/>
            <w:tcBorders>
              <w:top w:val="nil"/>
              <w:left w:val="nil"/>
              <w:bottom w:val="single" w:sz="4" w:space="0" w:color="000000"/>
              <w:right w:val="nil"/>
              <w:tl2br w:val="nil"/>
              <w:tr2bl w:val="nil"/>
            </w:tcBorders>
            <w:tcMar>
              <w:left w:w="0" w:type="dxa"/>
              <w:right w:w="0" w:type="dxa"/>
            </w:tcMar>
            <w:vAlign w:val="center"/>
          </w:tcPr>
          <w:p w14:paraId="71F3E115" w14:textId="77777777" w:rsidR="00510CAA" w:rsidRDefault="00510CAA">
            <w:pPr>
              <w:jc w:val="center"/>
              <w:rPr>
                <w:rFonts w:ascii="Arial" w:eastAsia="Arial" w:hAnsi="Arial" w:cs="Arial"/>
                <w:b/>
                <w:color w:val="000000"/>
                <w:sz w:val="16"/>
              </w:rPr>
            </w:pPr>
          </w:p>
        </w:tc>
        <w:tc>
          <w:tcPr>
            <w:tcW w:w="630" w:type="dxa"/>
            <w:vMerge/>
            <w:tcBorders>
              <w:top w:val="nil"/>
              <w:left w:val="nil"/>
              <w:bottom w:val="single" w:sz="4" w:space="0" w:color="000000"/>
              <w:right w:val="nil"/>
              <w:tl2br w:val="nil"/>
              <w:tr2bl w:val="nil"/>
            </w:tcBorders>
            <w:tcMar>
              <w:left w:w="0" w:type="dxa"/>
              <w:right w:w="0" w:type="dxa"/>
            </w:tcMar>
            <w:vAlign w:val="center"/>
          </w:tcPr>
          <w:p w14:paraId="71F3E116" w14:textId="77777777" w:rsidR="00510CAA" w:rsidRDefault="00510CAA">
            <w:pPr>
              <w:jc w:val="center"/>
              <w:rPr>
                <w:rFonts w:ascii="Arial" w:eastAsia="Arial" w:hAnsi="Arial" w:cs="Arial"/>
                <w:b/>
                <w:color w:val="000000"/>
                <w:sz w:val="16"/>
              </w:rPr>
            </w:pPr>
          </w:p>
        </w:tc>
        <w:tc>
          <w:tcPr>
            <w:tcW w:w="1290" w:type="dxa"/>
            <w:vMerge/>
            <w:tcBorders>
              <w:top w:val="nil"/>
              <w:left w:val="nil"/>
              <w:bottom w:val="single" w:sz="4" w:space="0" w:color="000000"/>
              <w:right w:val="nil"/>
              <w:tl2br w:val="nil"/>
              <w:tr2bl w:val="nil"/>
            </w:tcBorders>
            <w:tcMar>
              <w:left w:w="0" w:type="dxa"/>
              <w:right w:w="0" w:type="dxa"/>
            </w:tcMar>
            <w:vAlign w:val="center"/>
          </w:tcPr>
          <w:p w14:paraId="71F3E117" w14:textId="77777777" w:rsidR="00510CAA" w:rsidRDefault="00510CAA">
            <w:pPr>
              <w:jc w:val="center"/>
              <w:rPr>
                <w:rFonts w:ascii="Arial" w:eastAsia="Arial" w:hAnsi="Arial" w:cs="Arial"/>
                <w:b/>
                <w:color w:val="000000"/>
                <w:sz w:val="16"/>
              </w:rPr>
            </w:pPr>
          </w:p>
        </w:tc>
        <w:tc>
          <w:tcPr>
            <w:tcW w:w="660" w:type="dxa"/>
            <w:vMerge/>
            <w:tcBorders>
              <w:top w:val="nil"/>
              <w:left w:val="nil"/>
              <w:bottom w:val="single" w:sz="4" w:space="0" w:color="000000"/>
              <w:right w:val="nil"/>
              <w:tl2br w:val="nil"/>
              <w:tr2bl w:val="nil"/>
            </w:tcBorders>
            <w:tcMar>
              <w:left w:w="0" w:type="dxa"/>
              <w:right w:w="0" w:type="dxa"/>
            </w:tcMar>
            <w:vAlign w:val="center"/>
          </w:tcPr>
          <w:p w14:paraId="71F3E118" w14:textId="77777777" w:rsidR="00510CAA" w:rsidRDefault="00510CAA">
            <w:pPr>
              <w:jc w:val="center"/>
              <w:rPr>
                <w:rFonts w:ascii="Arial" w:eastAsia="Arial" w:hAnsi="Arial" w:cs="Arial"/>
                <w:b/>
                <w:color w:val="000000"/>
                <w:sz w:val="16"/>
              </w:rPr>
            </w:pPr>
          </w:p>
        </w:tc>
        <w:tc>
          <w:tcPr>
            <w:tcW w:w="2595" w:type="dxa"/>
            <w:vMerge/>
            <w:tcBorders>
              <w:top w:val="nil"/>
              <w:left w:val="nil"/>
              <w:bottom w:val="single" w:sz="4" w:space="0" w:color="000000"/>
              <w:right w:val="nil"/>
              <w:tl2br w:val="nil"/>
              <w:tr2bl w:val="nil"/>
            </w:tcBorders>
            <w:tcMar>
              <w:left w:w="0" w:type="dxa"/>
              <w:right w:w="0" w:type="dxa"/>
            </w:tcMar>
            <w:vAlign w:val="center"/>
          </w:tcPr>
          <w:p w14:paraId="71F3E119" w14:textId="77777777" w:rsidR="00510CAA" w:rsidRDefault="00510CAA">
            <w:pPr>
              <w:jc w:val="center"/>
              <w:rPr>
                <w:rFonts w:ascii="Arial" w:eastAsia="Arial" w:hAnsi="Arial" w:cs="Arial"/>
                <w:b/>
                <w:color w:val="000000"/>
                <w:sz w:val="16"/>
              </w:rPr>
            </w:pPr>
          </w:p>
        </w:tc>
        <w:tc>
          <w:tcPr>
            <w:tcW w:w="1410" w:type="dxa"/>
            <w:vMerge/>
            <w:tcBorders>
              <w:top w:val="nil"/>
              <w:left w:val="nil"/>
              <w:bottom w:val="single" w:sz="4" w:space="0" w:color="000000"/>
              <w:right w:val="nil"/>
              <w:tl2br w:val="nil"/>
              <w:tr2bl w:val="nil"/>
            </w:tcBorders>
            <w:tcMar>
              <w:left w:w="0" w:type="dxa"/>
              <w:right w:w="0" w:type="dxa"/>
            </w:tcMar>
            <w:vAlign w:val="center"/>
          </w:tcPr>
          <w:p w14:paraId="71F3E11A" w14:textId="77777777" w:rsidR="00510CAA" w:rsidRDefault="00510CAA">
            <w:pPr>
              <w:jc w:val="center"/>
              <w:rPr>
                <w:rFonts w:ascii="Arial" w:eastAsia="Arial" w:hAnsi="Arial" w:cs="Arial"/>
                <w:b/>
                <w:color w:val="000000"/>
                <w:sz w:val="16"/>
              </w:rPr>
            </w:pPr>
          </w:p>
        </w:tc>
        <w:tc>
          <w:tcPr>
            <w:tcW w:w="2100" w:type="dxa"/>
            <w:vMerge/>
            <w:tcBorders>
              <w:top w:val="nil"/>
              <w:left w:val="nil"/>
              <w:bottom w:val="single" w:sz="4" w:space="0" w:color="000000"/>
              <w:right w:val="nil"/>
              <w:tl2br w:val="nil"/>
              <w:tr2bl w:val="nil"/>
            </w:tcBorders>
            <w:tcMar>
              <w:left w:w="0" w:type="dxa"/>
              <w:right w:w="0" w:type="dxa"/>
            </w:tcMar>
            <w:vAlign w:val="center"/>
          </w:tcPr>
          <w:p w14:paraId="71F3E11B" w14:textId="77777777" w:rsidR="00510CAA" w:rsidRDefault="00510CAA">
            <w:pPr>
              <w:jc w:val="center"/>
              <w:rPr>
                <w:rFonts w:ascii="Arial" w:eastAsia="Arial" w:hAnsi="Arial" w:cs="Arial"/>
                <w:b/>
                <w:color w:val="000000"/>
                <w:sz w:val="16"/>
              </w:rPr>
            </w:pPr>
          </w:p>
        </w:tc>
        <w:tc>
          <w:tcPr>
            <w:tcW w:w="660" w:type="dxa"/>
            <w:vMerge/>
            <w:tcBorders>
              <w:top w:val="nil"/>
              <w:left w:val="nil"/>
              <w:bottom w:val="single" w:sz="4" w:space="0" w:color="000000"/>
              <w:right w:val="nil"/>
              <w:tl2br w:val="nil"/>
              <w:tr2bl w:val="nil"/>
            </w:tcBorders>
            <w:tcMar>
              <w:left w:w="0" w:type="dxa"/>
              <w:right w:w="0" w:type="dxa"/>
            </w:tcMar>
            <w:vAlign w:val="center"/>
          </w:tcPr>
          <w:p w14:paraId="71F3E11C" w14:textId="77777777" w:rsidR="00510CAA" w:rsidRDefault="00510CAA">
            <w:pPr>
              <w:rPr>
                <w:rFonts w:ascii="Arial" w:eastAsia="Arial" w:hAnsi="Arial" w:cs="Arial"/>
                <w:b/>
                <w:color w:val="000000"/>
                <w:sz w:val="16"/>
              </w:rPr>
            </w:pPr>
          </w:p>
        </w:tc>
      </w:tr>
      <w:tr w:rsidR="00510CAA" w14:paraId="71F3E11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11E"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9 Ultramax Bulk Carriers</w:t>
            </w:r>
          </w:p>
        </w:tc>
      </w:tr>
      <w:tr w:rsidR="00510CAA" w14:paraId="71F3E12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single" w:sz="4" w:space="0" w:color="000000"/>
              <w:left w:val="nil"/>
              <w:bottom w:val="nil"/>
              <w:right w:val="nil"/>
              <w:tl2br w:val="nil"/>
              <w:tr2bl w:val="nil"/>
            </w:tcBorders>
            <w:tcMar>
              <w:left w:w="40" w:type="dxa"/>
              <w:right w:w="40" w:type="dxa"/>
            </w:tcMar>
            <w:vAlign w:val="center"/>
          </w:tcPr>
          <w:p w14:paraId="71F3E120" w14:textId="77777777" w:rsidR="00510CAA" w:rsidRDefault="003A4815">
            <w:pPr>
              <w:jc w:val="center"/>
              <w:rPr>
                <w:rFonts w:ascii="Arial" w:eastAsia="Arial" w:hAnsi="Arial" w:cs="Arial"/>
                <w:color w:val="000000"/>
                <w:sz w:val="16"/>
              </w:rPr>
            </w:pPr>
            <w:r>
              <w:rPr>
                <w:rFonts w:ascii="Arial" w:eastAsia="Arial" w:hAnsi="Arial" w:cs="Arial"/>
                <w:color w:val="000000"/>
                <w:sz w:val="16"/>
              </w:rPr>
              <w:t>1</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121"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Phoenix</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122"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40" w:type="dxa"/>
              <w:right w:w="40" w:type="dxa"/>
            </w:tcMar>
            <w:vAlign w:val="center"/>
          </w:tcPr>
          <w:p w14:paraId="71F3E123" w14:textId="77777777" w:rsidR="00510CAA" w:rsidRDefault="003A4815">
            <w:pPr>
              <w:jc w:val="center"/>
              <w:rPr>
                <w:rFonts w:ascii="Arial" w:eastAsia="Arial" w:hAnsi="Arial" w:cs="Arial"/>
                <w:color w:val="000000"/>
                <w:sz w:val="16"/>
              </w:rPr>
            </w:pPr>
            <w:r>
              <w:rPr>
                <w:rFonts w:ascii="Arial" w:eastAsia="Arial" w:hAnsi="Arial" w:cs="Arial"/>
                <w:color w:val="000000"/>
                <w:sz w:val="16"/>
              </w:rPr>
              <w:t>A</w:t>
            </w:r>
          </w:p>
        </w:tc>
        <w:tc>
          <w:tcPr>
            <w:tcW w:w="1290" w:type="dxa"/>
            <w:tcBorders>
              <w:top w:val="single" w:sz="4" w:space="0" w:color="000000"/>
              <w:left w:val="nil"/>
              <w:bottom w:val="nil"/>
              <w:right w:val="nil"/>
              <w:tl2br w:val="nil"/>
              <w:tr2bl w:val="nil"/>
            </w:tcBorders>
            <w:tcMar>
              <w:left w:w="40" w:type="dxa"/>
              <w:right w:w="40" w:type="dxa"/>
            </w:tcMar>
            <w:vAlign w:val="center"/>
          </w:tcPr>
          <w:p w14:paraId="71F3E124" w14:textId="77777777" w:rsidR="00510CAA" w:rsidRDefault="003A4815">
            <w:pPr>
              <w:jc w:val="center"/>
              <w:rPr>
                <w:rFonts w:ascii="Arial" w:eastAsia="Arial" w:hAnsi="Arial" w:cs="Arial"/>
                <w:color w:val="000000"/>
                <w:sz w:val="16"/>
              </w:rPr>
            </w:pPr>
            <w:r>
              <w:rPr>
                <w:rFonts w:ascii="Arial" w:eastAsia="Arial" w:hAnsi="Arial" w:cs="Arial"/>
                <w:color w:val="000000"/>
                <w:sz w:val="16"/>
              </w:rPr>
              <w:t>13,500</w:t>
            </w:r>
          </w:p>
        </w:tc>
        <w:tc>
          <w:tcPr>
            <w:tcW w:w="660" w:type="dxa"/>
            <w:tcBorders>
              <w:top w:val="single" w:sz="4" w:space="0" w:color="000000"/>
              <w:left w:val="nil"/>
              <w:bottom w:val="nil"/>
              <w:right w:val="nil"/>
              <w:tl2br w:val="nil"/>
              <w:tr2bl w:val="nil"/>
            </w:tcBorders>
            <w:noWrap/>
            <w:tcMar>
              <w:left w:w="40" w:type="dxa"/>
              <w:right w:w="40" w:type="dxa"/>
            </w:tcMar>
            <w:vAlign w:val="center"/>
          </w:tcPr>
          <w:p w14:paraId="71F3E125" w14:textId="77777777" w:rsidR="00510CAA" w:rsidRDefault="003A4815">
            <w:pPr>
              <w:jc w:val="center"/>
              <w:rPr>
                <w:rFonts w:ascii="Arial" w:eastAsia="Arial" w:hAnsi="Arial" w:cs="Arial"/>
                <w:color w:val="000000"/>
                <w:sz w:val="16"/>
              </w:rPr>
            </w:pPr>
            <w:r>
              <w:rPr>
                <w:rFonts w:ascii="Arial" w:eastAsia="Arial" w:hAnsi="Arial" w:cs="Arial"/>
                <w:color w:val="000000"/>
                <w:sz w:val="16"/>
              </w:rPr>
              <w:t>4.75%</w:t>
            </w:r>
          </w:p>
        </w:tc>
        <w:tc>
          <w:tcPr>
            <w:tcW w:w="2595" w:type="dxa"/>
            <w:vMerge w:val="restart"/>
            <w:tcBorders>
              <w:top w:val="single" w:sz="4" w:space="0" w:color="000000"/>
              <w:left w:val="nil"/>
              <w:bottom w:val="nil"/>
              <w:right w:val="nil"/>
              <w:tl2br w:val="nil"/>
              <w:tr2bl w:val="nil"/>
            </w:tcBorders>
            <w:tcMar>
              <w:left w:w="40" w:type="dxa"/>
              <w:right w:w="40" w:type="dxa"/>
            </w:tcMar>
          </w:tcPr>
          <w:p w14:paraId="71F3E126"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Ocean Transportation (Singapore) Pte. Ltd.</w:t>
            </w:r>
          </w:p>
        </w:tc>
        <w:tc>
          <w:tcPr>
            <w:tcW w:w="1410" w:type="dxa"/>
            <w:tcBorders>
              <w:top w:val="single" w:sz="4" w:space="0" w:color="000000"/>
              <w:left w:val="nil"/>
              <w:bottom w:val="nil"/>
              <w:right w:val="nil"/>
              <w:tl2br w:val="nil"/>
              <w:tr2bl w:val="nil"/>
            </w:tcBorders>
            <w:tcMar>
              <w:left w:w="40" w:type="dxa"/>
              <w:right w:w="40" w:type="dxa"/>
            </w:tcMar>
            <w:vAlign w:val="center"/>
          </w:tcPr>
          <w:p w14:paraId="71F3E127" w14:textId="77777777" w:rsidR="00510CAA" w:rsidRDefault="003A4815">
            <w:pPr>
              <w:jc w:val="center"/>
              <w:rPr>
                <w:rFonts w:ascii="Arial" w:eastAsia="Arial" w:hAnsi="Arial" w:cs="Arial"/>
                <w:color w:val="000000"/>
                <w:sz w:val="16"/>
              </w:rPr>
            </w:pPr>
            <w:r>
              <w:rPr>
                <w:rFonts w:ascii="Arial" w:eastAsia="Arial" w:hAnsi="Arial" w:cs="Arial"/>
                <w:color w:val="000000"/>
                <w:sz w:val="16"/>
              </w:rPr>
              <w:t>8-Aug-25</w:t>
            </w:r>
          </w:p>
        </w:tc>
        <w:tc>
          <w:tcPr>
            <w:tcW w:w="2100" w:type="dxa"/>
            <w:tcBorders>
              <w:top w:val="single" w:sz="4" w:space="0" w:color="000000"/>
              <w:left w:val="nil"/>
              <w:bottom w:val="nil"/>
              <w:right w:val="nil"/>
              <w:tl2br w:val="nil"/>
              <w:tr2bl w:val="nil"/>
            </w:tcBorders>
            <w:tcMar>
              <w:left w:w="40" w:type="dxa"/>
              <w:right w:w="40" w:type="dxa"/>
            </w:tcMar>
            <w:vAlign w:val="center"/>
          </w:tcPr>
          <w:p w14:paraId="71F3E128" w14:textId="77777777" w:rsidR="00510CAA" w:rsidRDefault="003A4815">
            <w:pPr>
              <w:jc w:val="center"/>
              <w:rPr>
                <w:rFonts w:ascii="Arial" w:eastAsia="Arial" w:hAnsi="Arial" w:cs="Arial"/>
                <w:color w:val="000000"/>
                <w:sz w:val="16"/>
              </w:rPr>
            </w:pPr>
            <w:r>
              <w:rPr>
                <w:rFonts w:ascii="Arial" w:eastAsia="Arial" w:hAnsi="Arial" w:cs="Arial"/>
                <w:color w:val="000000"/>
                <w:sz w:val="16"/>
              </w:rPr>
              <w:t>1/Oct/2026 - 30/Nov/2026</w:t>
            </w:r>
          </w:p>
        </w:tc>
        <w:tc>
          <w:tcPr>
            <w:tcW w:w="660" w:type="dxa"/>
            <w:tcBorders>
              <w:top w:val="single" w:sz="4" w:space="0" w:color="000000"/>
              <w:left w:val="nil"/>
              <w:bottom w:val="nil"/>
              <w:right w:val="nil"/>
              <w:tl2br w:val="nil"/>
              <w:tr2bl w:val="nil"/>
            </w:tcBorders>
            <w:noWrap/>
            <w:tcMar>
              <w:left w:w="0" w:type="dxa"/>
              <w:right w:w="0" w:type="dxa"/>
            </w:tcMar>
            <w:vAlign w:val="center"/>
          </w:tcPr>
          <w:p w14:paraId="71F3E129" w14:textId="77777777" w:rsidR="00510CAA" w:rsidRDefault="00510CAA">
            <w:pPr>
              <w:jc w:val="center"/>
              <w:rPr>
                <w:rFonts w:ascii="Arial" w:eastAsia="Arial" w:hAnsi="Arial" w:cs="Arial"/>
                <w:color w:val="000000"/>
                <w:sz w:val="16"/>
              </w:rPr>
            </w:pPr>
          </w:p>
        </w:tc>
      </w:tr>
      <w:tr w:rsidR="00510CAA" w14:paraId="71F3E13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12B"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2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2017 60,456</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2D"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2E"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2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30"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31"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32"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3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34" w14:textId="77777777" w:rsidR="00510CAA" w:rsidRDefault="00510CAA">
            <w:pPr>
              <w:jc w:val="center"/>
              <w:rPr>
                <w:rFonts w:ascii="Arial" w:eastAsia="Arial" w:hAnsi="Arial" w:cs="Arial"/>
                <w:color w:val="000000"/>
                <w:sz w:val="16"/>
              </w:rPr>
            </w:pPr>
          </w:p>
        </w:tc>
      </w:tr>
      <w:tr w:rsidR="00510CAA" w14:paraId="71F3E14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dotted" w:sz="2" w:space="0" w:color="000000"/>
              <w:left w:val="nil"/>
              <w:bottom w:val="nil"/>
              <w:right w:val="nil"/>
              <w:tl2br w:val="nil"/>
              <w:tr2bl w:val="nil"/>
            </w:tcBorders>
            <w:tcMar>
              <w:left w:w="40" w:type="dxa"/>
              <w:right w:w="40" w:type="dxa"/>
            </w:tcMar>
            <w:vAlign w:val="center"/>
          </w:tcPr>
          <w:p w14:paraId="71F3E136" w14:textId="77777777" w:rsidR="00510CAA" w:rsidRDefault="003A4815">
            <w:pPr>
              <w:jc w:val="center"/>
              <w:rPr>
                <w:rFonts w:ascii="Arial" w:eastAsia="Arial" w:hAnsi="Arial" w:cs="Arial"/>
                <w:color w:val="000000"/>
                <w:sz w:val="16"/>
              </w:rPr>
            </w:pPr>
            <w:r>
              <w:rPr>
                <w:rFonts w:ascii="Arial" w:eastAsia="Arial" w:hAnsi="Arial" w:cs="Arial"/>
                <w:color w:val="000000"/>
                <w:sz w:val="16"/>
              </w:rPr>
              <w:t>2</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37"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Pollux</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38"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39" w14:textId="77777777" w:rsidR="00510CAA" w:rsidRDefault="003A4815">
            <w:pPr>
              <w:jc w:val="center"/>
              <w:rPr>
                <w:rFonts w:ascii="Arial" w:eastAsia="Arial" w:hAnsi="Arial" w:cs="Arial"/>
                <w:color w:val="000000"/>
                <w:sz w:val="16"/>
              </w:rPr>
            </w:pPr>
            <w:r>
              <w:rPr>
                <w:rFonts w:ascii="Arial" w:eastAsia="Arial" w:hAnsi="Arial" w:cs="Arial"/>
                <w:color w:val="000000"/>
                <w:sz w:val="16"/>
              </w:rPr>
              <w:t>A</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3A" w14:textId="77777777" w:rsidR="00510CAA" w:rsidRDefault="003A4815">
            <w:pPr>
              <w:jc w:val="center"/>
              <w:rPr>
                <w:rFonts w:ascii="Arial" w:eastAsia="Arial" w:hAnsi="Arial" w:cs="Arial"/>
                <w:color w:val="000000"/>
                <w:sz w:val="16"/>
              </w:rPr>
            </w:pPr>
            <w:r>
              <w:rPr>
                <w:rFonts w:ascii="Arial" w:eastAsia="Arial" w:hAnsi="Arial" w:cs="Arial"/>
                <w:color w:val="000000"/>
                <w:sz w:val="16"/>
              </w:rPr>
              <w:t>14,750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3B"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3C" w14:textId="77777777" w:rsidR="00510CAA" w:rsidRDefault="003A4815">
            <w:pPr>
              <w:jc w:val="center"/>
              <w:rPr>
                <w:rFonts w:ascii="Arial" w:eastAsia="Arial" w:hAnsi="Arial" w:cs="Arial"/>
                <w:color w:val="000000"/>
                <w:sz w:val="16"/>
              </w:rPr>
            </w:pPr>
            <w:r>
              <w:rPr>
                <w:rFonts w:ascii="Arial" w:eastAsia="Arial" w:hAnsi="Arial" w:cs="Arial"/>
                <w:color w:val="000000"/>
                <w:sz w:val="16"/>
              </w:rPr>
              <w:t>Stone Shipping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3D" w14:textId="77777777" w:rsidR="00510CAA" w:rsidRDefault="003A4815">
            <w:pPr>
              <w:jc w:val="center"/>
              <w:rPr>
                <w:rFonts w:ascii="Arial" w:eastAsia="Arial" w:hAnsi="Arial" w:cs="Arial"/>
                <w:color w:val="000000"/>
                <w:sz w:val="16"/>
              </w:rPr>
            </w:pPr>
            <w:r>
              <w:rPr>
                <w:rFonts w:ascii="Arial" w:eastAsia="Arial" w:hAnsi="Arial" w:cs="Arial"/>
                <w:color w:val="000000"/>
                <w:sz w:val="16"/>
              </w:rPr>
              <w:t>9-Dec-25</w:t>
            </w:r>
          </w:p>
        </w:tc>
        <w:tc>
          <w:tcPr>
            <w:tcW w:w="2100" w:type="dxa"/>
            <w:tcBorders>
              <w:top w:val="dotted" w:sz="2" w:space="0" w:color="000000"/>
              <w:left w:val="nil"/>
              <w:bottom w:val="nil"/>
              <w:right w:val="nil"/>
              <w:tl2br w:val="nil"/>
              <w:tr2bl w:val="nil"/>
            </w:tcBorders>
            <w:tcMar>
              <w:left w:w="40" w:type="dxa"/>
              <w:right w:w="40" w:type="dxa"/>
            </w:tcMar>
          </w:tcPr>
          <w:p w14:paraId="71F3E13E" w14:textId="77777777" w:rsidR="00510CAA" w:rsidRDefault="003A4815">
            <w:pPr>
              <w:jc w:val="center"/>
              <w:rPr>
                <w:rFonts w:ascii="Arial" w:eastAsia="Arial" w:hAnsi="Arial" w:cs="Arial"/>
                <w:color w:val="000000"/>
                <w:sz w:val="16"/>
              </w:rPr>
            </w:pPr>
            <w:r>
              <w:rPr>
                <w:rFonts w:ascii="Arial" w:eastAsia="Arial" w:hAnsi="Arial" w:cs="Arial"/>
                <w:color w:val="000000"/>
                <w:sz w:val="16"/>
              </w:rPr>
              <w:t>1/Jan/2027 - 28/Feb/2027</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13F" w14:textId="77777777" w:rsidR="00510CAA" w:rsidRDefault="00510CAA">
            <w:pPr>
              <w:jc w:val="center"/>
              <w:rPr>
                <w:rFonts w:ascii="Arial" w:eastAsia="Arial" w:hAnsi="Arial" w:cs="Arial"/>
                <w:color w:val="000000"/>
                <w:sz w:val="16"/>
              </w:rPr>
            </w:pPr>
          </w:p>
        </w:tc>
      </w:tr>
      <w:tr w:rsidR="00510CAA" w14:paraId="71F3E14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nil"/>
              <w:left w:val="nil"/>
              <w:bottom w:val="dotted" w:sz="2" w:space="0" w:color="000000"/>
              <w:right w:val="nil"/>
              <w:tl2br w:val="nil"/>
              <w:tr2bl w:val="nil"/>
            </w:tcBorders>
            <w:tcMar>
              <w:left w:w="0" w:type="dxa"/>
              <w:right w:w="0" w:type="dxa"/>
            </w:tcMar>
            <w:vAlign w:val="center"/>
          </w:tcPr>
          <w:p w14:paraId="71F3E141"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42" w14:textId="77777777" w:rsidR="00510CAA" w:rsidRDefault="003A4815">
            <w:pPr>
              <w:jc w:val="center"/>
              <w:rPr>
                <w:rFonts w:ascii="Arial" w:eastAsia="Arial" w:hAnsi="Arial" w:cs="Arial"/>
                <w:color w:val="000000"/>
                <w:sz w:val="16"/>
              </w:rPr>
            </w:pPr>
            <w:r>
              <w:rPr>
                <w:rFonts w:ascii="Arial" w:eastAsia="Arial" w:hAnsi="Arial" w:cs="Arial"/>
                <w:color w:val="000000"/>
                <w:sz w:val="16"/>
              </w:rPr>
              <w:t>2015 60,446</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43"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44"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45"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46"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47"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48"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tcPr>
          <w:p w14:paraId="71F3E14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4A" w14:textId="77777777" w:rsidR="00510CAA" w:rsidRDefault="00510CAA">
            <w:pPr>
              <w:jc w:val="center"/>
              <w:rPr>
                <w:rFonts w:ascii="Arial" w:eastAsia="Arial" w:hAnsi="Arial" w:cs="Arial"/>
                <w:color w:val="000000"/>
                <w:sz w:val="16"/>
              </w:rPr>
            </w:pPr>
          </w:p>
        </w:tc>
      </w:tr>
      <w:tr w:rsidR="00510CAA" w14:paraId="71F3E15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dotted" w:sz="2" w:space="0" w:color="000000"/>
              <w:left w:val="nil"/>
              <w:bottom w:val="nil"/>
              <w:right w:val="nil"/>
              <w:tl2br w:val="nil"/>
              <w:tr2bl w:val="nil"/>
            </w:tcBorders>
            <w:tcMar>
              <w:left w:w="40" w:type="dxa"/>
              <w:right w:w="40" w:type="dxa"/>
            </w:tcMar>
            <w:vAlign w:val="center"/>
          </w:tcPr>
          <w:p w14:paraId="71F3E14C" w14:textId="77777777" w:rsidR="00510CAA" w:rsidRDefault="003A4815">
            <w:pPr>
              <w:jc w:val="center"/>
              <w:rPr>
                <w:rFonts w:ascii="Arial" w:eastAsia="Arial" w:hAnsi="Arial" w:cs="Arial"/>
                <w:color w:val="000000"/>
                <w:sz w:val="16"/>
              </w:rPr>
            </w:pPr>
            <w:r>
              <w:rPr>
                <w:rFonts w:ascii="Arial" w:eastAsia="Arial" w:hAnsi="Arial" w:cs="Arial"/>
                <w:color w:val="000000"/>
                <w:sz w:val="16"/>
              </w:rPr>
              <w:t>3</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4D"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Pyxis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4E"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4F" w14:textId="77777777" w:rsidR="00510CAA" w:rsidRDefault="003A4815">
            <w:pPr>
              <w:jc w:val="center"/>
              <w:rPr>
                <w:rFonts w:ascii="Arial" w:eastAsia="Arial" w:hAnsi="Arial" w:cs="Arial"/>
                <w:color w:val="000000"/>
                <w:sz w:val="16"/>
              </w:rPr>
            </w:pPr>
            <w:r>
              <w:rPr>
                <w:rFonts w:ascii="Arial" w:eastAsia="Arial" w:hAnsi="Arial" w:cs="Arial"/>
                <w:color w:val="000000"/>
                <w:sz w:val="16"/>
              </w:rPr>
              <w:t>A</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50" w14:textId="77777777" w:rsidR="00510CAA" w:rsidRDefault="003A4815">
            <w:pPr>
              <w:jc w:val="center"/>
              <w:rPr>
                <w:rFonts w:ascii="Arial" w:eastAsia="Arial" w:hAnsi="Arial" w:cs="Arial"/>
                <w:color w:val="000000"/>
                <w:sz w:val="16"/>
              </w:rPr>
            </w:pPr>
            <w:r>
              <w:rPr>
                <w:rFonts w:ascii="Arial" w:eastAsia="Arial" w:hAnsi="Arial" w:cs="Arial"/>
                <w:color w:val="000000"/>
                <w:sz w:val="16"/>
              </w:rPr>
              <w:t>13,100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51"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52" w14:textId="77777777" w:rsidR="00510CAA" w:rsidRDefault="003A4815">
            <w:pPr>
              <w:jc w:val="center"/>
              <w:rPr>
                <w:rFonts w:ascii="Arial" w:eastAsia="Arial" w:hAnsi="Arial" w:cs="Arial"/>
                <w:color w:val="000000"/>
                <w:sz w:val="16"/>
              </w:rPr>
            </w:pPr>
            <w:r>
              <w:rPr>
                <w:rFonts w:ascii="Arial" w:eastAsia="Arial" w:hAnsi="Arial" w:cs="Arial"/>
                <w:color w:val="000000"/>
                <w:sz w:val="16"/>
              </w:rPr>
              <w:t>Stone Shipping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53" w14:textId="77777777" w:rsidR="00510CAA" w:rsidRDefault="003A4815">
            <w:pPr>
              <w:jc w:val="center"/>
              <w:rPr>
                <w:rFonts w:ascii="Arial" w:eastAsia="Arial" w:hAnsi="Arial" w:cs="Arial"/>
                <w:color w:val="000000"/>
                <w:sz w:val="16"/>
              </w:rPr>
            </w:pPr>
            <w:r>
              <w:rPr>
                <w:rFonts w:ascii="Arial" w:eastAsia="Arial" w:hAnsi="Arial" w:cs="Arial"/>
                <w:color w:val="000000"/>
                <w:sz w:val="16"/>
              </w:rPr>
              <w:t>8-Nov-24</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54" w14:textId="77777777" w:rsidR="00510CAA" w:rsidRDefault="003A4815">
            <w:pPr>
              <w:jc w:val="center"/>
              <w:rPr>
                <w:rFonts w:ascii="Arial" w:eastAsia="Arial" w:hAnsi="Arial" w:cs="Arial"/>
                <w:color w:val="000000"/>
                <w:sz w:val="16"/>
              </w:rPr>
            </w:pPr>
            <w:r>
              <w:rPr>
                <w:rFonts w:ascii="Arial" w:eastAsia="Arial" w:hAnsi="Arial" w:cs="Arial"/>
                <w:color w:val="000000"/>
                <w:sz w:val="16"/>
              </w:rPr>
              <w:t>20/Mar/2026 - 20/Apr/2026</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55" w14:textId="77777777" w:rsidR="00510CAA" w:rsidRDefault="003A4815">
            <w:pPr>
              <w:jc w:val="center"/>
              <w:rPr>
                <w:rFonts w:ascii="Arial" w:eastAsia="Arial" w:hAnsi="Arial" w:cs="Arial"/>
                <w:color w:val="000000"/>
                <w:sz w:val="16"/>
              </w:rPr>
            </w:pPr>
            <w:r>
              <w:rPr>
                <w:rFonts w:ascii="Arial" w:eastAsia="Arial" w:hAnsi="Arial" w:cs="Arial"/>
                <w:color w:val="000000"/>
                <w:sz w:val="16"/>
              </w:rPr>
              <w:t>1</w:t>
            </w:r>
          </w:p>
        </w:tc>
      </w:tr>
      <w:tr w:rsidR="00510CAA" w14:paraId="71F3E16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nil"/>
              <w:left w:val="nil"/>
              <w:bottom w:val="dotted" w:sz="2" w:space="0" w:color="000000"/>
              <w:right w:val="nil"/>
              <w:tl2br w:val="nil"/>
              <w:tr2bl w:val="nil"/>
            </w:tcBorders>
            <w:tcMar>
              <w:left w:w="0" w:type="dxa"/>
              <w:right w:w="0" w:type="dxa"/>
            </w:tcMar>
            <w:vAlign w:val="center"/>
          </w:tcPr>
          <w:p w14:paraId="71F3E157"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58" w14:textId="77777777" w:rsidR="00510CAA" w:rsidRDefault="003A4815">
            <w:pPr>
              <w:jc w:val="center"/>
              <w:rPr>
                <w:rFonts w:ascii="Arial" w:eastAsia="Arial" w:hAnsi="Arial" w:cs="Arial"/>
                <w:color w:val="000000"/>
                <w:sz w:val="16"/>
              </w:rPr>
            </w:pPr>
            <w:r>
              <w:rPr>
                <w:rFonts w:ascii="Arial" w:eastAsia="Arial" w:hAnsi="Arial" w:cs="Arial"/>
                <w:color w:val="000000"/>
                <w:sz w:val="16"/>
              </w:rPr>
              <w:t>2018 60,362</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59"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5A"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5B"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5C"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5D"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5E"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5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60" w14:textId="77777777" w:rsidR="00510CAA" w:rsidRDefault="00510CAA">
            <w:pPr>
              <w:jc w:val="center"/>
              <w:rPr>
                <w:rFonts w:ascii="Arial" w:eastAsia="Arial" w:hAnsi="Arial" w:cs="Arial"/>
                <w:color w:val="000000"/>
                <w:sz w:val="16"/>
              </w:rPr>
            </w:pPr>
          </w:p>
        </w:tc>
      </w:tr>
      <w:tr w:rsidR="00510CAA" w14:paraId="71F3E16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dotted" w:sz="2" w:space="0" w:color="000000"/>
              <w:left w:val="nil"/>
              <w:bottom w:val="nil"/>
              <w:right w:val="nil"/>
              <w:tl2br w:val="nil"/>
              <w:tr2bl w:val="nil"/>
            </w:tcBorders>
            <w:tcMar>
              <w:left w:w="40" w:type="dxa"/>
              <w:right w:w="40" w:type="dxa"/>
            </w:tcMar>
            <w:vAlign w:val="center"/>
          </w:tcPr>
          <w:p w14:paraId="71F3E162" w14:textId="77777777" w:rsidR="00510CAA" w:rsidRDefault="003A4815">
            <w:pPr>
              <w:jc w:val="center"/>
              <w:rPr>
                <w:rFonts w:ascii="Arial" w:eastAsia="Arial" w:hAnsi="Arial" w:cs="Arial"/>
                <w:color w:val="000000"/>
                <w:sz w:val="16"/>
              </w:rPr>
            </w:pPr>
            <w:r>
              <w:rPr>
                <w:rFonts w:ascii="Arial" w:eastAsia="Arial" w:hAnsi="Arial" w:cs="Arial"/>
                <w:color w:val="000000"/>
                <w:sz w:val="16"/>
              </w:rPr>
              <w:t>4</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63"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Polaris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64" w14:textId="77777777" w:rsidR="00510CAA" w:rsidRDefault="00510CAA">
            <w:pPr>
              <w:rPr>
                <w:rFonts w:ascii="Arial" w:eastAsia="Arial" w:hAnsi="Arial" w:cs="Arial"/>
                <w:color w:val="000000"/>
                <w:sz w:val="16"/>
              </w:rPr>
            </w:pPr>
          </w:p>
        </w:tc>
        <w:tc>
          <w:tcPr>
            <w:tcW w:w="630" w:type="dxa"/>
            <w:vMerge w:val="restart"/>
            <w:tcBorders>
              <w:top w:val="dotted" w:sz="2" w:space="0" w:color="000000"/>
              <w:left w:val="nil"/>
              <w:bottom w:val="nil"/>
              <w:right w:val="nil"/>
              <w:tl2br w:val="nil"/>
              <w:tr2bl w:val="nil"/>
            </w:tcBorders>
            <w:tcMar>
              <w:left w:w="40" w:type="dxa"/>
              <w:right w:w="40" w:type="dxa"/>
            </w:tcMar>
            <w:vAlign w:val="center"/>
          </w:tcPr>
          <w:p w14:paraId="71F3E165" w14:textId="77777777" w:rsidR="00510CAA" w:rsidRDefault="003A4815">
            <w:pPr>
              <w:jc w:val="center"/>
              <w:rPr>
                <w:rFonts w:ascii="Arial" w:eastAsia="Arial" w:hAnsi="Arial" w:cs="Arial"/>
                <w:color w:val="000000"/>
                <w:sz w:val="16"/>
              </w:rPr>
            </w:pPr>
            <w:r>
              <w:rPr>
                <w:rFonts w:ascii="Arial" w:eastAsia="Arial" w:hAnsi="Arial" w:cs="Arial"/>
                <w:color w:val="000000"/>
                <w:sz w:val="16"/>
              </w:rPr>
              <w:t>A</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66" w14:textId="77777777" w:rsidR="00510CAA" w:rsidRDefault="003A4815">
            <w:pPr>
              <w:jc w:val="center"/>
              <w:rPr>
                <w:rFonts w:ascii="Arial" w:eastAsia="Arial" w:hAnsi="Arial" w:cs="Arial"/>
                <w:color w:val="000000"/>
                <w:sz w:val="16"/>
              </w:rPr>
            </w:pPr>
            <w:r>
              <w:rPr>
                <w:rFonts w:ascii="Arial" w:eastAsia="Arial" w:hAnsi="Arial" w:cs="Arial"/>
                <w:color w:val="000000"/>
                <w:sz w:val="16"/>
              </w:rPr>
              <w:t>12,250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67" w14:textId="77777777" w:rsidR="00510CAA" w:rsidRDefault="003A4815">
            <w:pPr>
              <w:jc w:val="center"/>
              <w:rPr>
                <w:rFonts w:ascii="Arial" w:eastAsia="Arial" w:hAnsi="Arial" w:cs="Arial"/>
                <w:color w:val="000000"/>
                <w:sz w:val="16"/>
              </w:rPr>
            </w:pPr>
            <w:r>
              <w:rPr>
                <w:rFonts w:ascii="Arial" w:eastAsia="Arial" w:hAnsi="Arial" w:cs="Arial"/>
                <w:color w:val="000000"/>
                <w:sz w:val="16"/>
              </w:rPr>
              <w:t>4.75%</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68"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Ocean Transportation (Singapore) Pte.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69" w14:textId="77777777" w:rsidR="00510CAA" w:rsidRDefault="003A4815">
            <w:pPr>
              <w:jc w:val="center"/>
              <w:rPr>
                <w:rFonts w:ascii="Arial" w:eastAsia="Arial" w:hAnsi="Arial" w:cs="Arial"/>
                <w:color w:val="000000"/>
                <w:sz w:val="16"/>
              </w:rPr>
            </w:pPr>
            <w:r>
              <w:rPr>
                <w:rFonts w:ascii="Arial" w:eastAsia="Arial" w:hAnsi="Arial" w:cs="Arial"/>
                <w:color w:val="000000"/>
                <w:sz w:val="16"/>
              </w:rPr>
              <w:t>1-Jul-25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6A" w14:textId="77777777" w:rsidR="00510CAA" w:rsidRDefault="003A4815">
            <w:pPr>
              <w:jc w:val="center"/>
              <w:rPr>
                <w:rFonts w:ascii="Arial" w:eastAsia="Arial" w:hAnsi="Arial" w:cs="Arial"/>
                <w:color w:val="000000"/>
                <w:sz w:val="16"/>
              </w:rPr>
            </w:pPr>
            <w:r>
              <w:rPr>
                <w:rFonts w:ascii="Arial" w:eastAsia="Arial" w:hAnsi="Arial" w:cs="Arial"/>
                <w:color w:val="000000"/>
                <w:sz w:val="16"/>
              </w:rPr>
              <w:t>21/Jul/2026 - 21/Sep/2026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16B" w14:textId="77777777" w:rsidR="00510CAA" w:rsidRDefault="00510CAA">
            <w:pPr>
              <w:jc w:val="center"/>
              <w:rPr>
                <w:rFonts w:ascii="Arial" w:eastAsia="Arial" w:hAnsi="Arial" w:cs="Arial"/>
                <w:color w:val="000000"/>
                <w:sz w:val="16"/>
              </w:rPr>
            </w:pPr>
          </w:p>
        </w:tc>
      </w:tr>
      <w:tr w:rsidR="00510CAA" w14:paraId="71F3E17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16D"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6E" w14:textId="77777777" w:rsidR="00510CAA" w:rsidRDefault="003A4815">
            <w:pPr>
              <w:jc w:val="center"/>
              <w:rPr>
                <w:rFonts w:ascii="Arial" w:eastAsia="Arial" w:hAnsi="Arial" w:cs="Arial"/>
                <w:color w:val="000000"/>
                <w:sz w:val="16"/>
              </w:rPr>
            </w:pPr>
            <w:r>
              <w:rPr>
                <w:rFonts w:ascii="Arial" w:eastAsia="Arial" w:hAnsi="Arial" w:cs="Arial"/>
                <w:color w:val="000000"/>
                <w:sz w:val="16"/>
              </w:rPr>
              <w:t>2018 60,404</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6F" w14:textId="77777777" w:rsidR="00510CAA" w:rsidRDefault="00510CAA">
            <w:pPr>
              <w:rPr>
                <w:rFonts w:ascii="Arial" w:eastAsia="Arial" w:hAnsi="Arial" w:cs="Arial"/>
                <w:color w:val="000000"/>
                <w:sz w:val="16"/>
              </w:rPr>
            </w:pPr>
          </w:p>
        </w:tc>
        <w:tc>
          <w:tcPr>
            <w:tcW w:w="630" w:type="dxa"/>
            <w:vMerge/>
            <w:tcBorders>
              <w:top w:val="nil"/>
              <w:left w:val="nil"/>
              <w:bottom w:val="dotted" w:sz="2" w:space="0" w:color="000000"/>
              <w:right w:val="nil"/>
              <w:tl2br w:val="nil"/>
              <w:tr2bl w:val="nil"/>
            </w:tcBorders>
            <w:tcMar>
              <w:left w:w="0" w:type="dxa"/>
              <w:right w:w="0" w:type="dxa"/>
            </w:tcMar>
            <w:vAlign w:val="center"/>
          </w:tcPr>
          <w:p w14:paraId="71F3E170"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71"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72"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73"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74"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75"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76" w14:textId="77777777" w:rsidR="00510CAA" w:rsidRDefault="00510CAA">
            <w:pPr>
              <w:rPr>
                <w:rFonts w:ascii="Arial" w:eastAsia="Arial" w:hAnsi="Arial" w:cs="Arial"/>
                <w:color w:val="000000"/>
                <w:sz w:val="16"/>
              </w:rPr>
            </w:pPr>
          </w:p>
        </w:tc>
      </w:tr>
      <w:tr w:rsidR="00510CAA" w14:paraId="71F3E18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178" w14:textId="77777777" w:rsidR="00510CAA" w:rsidRDefault="003A4815">
            <w:pPr>
              <w:jc w:val="center"/>
              <w:rPr>
                <w:rFonts w:ascii="Arial" w:eastAsia="Arial" w:hAnsi="Arial" w:cs="Arial"/>
                <w:color w:val="000000"/>
                <w:sz w:val="16"/>
              </w:rPr>
            </w:pPr>
            <w:r>
              <w:rPr>
                <w:rFonts w:ascii="Arial" w:eastAsia="Arial" w:hAnsi="Arial" w:cs="Arial"/>
                <w:color w:val="000000"/>
                <w:sz w:val="16"/>
              </w:rPr>
              <w:t>5</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79"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Pegasus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7A"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7B" w14:textId="77777777" w:rsidR="00510CAA" w:rsidRDefault="003A4815">
            <w:pPr>
              <w:jc w:val="center"/>
              <w:rPr>
                <w:rFonts w:ascii="Arial" w:eastAsia="Arial" w:hAnsi="Arial" w:cs="Arial"/>
                <w:color w:val="000000"/>
                <w:sz w:val="16"/>
              </w:rPr>
            </w:pPr>
            <w:r>
              <w:rPr>
                <w:rFonts w:ascii="Arial" w:eastAsia="Arial" w:hAnsi="Arial" w:cs="Arial"/>
                <w:color w:val="000000"/>
                <w:sz w:val="16"/>
              </w:rPr>
              <w:t>A</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7C" w14:textId="77777777" w:rsidR="00510CAA" w:rsidRDefault="003A4815">
            <w:pPr>
              <w:jc w:val="center"/>
              <w:rPr>
                <w:rFonts w:ascii="Arial" w:eastAsia="Arial" w:hAnsi="Arial" w:cs="Arial"/>
                <w:color w:val="000000"/>
                <w:sz w:val="16"/>
              </w:rPr>
            </w:pPr>
            <w:r>
              <w:rPr>
                <w:rFonts w:ascii="Arial" w:eastAsia="Arial" w:hAnsi="Arial" w:cs="Arial"/>
                <w:color w:val="000000"/>
                <w:sz w:val="16"/>
              </w:rPr>
              <w:t>14,250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7D" w14:textId="77777777" w:rsidR="00510CAA" w:rsidRDefault="003A4815">
            <w:pPr>
              <w:jc w:val="center"/>
              <w:rPr>
                <w:rFonts w:ascii="Arial" w:eastAsia="Arial" w:hAnsi="Arial" w:cs="Arial"/>
                <w:color w:val="000000"/>
                <w:sz w:val="16"/>
              </w:rPr>
            </w:pPr>
            <w:r>
              <w:rPr>
                <w:rFonts w:ascii="Arial" w:eastAsia="Arial" w:hAnsi="Arial" w:cs="Arial"/>
                <w:color w:val="000000"/>
                <w:sz w:val="16"/>
              </w:rPr>
              <w:t>4.75%</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7E"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Ocean Transportation (Singapore) Pte.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7F" w14:textId="77777777" w:rsidR="00510CAA" w:rsidRDefault="003A4815">
            <w:pPr>
              <w:jc w:val="center"/>
              <w:rPr>
                <w:rFonts w:ascii="Arial" w:eastAsia="Arial" w:hAnsi="Arial" w:cs="Arial"/>
                <w:color w:val="000000"/>
                <w:sz w:val="16"/>
              </w:rPr>
            </w:pPr>
            <w:r>
              <w:rPr>
                <w:rFonts w:ascii="Arial" w:eastAsia="Arial" w:hAnsi="Arial" w:cs="Arial"/>
                <w:color w:val="000000"/>
                <w:sz w:val="16"/>
              </w:rPr>
              <w:t>15-Aug-25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80" w14:textId="77777777" w:rsidR="00510CAA" w:rsidRDefault="003A4815">
            <w:pPr>
              <w:jc w:val="center"/>
              <w:rPr>
                <w:rFonts w:ascii="Arial" w:eastAsia="Arial" w:hAnsi="Arial" w:cs="Arial"/>
                <w:color w:val="000000"/>
                <w:sz w:val="16"/>
              </w:rPr>
            </w:pPr>
            <w:r>
              <w:rPr>
                <w:rFonts w:ascii="Arial" w:eastAsia="Arial" w:hAnsi="Arial" w:cs="Arial"/>
                <w:color w:val="000000"/>
                <w:sz w:val="16"/>
              </w:rPr>
              <w:t>20/May/2026 - 20/Jul/2026</w:t>
            </w:r>
          </w:p>
        </w:tc>
        <w:tc>
          <w:tcPr>
            <w:tcW w:w="660" w:type="dxa"/>
            <w:vMerge w:val="restart"/>
            <w:tcBorders>
              <w:top w:val="dotted" w:sz="2" w:space="0" w:color="000000"/>
              <w:left w:val="nil"/>
              <w:bottom w:val="nil"/>
              <w:right w:val="nil"/>
              <w:tl2br w:val="nil"/>
              <w:tr2bl w:val="nil"/>
            </w:tcBorders>
            <w:noWrap/>
            <w:tcMar>
              <w:left w:w="0" w:type="dxa"/>
              <w:right w:w="0" w:type="dxa"/>
            </w:tcMar>
            <w:vAlign w:val="center"/>
          </w:tcPr>
          <w:p w14:paraId="71F3E181" w14:textId="77777777" w:rsidR="00510CAA" w:rsidRDefault="00510CAA">
            <w:pPr>
              <w:jc w:val="center"/>
              <w:rPr>
                <w:rFonts w:ascii="Arial" w:eastAsia="Arial" w:hAnsi="Arial" w:cs="Arial"/>
                <w:color w:val="000000"/>
                <w:sz w:val="16"/>
              </w:rPr>
            </w:pPr>
          </w:p>
        </w:tc>
      </w:tr>
      <w:tr w:rsidR="00510CAA" w14:paraId="71F3E18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183"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84" w14:textId="77777777" w:rsidR="00510CAA" w:rsidRDefault="003A4815">
            <w:pPr>
              <w:jc w:val="center"/>
              <w:rPr>
                <w:rFonts w:ascii="Arial" w:eastAsia="Arial" w:hAnsi="Arial" w:cs="Arial"/>
                <w:color w:val="000000"/>
                <w:sz w:val="16"/>
              </w:rPr>
            </w:pPr>
            <w:r>
              <w:rPr>
                <w:rFonts w:ascii="Arial" w:eastAsia="Arial" w:hAnsi="Arial" w:cs="Arial"/>
                <w:color w:val="000000"/>
                <w:sz w:val="16"/>
              </w:rPr>
              <w:t>2015 60,508</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85"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86"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8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88"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89"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8A"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8B" w14:textId="77777777" w:rsidR="00510CAA" w:rsidRDefault="00510CAA">
            <w:pPr>
              <w:jc w:val="center"/>
              <w:rPr>
                <w:rFonts w:ascii="Arial" w:eastAsia="Arial" w:hAnsi="Arial" w:cs="Arial"/>
                <w:color w:val="000000"/>
                <w:sz w:val="16"/>
              </w:rPr>
            </w:pPr>
          </w:p>
        </w:tc>
        <w:tc>
          <w:tcPr>
            <w:tcW w:w="660" w:type="dxa"/>
            <w:vMerge/>
            <w:tcBorders>
              <w:top w:val="nil"/>
              <w:left w:val="nil"/>
              <w:bottom w:val="dotted" w:sz="2" w:space="0" w:color="000000"/>
              <w:right w:val="nil"/>
              <w:tl2br w:val="nil"/>
              <w:tr2bl w:val="nil"/>
            </w:tcBorders>
            <w:noWrap/>
            <w:tcMar>
              <w:left w:w="0" w:type="dxa"/>
              <w:right w:w="0" w:type="dxa"/>
            </w:tcMar>
            <w:vAlign w:val="center"/>
          </w:tcPr>
          <w:p w14:paraId="71F3E18C" w14:textId="77777777" w:rsidR="00510CAA" w:rsidRDefault="00510CAA">
            <w:pPr>
              <w:jc w:val="center"/>
              <w:rPr>
                <w:rFonts w:ascii="Arial" w:eastAsia="Arial" w:hAnsi="Arial" w:cs="Arial"/>
                <w:color w:val="000000"/>
                <w:sz w:val="16"/>
              </w:rPr>
            </w:pPr>
          </w:p>
        </w:tc>
      </w:tr>
      <w:tr w:rsidR="00510CAA" w14:paraId="71F3E19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18E" w14:textId="77777777" w:rsidR="00510CAA" w:rsidRDefault="003A4815">
            <w:pPr>
              <w:jc w:val="center"/>
              <w:rPr>
                <w:rFonts w:ascii="Arial" w:eastAsia="Arial" w:hAnsi="Arial" w:cs="Arial"/>
                <w:color w:val="000000"/>
                <w:sz w:val="16"/>
              </w:rPr>
            </w:pPr>
            <w:r>
              <w:rPr>
                <w:rFonts w:ascii="Arial" w:eastAsia="Arial" w:hAnsi="Arial" w:cs="Arial"/>
                <w:color w:val="000000"/>
                <w:sz w:val="16"/>
              </w:rPr>
              <w:t>6</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8F"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Aquarius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90"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91" w14:textId="77777777" w:rsidR="00510CAA" w:rsidRDefault="003A4815">
            <w:pPr>
              <w:jc w:val="center"/>
              <w:rPr>
                <w:rFonts w:ascii="Arial" w:eastAsia="Arial" w:hAnsi="Arial" w:cs="Arial"/>
                <w:color w:val="000000"/>
                <w:sz w:val="16"/>
              </w:rPr>
            </w:pPr>
            <w:r>
              <w:rPr>
                <w:rFonts w:ascii="Arial" w:eastAsia="Arial" w:hAnsi="Arial" w:cs="Arial"/>
                <w:color w:val="000000"/>
                <w:sz w:val="16"/>
              </w:rPr>
              <w:t>B</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92" w14:textId="77777777" w:rsidR="00510CAA" w:rsidRDefault="003A4815">
            <w:pPr>
              <w:jc w:val="center"/>
              <w:rPr>
                <w:rFonts w:ascii="Arial" w:eastAsia="Arial" w:hAnsi="Arial" w:cs="Arial"/>
                <w:color w:val="000000"/>
                <w:sz w:val="16"/>
              </w:rPr>
            </w:pPr>
            <w:r>
              <w:rPr>
                <w:rFonts w:ascii="Arial" w:eastAsia="Arial" w:hAnsi="Arial" w:cs="Arial"/>
                <w:color w:val="000000"/>
                <w:sz w:val="16"/>
              </w:rPr>
              <w:t>14,500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93"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94" w14:textId="77777777" w:rsidR="00510CAA" w:rsidRDefault="003A4815">
            <w:pPr>
              <w:jc w:val="center"/>
              <w:rPr>
                <w:rFonts w:ascii="Arial" w:eastAsia="Arial" w:hAnsi="Arial" w:cs="Arial"/>
                <w:color w:val="000000"/>
                <w:sz w:val="16"/>
              </w:rPr>
            </w:pPr>
            <w:r>
              <w:rPr>
                <w:rFonts w:ascii="Arial" w:eastAsia="Arial" w:hAnsi="Arial" w:cs="Arial"/>
                <w:color w:val="000000"/>
                <w:sz w:val="16"/>
              </w:rPr>
              <w:t>Bunge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95" w14:textId="77777777" w:rsidR="00510CAA" w:rsidRDefault="003A4815">
            <w:pPr>
              <w:jc w:val="center"/>
              <w:rPr>
                <w:rFonts w:ascii="Arial" w:eastAsia="Arial" w:hAnsi="Arial" w:cs="Arial"/>
                <w:color w:val="000000"/>
                <w:sz w:val="16"/>
              </w:rPr>
            </w:pPr>
            <w:r>
              <w:rPr>
                <w:rFonts w:ascii="Arial" w:eastAsia="Arial" w:hAnsi="Arial" w:cs="Arial"/>
                <w:color w:val="000000"/>
                <w:sz w:val="16"/>
              </w:rPr>
              <w:t>7-Nov-25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96" w14:textId="77777777" w:rsidR="00510CAA" w:rsidRDefault="003A4815">
            <w:pPr>
              <w:jc w:val="center"/>
              <w:rPr>
                <w:rFonts w:ascii="Arial" w:eastAsia="Arial" w:hAnsi="Arial" w:cs="Arial"/>
                <w:color w:val="000000"/>
                <w:sz w:val="16"/>
              </w:rPr>
            </w:pPr>
            <w:r>
              <w:rPr>
                <w:rFonts w:ascii="Arial" w:eastAsia="Arial" w:hAnsi="Arial" w:cs="Arial"/>
                <w:color w:val="000000"/>
                <w:sz w:val="16"/>
              </w:rPr>
              <w:t>1/Nov/2026 - 31/Dec/2026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197" w14:textId="77777777" w:rsidR="00510CAA" w:rsidRDefault="00510CAA">
            <w:pPr>
              <w:rPr>
                <w:rFonts w:ascii="Arial" w:eastAsia="Arial" w:hAnsi="Arial" w:cs="Arial"/>
                <w:color w:val="000000"/>
                <w:sz w:val="16"/>
              </w:rPr>
            </w:pPr>
          </w:p>
        </w:tc>
      </w:tr>
      <w:tr w:rsidR="00510CAA" w14:paraId="71F3E1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199"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9A" w14:textId="77777777" w:rsidR="00510CAA" w:rsidRDefault="003A4815">
            <w:pPr>
              <w:jc w:val="center"/>
              <w:rPr>
                <w:rFonts w:ascii="Arial" w:eastAsia="Arial" w:hAnsi="Arial" w:cs="Arial"/>
                <w:color w:val="000000"/>
                <w:sz w:val="16"/>
              </w:rPr>
            </w:pPr>
            <w:r>
              <w:rPr>
                <w:rFonts w:ascii="Arial" w:eastAsia="Arial" w:hAnsi="Arial" w:cs="Arial"/>
                <w:color w:val="000000"/>
                <w:sz w:val="16"/>
              </w:rPr>
              <w:t>2016 60,309</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9B"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9C"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9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9E"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9F"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A0"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A1"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A2" w14:textId="77777777" w:rsidR="00510CAA" w:rsidRDefault="00510CAA">
            <w:pPr>
              <w:rPr>
                <w:rFonts w:ascii="Arial" w:eastAsia="Arial" w:hAnsi="Arial" w:cs="Arial"/>
                <w:color w:val="000000"/>
                <w:sz w:val="16"/>
              </w:rPr>
            </w:pPr>
          </w:p>
        </w:tc>
      </w:tr>
      <w:tr w:rsidR="00510CAA" w14:paraId="71F3E1A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1A4" w14:textId="77777777" w:rsidR="00510CAA" w:rsidRDefault="003A4815">
            <w:pPr>
              <w:jc w:val="center"/>
              <w:rPr>
                <w:rFonts w:ascii="Arial" w:eastAsia="Arial" w:hAnsi="Arial" w:cs="Arial"/>
                <w:color w:val="000000"/>
                <w:sz w:val="16"/>
              </w:rPr>
            </w:pPr>
            <w:r>
              <w:rPr>
                <w:rFonts w:ascii="Arial" w:eastAsia="Arial" w:hAnsi="Arial" w:cs="Arial"/>
                <w:color w:val="000000"/>
                <w:sz w:val="16"/>
              </w:rPr>
              <w:t>7</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A5"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Aquila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A6"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A7" w14:textId="77777777" w:rsidR="00510CAA" w:rsidRDefault="003A4815">
            <w:pPr>
              <w:jc w:val="center"/>
              <w:rPr>
                <w:rFonts w:ascii="Arial" w:eastAsia="Arial" w:hAnsi="Arial" w:cs="Arial"/>
                <w:color w:val="000000"/>
                <w:sz w:val="16"/>
              </w:rPr>
            </w:pPr>
            <w:r>
              <w:rPr>
                <w:rFonts w:ascii="Arial" w:eastAsia="Arial" w:hAnsi="Arial" w:cs="Arial"/>
                <w:color w:val="000000"/>
                <w:sz w:val="16"/>
              </w:rPr>
              <w:t>B</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A8" w14:textId="77777777" w:rsidR="00510CAA" w:rsidRDefault="003A4815">
            <w:pPr>
              <w:jc w:val="center"/>
              <w:rPr>
                <w:rFonts w:ascii="Arial" w:eastAsia="Arial" w:hAnsi="Arial" w:cs="Arial"/>
                <w:color w:val="000000"/>
                <w:sz w:val="16"/>
              </w:rPr>
            </w:pPr>
            <w:r>
              <w:rPr>
                <w:rFonts w:ascii="Arial" w:eastAsia="Arial" w:hAnsi="Arial" w:cs="Arial"/>
                <w:color w:val="000000"/>
                <w:sz w:val="16"/>
              </w:rPr>
              <w:t>14,500</w:t>
            </w:r>
          </w:p>
        </w:tc>
        <w:tc>
          <w:tcPr>
            <w:tcW w:w="660" w:type="dxa"/>
            <w:tcBorders>
              <w:top w:val="dotted" w:sz="2" w:space="0" w:color="000000"/>
              <w:left w:val="nil"/>
              <w:bottom w:val="nil"/>
              <w:right w:val="nil"/>
              <w:tl2br w:val="nil"/>
              <w:tr2bl w:val="nil"/>
            </w:tcBorders>
            <w:tcMar>
              <w:left w:w="40" w:type="dxa"/>
              <w:right w:w="40" w:type="dxa"/>
            </w:tcMar>
            <w:vAlign w:val="center"/>
          </w:tcPr>
          <w:p w14:paraId="71F3E1A9"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AA" w14:textId="77777777" w:rsidR="00510CAA" w:rsidRDefault="003A4815">
            <w:pPr>
              <w:jc w:val="center"/>
              <w:rPr>
                <w:rFonts w:ascii="Arial" w:eastAsia="Arial" w:hAnsi="Arial" w:cs="Arial"/>
                <w:color w:val="000000"/>
                <w:sz w:val="16"/>
              </w:rPr>
            </w:pPr>
            <w:r>
              <w:rPr>
                <w:rFonts w:ascii="Arial" w:eastAsia="Arial" w:hAnsi="Arial" w:cs="Arial"/>
                <w:color w:val="000000"/>
                <w:sz w:val="16"/>
              </w:rPr>
              <w:t>Bunge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AB" w14:textId="77777777" w:rsidR="00510CAA" w:rsidRDefault="003A4815">
            <w:pPr>
              <w:jc w:val="center"/>
              <w:rPr>
                <w:rFonts w:ascii="Arial" w:eastAsia="Arial" w:hAnsi="Arial" w:cs="Arial"/>
                <w:color w:val="000000"/>
                <w:sz w:val="16"/>
              </w:rPr>
            </w:pPr>
            <w:r>
              <w:rPr>
                <w:rFonts w:ascii="Arial" w:eastAsia="Arial" w:hAnsi="Arial" w:cs="Arial"/>
                <w:color w:val="000000"/>
                <w:sz w:val="16"/>
              </w:rPr>
              <w:t>12-Oct-25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AC" w14:textId="77777777" w:rsidR="00510CAA" w:rsidRDefault="003A4815">
            <w:pPr>
              <w:jc w:val="center"/>
              <w:rPr>
                <w:rFonts w:ascii="Arial" w:eastAsia="Arial" w:hAnsi="Arial" w:cs="Arial"/>
                <w:color w:val="000000"/>
                <w:sz w:val="16"/>
              </w:rPr>
            </w:pPr>
            <w:r>
              <w:rPr>
                <w:rFonts w:ascii="Arial" w:eastAsia="Arial" w:hAnsi="Arial" w:cs="Arial"/>
                <w:color w:val="000000"/>
                <w:sz w:val="16"/>
              </w:rPr>
              <w:t>25/Feb/2027 - 25/Apr/2027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AD" w14:textId="77777777" w:rsidR="00510CAA" w:rsidRDefault="003A4815">
            <w:pPr>
              <w:jc w:val="center"/>
              <w:rPr>
                <w:rFonts w:ascii="Arial" w:eastAsia="Arial" w:hAnsi="Arial" w:cs="Arial"/>
                <w:color w:val="000000"/>
                <w:sz w:val="16"/>
              </w:rPr>
            </w:pPr>
            <w:r>
              <w:rPr>
                <w:rFonts w:ascii="Arial" w:eastAsia="Arial" w:hAnsi="Arial" w:cs="Arial"/>
                <w:color w:val="000000"/>
                <w:sz w:val="16"/>
              </w:rPr>
              <w:t>2</w:t>
            </w:r>
          </w:p>
        </w:tc>
      </w:tr>
      <w:tr w:rsidR="00510CAA" w14:paraId="71F3E1B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1AF"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B0" w14:textId="77777777" w:rsidR="00510CAA" w:rsidRDefault="003A4815">
            <w:pPr>
              <w:jc w:val="center"/>
              <w:rPr>
                <w:rFonts w:ascii="Arial" w:eastAsia="Arial" w:hAnsi="Arial" w:cs="Arial"/>
                <w:color w:val="000000"/>
                <w:sz w:val="16"/>
              </w:rPr>
            </w:pPr>
            <w:r>
              <w:rPr>
                <w:rFonts w:ascii="Arial" w:eastAsia="Arial" w:hAnsi="Arial" w:cs="Arial"/>
                <w:color w:val="000000"/>
                <w:sz w:val="16"/>
              </w:rPr>
              <w:t>2015 60,309</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B1"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B2"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B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tcMar>
              <w:left w:w="0" w:type="dxa"/>
              <w:right w:w="0" w:type="dxa"/>
            </w:tcMar>
            <w:vAlign w:val="center"/>
          </w:tcPr>
          <w:p w14:paraId="71F3E1B4"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B5"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B6"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B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B8" w14:textId="77777777" w:rsidR="00510CAA" w:rsidRDefault="00510CAA">
            <w:pPr>
              <w:jc w:val="center"/>
              <w:rPr>
                <w:rFonts w:ascii="Arial" w:eastAsia="Arial" w:hAnsi="Arial" w:cs="Arial"/>
                <w:color w:val="000000"/>
                <w:sz w:val="16"/>
              </w:rPr>
            </w:pPr>
          </w:p>
        </w:tc>
      </w:tr>
      <w:tr w:rsidR="00510CAA" w14:paraId="71F3E1C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dotted" w:sz="2" w:space="0" w:color="000000"/>
              <w:left w:val="nil"/>
              <w:bottom w:val="nil"/>
              <w:right w:val="nil"/>
              <w:tl2br w:val="nil"/>
              <w:tr2bl w:val="nil"/>
            </w:tcBorders>
            <w:tcMar>
              <w:left w:w="40" w:type="dxa"/>
              <w:right w:w="40" w:type="dxa"/>
            </w:tcMar>
            <w:vAlign w:val="center"/>
          </w:tcPr>
          <w:p w14:paraId="71F3E1BA" w14:textId="77777777" w:rsidR="00510CAA" w:rsidRDefault="003A4815">
            <w:pPr>
              <w:jc w:val="center"/>
              <w:rPr>
                <w:rFonts w:ascii="Arial" w:eastAsia="Arial" w:hAnsi="Arial" w:cs="Arial"/>
                <w:color w:val="000000"/>
                <w:sz w:val="16"/>
              </w:rPr>
            </w:pPr>
            <w:r>
              <w:rPr>
                <w:rFonts w:ascii="Arial" w:eastAsia="Arial" w:hAnsi="Arial" w:cs="Arial"/>
                <w:color w:val="000000"/>
                <w:sz w:val="16"/>
              </w:rPr>
              <w:t>8</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BB"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Altair</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BC"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BD" w14:textId="77777777" w:rsidR="00510CAA" w:rsidRDefault="003A4815">
            <w:pPr>
              <w:jc w:val="center"/>
              <w:rPr>
                <w:rFonts w:ascii="Arial" w:eastAsia="Arial" w:hAnsi="Arial" w:cs="Arial"/>
                <w:color w:val="000000"/>
                <w:sz w:val="16"/>
              </w:rPr>
            </w:pPr>
            <w:r>
              <w:rPr>
                <w:rFonts w:ascii="Arial" w:eastAsia="Arial" w:hAnsi="Arial" w:cs="Arial"/>
                <w:color w:val="000000"/>
                <w:sz w:val="16"/>
              </w:rPr>
              <w:t>B</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BE" w14:textId="77777777" w:rsidR="00510CAA" w:rsidRDefault="003A4815">
            <w:pPr>
              <w:jc w:val="center"/>
              <w:rPr>
                <w:rFonts w:ascii="Arial" w:eastAsia="Arial" w:hAnsi="Arial" w:cs="Arial"/>
                <w:color w:val="000000"/>
                <w:sz w:val="16"/>
              </w:rPr>
            </w:pPr>
            <w:r>
              <w:rPr>
                <w:rFonts w:ascii="Arial" w:eastAsia="Arial" w:hAnsi="Arial" w:cs="Arial"/>
                <w:color w:val="000000"/>
                <w:sz w:val="16"/>
              </w:rPr>
              <w:t>14,750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BF"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C0" w14:textId="77777777" w:rsidR="00510CAA" w:rsidRDefault="003A4815">
            <w:pPr>
              <w:jc w:val="center"/>
              <w:rPr>
                <w:rFonts w:ascii="Arial" w:eastAsia="Arial" w:hAnsi="Arial" w:cs="Arial"/>
                <w:color w:val="000000"/>
                <w:sz w:val="16"/>
              </w:rPr>
            </w:pPr>
            <w:r>
              <w:rPr>
                <w:rFonts w:ascii="Arial" w:eastAsia="Arial" w:hAnsi="Arial" w:cs="Arial"/>
                <w:color w:val="000000"/>
                <w:sz w:val="16"/>
              </w:rPr>
              <w:t>Bunge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C1" w14:textId="77777777" w:rsidR="00510CAA" w:rsidRDefault="003A4815">
            <w:pPr>
              <w:jc w:val="center"/>
              <w:rPr>
                <w:rFonts w:ascii="Arial" w:eastAsia="Arial" w:hAnsi="Arial" w:cs="Arial"/>
                <w:color w:val="000000"/>
                <w:sz w:val="16"/>
              </w:rPr>
            </w:pPr>
            <w:r>
              <w:rPr>
                <w:rFonts w:ascii="Arial" w:eastAsia="Arial" w:hAnsi="Arial" w:cs="Arial"/>
                <w:color w:val="000000"/>
                <w:sz w:val="16"/>
              </w:rPr>
              <w:t>19-Jan-26</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C2" w14:textId="77777777" w:rsidR="00510CAA" w:rsidRDefault="003A4815">
            <w:pPr>
              <w:jc w:val="center"/>
              <w:rPr>
                <w:rFonts w:ascii="Arial" w:eastAsia="Arial" w:hAnsi="Arial" w:cs="Arial"/>
                <w:color w:val="000000"/>
                <w:sz w:val="16"/>
              </w:rPr>
            </w:pPr>
            <w:r>
              <w:rPr>
                <w:rFonts w:ascii="Arial" w:eastAsia="Arial" w:hAnsi="Arial" w:cs="Arial"/>
                <w:color w:val="000000"/>
                <w:sz w:val="16"/>
              </w:rPr>
              <w:t>15/Jan/2027 - 30/Mar/2027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C3" w14:textId="77777777" w:rsidR="00510CAA" w:rsidRDefault="003A4815">
            <w:pPr>
              <w:jc w:val="center"/>
              <w:rPr>
                <w:rFonts w:ascii="Arial" w:eastAsia="Arial" w:hAnsi="Arial" w:cs="Arial"/>
                <w:color w:val="000000"/>
                <w:sz w:val="16"/>
              </w:rPr>
            </w:pPr>
            <w:r>
              <w:rPr>
                <w:rFonts w:ascii="Arial" w:eastAsia="Arial" w:hAnsi="Arial" w:cs="Arial"/>
                <w:color w:val="000000"/>
                <w:sz w:val="16"/>
              </w:rPr>
              <w:t>3</w:t>
            </w:r>
          </w:p>
        </w:tc>
      </w:tr>
      <w:tr w:rsidR="00510CAA" w14:paraId="71F3E1C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1C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C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2016 60,309</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C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1C8"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C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CA"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CB"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CC"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C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CE" w14:textId="77777777" w:rsidR="00510CAA" w:rsidRDefault="00510CAA">
            <w:pPr>
              <w:rPr>
                <w:rFonts w:ascii="Arial" w:eastAsia="Arial" w:hAnsi="Arial" w:cs="Arial"/>
                <w:color w:val="000000"/>
                <w:sz w:val="16"/>
              </w:rPr>
            </w:pPr>
          </w:p>
        </w:tc>
      </w:tr>
      <w:tr w:rsidR="00510CAA" w14:paraId="71F3E1D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1D0" w14:textId="77777777" w:rsidR="00510CAA" w:rsidRDefault="003A4815">
            <w:pPr>
              <w:jc w:val="center"/>
              <w:rPr>
                <w:rFonts w:ascii="Arial" w:eastAsia="Arial" w:hAnsi="Arial" w:cs="Arial"/>
                <w:color w:val="000000"/>
                <w:sz w:val="16"/>
              </w:rPr>
            </w:pPr>
            <w:r>
              <w:rPr>
                <w:rFonts w:ascii="Arial" w:eastAsia="Arial" w:hAnsi="Arial" w:cs="Arial"/>
                <w:color w:val="000000"/>
                <w:sz w:val="16"/>
              </w:rPr>
              <w:t>9</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D1" w14:textId="77777777" w:rsidR="00510CAA" w:rsidRDefault="003A4815">
            <w:pPr>
              <w:jc w:val="center"/>
              <w:rPr>
                <w:rFonts w:ascii="Arial" w:eastAsia="Arial" w:hAnsi="Arial" w:cs="Arial"/>
                <w:color w:val="000000"/>
                <w:sz w:val="16"/>
              </w:rPr>
            </w:pPr>
            <w:r>
              <w:rPr>
                <w:rFonts w:ascii="Arial" w:eastAsia="Arial" w:hAnsi="Arial" w:cs="Arial"/>
                <w:color w:val="000000"/>
                <w:sz w:val="16"/>
              </w:rPr>
              <w:t>DSI Andromeda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1D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1D3" w14:textId="77777777" w:rsidR="00510CAA" w:rsidRDefault="003A4815">
            <w:pPr>
              <w:jc w:val="center"/>
              <w:rPr>
                <w:rFonts w:ascii="Arial" w:eastAsia="Arial" w:hAnsi="Arial" w:cs="Arial"/>
                <w:color w:val="000000"/>
                <w:sz w:val="16"/>
              </w:rPr>
            </w:pPr>
            <w:r>
              <w:rPr>
                <w:rFonts w:ascii="Arial" w:eastAsia="Arial" w:hAnsi="Arial" w:cs="Arial"/>
                <w:color w:val="000000"/>
                <w:sz w:val="16"/>
              </w:rPr>
              <w:t>B</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1D4" w14:textId="77777777" w:rsidR="00510CAA" w:rsidRDefault="003A4815">
            <w:pPr>
              <w:jc w:val="center"/>
              <w:rPr>
                <w:rFonts w:ascii="Arial" w:eastAsia="Arial" w:hAnsi="Arial" w:cs="Arial"/>
                <w:color w:val="000000"/>
                <w:sz w:val="16"/>
              </w:rPr>
            </w:pPr>
            <w:r>
              <w:rPr>
                <w:rFonts w:ascii="Arial" w:eastAsia="Arial" w:hAnsi="Arial" w:cs="Arial"/>
                <w:color w:val="000000"/>
                <w:sz w:val="16"/>
              </w:rPr>
              <w:t>14,600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D5"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1D6" w14:textId="77777777" w:rsidR="00510CAA" w:rsidRDefault="003A4815">
            <w:pPr>
              <w:jc w:val="center"/>
              <w:rPr>
                <w:rFonts w:ascii="Arial" w:eastAsia="Arial" w:hAnsi="Arial" w:cs="Arial"/>
                <w:color w:val="000000"/>
                <w:sz w:val="16"/>
              </w:rPr>
            </w:pPr>
            <w:r>
              <w:rPr>
                <w:rFonts w:ascii="Arial" w:eastAsia="Arial" w:hAnsi="Arial" w:cs="Arial"/>
                <w:color w:val="000000"/>
                <w:sz w:val="16"/>
              </w:rPr>
              <w:t>Western Bulk Carriers AS</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1D7" w14:textId="77777777" w:rsidR="00510CAA" w:rsidRDefault="003A4815">
            <w:pPr>
              <w:jc w:val="center"/>
              <w:rPr>
                <w:rFonts w:ascii="Arial" w:eastAsia="Arial" w:hAnsi="Arial" w:cs="Arial"/>
                <w:color w:val="000000"/>
                <w:sz w:val="16"/>
              </w:rPr>
            </w:pPr>
            <w:r>
              <w:rPr>
                <w:rFonts w:ascii="Arial" w:eastAsia="Arial" w:hAnsi="Arial" w:cs="Arial"/>
                <w:color w:val="000000"/>
                <w:sz w:val="16"/>
              </w:rPr>
              <w:t>7-Dec-25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1D8" w14:textId="77777777" w:rsidR="00510CAA" w:rsidRDefault="003A4815">
            <w:pPr>
              <w:jc w:val="center"/>
              <w:rPr>
                <w:rFonts w:ascii="Arial" w:eastAsia="Arial" w:hAnsi="Arial" w:cs="Arial"/>
                <w:color w:val="000000"/>
                <w:sz w:val="16"/>
              </w:rPr>
            </w:pPr>
            <w:r>
              <w:rPr>
                <w:rFonts w:ascii="Arial" w:eastAsia="Arial" w:hAnsi="Arial" w:cs="Arial"/>
                <w:color w:val="000000"/>
                <w:sz w:val="16"/>
              </w:rPr>
              <w:t>1/Apr/2027 - 31/May/2027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1D9" w14:textId="77777777" w:rsidR="00510CAA" w:rsidRDefault="003A4815">
            <w:pPr>
              <w:jc w:val="center"/>
              <w:rPr>
                <w:rFonts w:ascii="Arial" w:eastAsia="Arial" w:hAnsi="Arial" w:cs="Arial"/>
                <w:color w:val="000000"/>
                <w:sz w:val="16"/>
              </w:rPr>
            </w:pPr>
            <w:r>
              <w:rPr>
                <w:rFonts w:ascii="Arial" w:eastAsia="Arial" w:hAnsi="Arial" w:cs="Arial"/>
                <w:color w:val="000000"/>
                <w:sz w:val="16"/>
              </w:rPr>
              <w:t>4</w:t>
            </w:r>
          </w:p>
        </w:tc>
      </w:tr>
      <w:tr w:rsidR="00510CAA" w14:paraId="71F3E1E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single" w:sz="4" w:space="0" w:color="000000"/>
              <w:right w:val="nil"/>
              <w:tl2br w:val="nil"/>
              <w:tr2bl w:val="nil"/>
            </w:tcBorders>
            <w:tcMar>
              <w:left w:w="0" w:type="dxa"/>
              <w:right w:w="0" w:type="dxa"/>
            </w:tcMar>
            <w:vAlign w:val="center"/>
          </w:tcPr>
          <w:p w14:paraId="71F3E1DB" w14:textId="77777777" w:rsidR="00510CAA" w:rsidRDefault="00510CAA">
            <w:pPr>
              <w:jc w:val="cente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1D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2016 60,309</w:t>
            </w:r>
          </w:p>
        </w:tc>
        <w:tc>
          <w:tcPr>
            <w:tcW w:w="75" w:type="dxa"/>
            <w:tcBorders>
              <w:top w:val="nil"/>
              <w:left w:val="nil"/>
              <w:bottom w:val="single" w:sz="4" w:space="0" w:color="000000"/>
              <w:right w:val="nil"/>
              <w:tl2br w:val="nil"/>
              <w:tr2bl w:val="nil"/>
            </w:tcBorders>
            <w:noWrap/>
            <w:tcMar>
              <w:left w:w="0" w:type="dxa"/>
              <w:right w:w="0" w:type="dxa"/>
            </w:tcMar>
            <w:vAlign w:val="center"/>
          </w:tcPr>
          <w:p w14:paraId="71F3E1DD" w14:textId="77777777" w:rsidR="00510CAA" w:rsidRDefault="00510CAA">
            <w:pPr>
              <w:rPr>
                <w:rFonts w:ascii="Arial" w:eastAsia="Arial" w:hAnsi="Arial" w:cs="Arial"/>
                <w:color w:val="000000"/>
                <w:sz w:val="16"/>
              </w:rPr>
            </w:pPr>
          </w:p>
        </w:tc>
        <w:tc>
          <w:tcPr>
            <w:tcW w:w="630" w:type="dxa"/>
            <w:tcBorders>
              <w:top w:val="nil"/>
              <w:left w:val="nil"/>
              <w:bottom w:val="single" w:sz="4" w:space="0" w:color="000000"/>
              <w:right w:val="nil"/>
              <w:tl2br w:val="nil"/>
              <w:tr2bl w:val="nil"/>
            </w:tcBorders>
            <w:noWrap/>
            <w:tcMar>
              <w:left w:w="0" w:type="dxa"/>
              <w:right w:w="0" w:type="dxa"/>
            </w:tcMar>
            <w:vAlign w:val="center"/>
          </w:tcPr>
          <w:p w14:paraId="71F3E1DE" w14:textId="77777777" w:rsidR="00510CAA" w:rsidRDefault="00510CAA">
            <w:pP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tcMar>
              <w:left w:w="0" w:type="dxa"/>
              <w:right w:w="0" w:type="dxa"/>
            </w:tcMar>
            <w:vAlign w:val="center"/>
          </w:tcPr>
          <w:p w14:paraId="71F3E1DF"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1E0" w14:textId="77777777" w:rsidR="00510CAA" w:rsidRDefault="00510CAA">
            <w:pPr>
              <w:jc w:val="center"/>
              <w:rPr>
                <w:rFonts w:ascii="Arial" w:eastAsia="Arial" w:hAnsi="Arial" w:cs="Arial"/>
                <w:color w:val="000000"/>
                <w:sz w:val="16"/>
              </w:rPr>
            </w:pPr>
          </w:p>
        </w:tc>
        <w:tc>
          <w:tcPr>
            <w:tcW w:w="2595" w:type="dxa"/>
            <w:vMerge/>
            <w:tcBorders>
              <w:top w:val="nil"/>
              <w:left w:val="nil"/>
              <w:bottom w:val="single" w:sz="4" w:space="0" w:color="000000"/>
              <w:right w:val="nil"/>
              <w:tl2br w:val="nil"/>
              <w:tr2bl w:val="nil"/>
            </w:tcBorders>
            <w:tcMar>
              <w:left w:w="0" w:type="dxa"/>
              <w:right w:w="0" w:type="dxa"/>
            </w:tcMar>
          </w:tcPr>
          <w:p w14:paraId="71F3E1E1" w14:textId="77777777" w:rsidR="00510CAA" w:rsidRDefault="00510CAA">
            <w:pPr>
              <w:jc w:val="center"/>
              <w:rPr>
                <w:rFonts w:ascii="Arial" w:eastAsia="Arial" w:hAnsi="Arial" w:cs="Arial"/>
                <w:color w:val="000000"/>
                <w:sz w:val="16"/>
              </w:rPr>
            </w:pPr>
          </w:p>
        </w:tc>
        <w:tc>
          <w:tcPr>
            <w:tcW w:w="1410" w:type="dxa"/>
            <w:tcBorders>
              <w:top w:val="nil"/>
              <w:left w:val="nil"/>
              <w:bottom w:val="single" w:sz="4" w:space="0" w:color="000000"/>
              <w:right w:val="nil"/>
              <w:tl2br w:val="nil"/>
              <w:tr2bl w:val="nil"/>
            </w:tcBorders>
            <w:tcMar>
              <w:left w:w="0" w:type="dxa"/>
              <w:right w:w="0" w:type="dxa"/>
            </w:tcMar>
            <w:vAlign w:val="center"/>
          </w:tcPr>
          <w:p w14:paraId="71F3E1E2" w14:textId="77777777" w:rsidR="00510CAA" w:rsidRDefault="00510CAA">
            <w:pPr>
              <w:jc w:val="center"/>
              <w:rPr>
                <w:rFonts w:ascii="Arial" w:eastAsia="Arial" w:hAnsi="Arial" w:cs="Arial"/>
                <w:color w:val="000000"/>
                <w:sz w:val="16"/>
              </w:rPr>
            </w:pPr>
          </w:p>
        </w:tc>
        <w:tc>
          <w:tcPr>
            <w:tcW w:w="2100" w:type="dxa"/>
            <w:tcBorders>
              <w:top w:val="nil"/>
              <w:left w:val="nil"/>
              <w:bottom w:val="single" w:sz="4" w:space="0" w:color="000000"/>
              <w:right w:val="nil"/>
              <w:tl2br w:val="nil"/>
              <w:tr2bl w:val="nil"/>
            </w:tcBorders>
            <w:tcMar>
              <w:left w:w="0" w:type="dxa"/>
              <w:right w:w="0" w:type="dxa"/>
            </w:tcMar>
            <w:vAlign w:val="center"/>
          </w:tcPr>
          <w:p w14:paraId="71F3E1E3"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1E4" w14:textId="77777777" w:rsidR="00510CAA" w:rsidRDefault="00510CAA">
            <w:pPr>
              <w:rPr>
                <w:rFonts w:ascii="Arial" w:eastAsia="Arial" w:hAnsi="Arial" w:cs="Arial"/>
                <w:color w:val="000000"/>
                <w:sz w:val="16"/>
              </w:rPr>
            </w:pPr>
          </w:p>
        </w:tc>
      </w:tr>
      <w:tr w:rsidR="00510CAA" w14:paraId="71F3E1E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1E6" w14:textId="77777777" w:rsidR="00510CAA" w:rsidRDefault="003A4815">
            <w:pPr>
              <w:jc w:val="center"/>
              <w:rPr>
                <w:rFonts w:ascii="Arial" w:eastAsia="Arial" w:hAnsi="Arial" w:cs="Arial"/>
                <w:b/>
                <w:color w:val="000000"/>
                <w:sz w:val="16"/>
              </w:rPr>
            </w:pPr>
            <w:r>
              <w:rPr>
                <w:rFonts w:ascii="Arial" w:eastAsia="Arial" w:hAnsi="Arial" w:cs="Arial"/>
                <w:b/>
                <w:color w:val="000000"/>
                <w:sz w:val="16"/>
              </w:rPr>
              <w:t>5 Panamax Bulk Carriers</w:t>
            </w:r>
          </w:p>
        </w:tc>
      </w:tr>
      <w:tr w:rsidR="00510CAA" w14:paraId="71F3E1F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single" w:sz="4" w:space="0" w:color="000000"/>
              <w:left w:val="nil"/>
              <w:bottom w:val="nil"/>
              <w:right w:val="nil"/>
              <w:tl2br w:val="nil"/>
              <w:tr2bl w:val="nil"/>
            </w:tcBorders>
            <w:tcMar>
              <w:left w:w="40" w:type="dxa"/>
              <w:right w:w="40" w:type="dxa"/>
            </w:tcMar>
            <w:vAlign w:val="center"/>
          </w:tcPr>
          <w:p w14:paraId="71F3E1E8" w14:textId="77777777" w:rsidR="00510CAA" w:rsidRDefault="003A4815">
            <w:pPr>
              <w:jc w:val="center"/>
              <w:rPr>
                <w:rFonts w:ascii="Arial" w:eastAsia="Arial" w:hAnsi="Arial" w:cs="Arial"/>
                <w:color w:val="000000"/>
                <w:sz w:val="16"/>
              </w:rPr>
            </w:pPr>
            <w:r>
              <w:rPr>
                <w:rFonts w:ascii="Arial" w:eastAsia="Arial" w:hAnsi="Arial" w:cs="Arial"/>
                <w:color w:val="000000"/>
                <w:sz w:val="16"/>
              </w:rPr>
              <w:t>10</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1E9" w14:textId="77777777" w:rsidR="00510CAA" w:rsidRDefault="003A4815">
            <w:pPr>
              <w:jc w:val="center"/>
              <w:rPr>
                <w:rFonts w:ascii="Arial" w:eastAsia="Arial" w:hAnsi="Arial" w:cs="Arial"/>
                <w:color w:val="000000"/>
                <w:sz w:val="16"/>
              </w:rPr>
            </w:pPr>
            <w:r>
              <w:rPr>
                <w:rFonts w:ascii="Arial" w:eastAsia="Arial" w:hAnsi="Arial" w:cs="Arial"/>
                <w:color w:val="000000"/>
                <w:sz w:val="16"/>
              </w:rPr>
              <w:t>LETO</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1EA"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0" w:type="dxa"/>
              <w:right w:w="0" w:type="dxa"/>
            </w:tcMar>
            <w:vAlign w:val="center"/>
          </w:tcPr>
          <w:p w14:paraId="71F3E1EB" w14:textId="77777777" w:rsidR="00510CAA" w:rsidRDefault="00510CAA">
            <w:pPr>
              <w:jc w:val="center"/>
              <w:rPr>
                <w:rFonts w:ascii="Arial" w:eastAsia="Arial" w:hAnsi="Arial" w:cs="Arial"/>
                <w:color w:val="000000"/>
                <w:sz w:val="16"/>
              </w:rPr>
            </w:pPr>
          </w:p>
        </w:tc>
        <w:tc>
          <w:tcPr>
            <w:tcW w:w="1290" w:type="dxa"/>
            <w:tcBorders>
              <w:top w:val="single" w:sz="4" w:space="0" w:color="000000"/>
              <w:left w:val="nil"/>
              <w:bottom w:val="nil"/>
              <w:right w:val="nil"/>
              <w:tl2br w:val="nil"/>
              <w:tr2bl w:val="nil"/>
            </w:tcBorders>
            <w:tcMar>
              <w:left w:w="40" w:type="dxa"/>
              <w:right w:w="40" w:type="dxa"/>
            </w:tcMar>
          </w:tcPr>
          <w:p w14:paraId="71F3E1EC" w14:textId="77777777" w:rsidR="00510CAA" w:rsidRDefault="003A4815">
            <w:pPr>
              <w:jc w:val="center"/>
              <w:rPr>
                <w:rFonts w:ascii="Arial" w:eastAsia="Arial" w:hAnsi="Arial" w:cs="Arial"/>
                <w:color w:val="000000"/>
                <w:sz w:val="16"/>
              </w:rPr>
            </w:pPr>
            <w:r>
              <w:rPr>
                <w:rFonts w:ascii="Arial" w:eastAsia="Arial" w:hAnsi="Arial" w:cs="Arial"/>
                <w:color w:val="000000"/>
                <w:sz w:val="16"/>
              </w:rPr>
              <w:t>12,750</w:t>
            </w:r>
          </w:p>
        </w:tc>
        <w:tc>
          <w:tcPr>
            <w:tcW w:w="660" w:type="dxa"/>
            <w:tcBorders>
              <w:top w:val="single" w:sz="4" w:space="0" w:color="000000"/>
              <w:left w:val="nil"/>
              <w:bottom w:val="nil"/>
              <w:right w:val="nil"/>
              <w:tl2br w:val="nil"/>
              <w:tr2bl w:val="nil"/>
            </w:tcBorders>
            <w:noWrap/>
            <w:tcMar>
              <w:left w:w="40" w:type="dxa"/>
              <w:right w:w="40" w:type="dxa"/>
            </w:tcMar>
          </w:tcPr>
          <w:p w14:paraId="71F3E1ED" w14:textId="77777777" w:rsidR="00510CAA" w:rsidRDefault="003A4815">
            <w:pPr>
              <w:jc w:val="center"/>
              <w:rPr>
                <w:rFonts w:ascii="Arial" w:eastAsia="Arial" w:hAnsi="Arial" w:cs="Arial"/>
                <w:color w:val="000000"/>
                <w:sz w:val="16"/>
              </w:rPr>
            </w:pPr>
            <w:r>
              <w:rPr>
                <w:rFonts w:ascii="Arial" w:eastAsia="Arial" w:hAnsi="Arial" w:cs="Arial"/>
                <w:color w:val="000000"/>
                <w:sz w:val="16"/>
              </w:rPr>
              <w:t>4.75%</w:t>
            </w:r>
          </w:p>
        </w:tc>
        <w:tc>
          <w:tcPr>
            <w:tcW w:w="2595" w:type="dxa"/>
            <w:vMerge w:val="restart"/>
            <w:tcBorders>
              <w:top w:val="single" w:sz="4" w:space="0" w:color="000000"/>
              <w:left w:val="nil"/>
              <w:bottom w:val="nil"/>
              <w:right w:val="nil"/>
              <w:tl2br w:val="nil"/>
              <w:tr2bl w:val="nil"/>
            </w:tcBorders>
            <w:tcMar>
              <w:left w:w="40" w:type="dxa"/>
              <w:right w:w="40" w:type="dxa"/>
            </w:tcMar>
          </w:tcPr>
          <w:p w14:paraId="71F3E1EE"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International SA, Geneva</w:t>
            </w:r>
          </w:p>
        </w:tc>
        <w:tc>
          <w:tcPr>
            <w:tcW w:w="1410" w:type="dxa"/>
            <w:tcBorders>
              <w:top w:val="single" w:sz="4" w:space="0" w:color="000000"/>
              <w:left w:val="nil"/>
              <w:bottom w:val="nil"/>
              <w:right w:val="nil"/>
              <w:tl2br w:val="nil"/>
              <w:tr2bl w:val="nil"/>
            </w:tcBorders>
            <w:tcMar>
              <w:left w:w="40" w:type="dxa"/>
              <w:right w:w="40" w:type="dxa"/>
            </w:tcMar>
          </w:tcPr>
          <w:p w14:paraId="71F3E1EF" w14:textId="77777777" w:rsidR="00510CAA" w:rsidRDefault="003A4815">
            <w:pPr>
              <w:jc w:val="center"/>
              <w:rPr>
                <w:rFonts w:ascii="Arial" w:eastAsia="Arial" w:hAnsi="Arial" w:cs="Arial"/>
                <w:color w:val="000000"/>
                <w:sz w:val="16"/>
              </w:rPr>
            </w:pPr>
            <w:r>
              <w:rPr>
                <w:rFonts w:ascii="Arial" w:eastAsia="Arial" w:hAnsi="Arial" w:cs="Arial"/>
                <w:color w:val="000000"/>
                <w:sz w:val="16"/>
              </w:rPr>
              <w:t>4-Apr-25</w:t>
            </w:r>
          </w:p>
        </w:tc>
        <w:tc>
          <w:tcPr>
            <w:tcW w:w="2100" w:type="dxa"/>
            <w:tcBorders>
              <w:top w:val="single" w:sz="4" w:space="0" w:color="000000"/>
              <w:left w:val="nil"/>
              <w:bottom w:val="nil"/>
              <w:right w:val="nil"/>
              <w:tl2br w:val="nil"/>
              <w:tr2bl w:val="nil"/>
            </w:tcBorders>
            <w:tcMar>
              <w:left w:w="40" w:type="dxa"/>
              <w:right w:w="40" w:type="dxa"/>
            </w:tcMar>
          </w:tcPr>
          <w:p w14:paraId="71F3E1F0" w14:textId="77777777" w:rsidR="00510CAA" w:rsidRDefault="003A4815">
            <w:pPr>
              <w:jc w:val="center"/>
              <w:rPr>
                <w:rFonts w:ascii="Arial" w:eastAsia="Arial" w:hAnsi="Arial" w:cs="Arial"/>
                <w:color w:val="000000"/>
                <w:sz w:val="16"/>
              </w:rPr>
            </w:pPr>
            <w:r>
              <w:rPr>
                <w:rFonts w:ascii="Arial" w:eastAsia="Arial" w:hAnsi="Arial" w:cs="Arial"/>
                <w:color w:val="000000"/>
                <w:sz w:val="16"/>
              </w:rPr>
              <w:t>16/Jul/2026 - 16/Sep/2026</w:t>
            </w:r>
          </w:p>
        </w:tc>
        <w:tc>
          <w:tcPr>
            <w:tcW w:w="660" w:type="dxa"/>
            <w:vMerge w:val="restart"/>
            <w:tcBorders>
              <w:top w:val="single" w:sz="4" w:space="0" w:color="000000"/>
              <w:left w:val="nil"/>
              <w:bottom w:val="nil"/>
              <w:right w:val="nil"/>
              <w:tl2br w:val="nil"/>
              <w:tr2bl w:val="nil"/>
            </w:tcBorders>
            <w:noWrap/>
            <w:tcMar>
              <w:left w:w="0" w:type="dxa"/>
              <w:right w:w="0" w:type="dxa"/>
            </w:tcMar>
          </w:tcPr>
          <w:p w14:paraId="71F3E1F1" w14:textId="77777777" w:rsidR="00510CAA" w:rsidRDefault="00510CAA">
            <w:pPr>
              <w:jc w:val="center"/>
              <w:rPr>
                <w:rFonts w:ascii="Arial" w:eastAsia="Arial" w:hAnsi="Arial" w:cs="Arial"/>
                <w:color w:val="000000"/>
                <w:sz w:val="16"/>
              </w:rPr>
            </w:pPr>
          </w:p>
        </w:tc>
      </w:tr>
      <w:tr w:rsidR="00510CAA" w14:paraId="71F3E1F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1F3"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1F4" w14:textId="77777777" w:rsidR="00510CAA" w:rsidRDefault="003A4815">
            <w:pPr>
              <w:jc w:val="center"/>
              <w:rPr>
                <w:rFonts w:ascii="Arial" w:eastAsia="Arial" w:hAnsi="Arial" w:cs="Arial"/>
                <w:color w:val="000000"/>
                <w:sz w:val="16"/>
              </w:rPr>
            </w:pPr>
            <w:r>
              <w:rPr>
                <w:rFonts w:ascii="Arial" w:eastAsia="Arial" w:hAnsi="Arial" w:cs="Arial"/>
                <w:color w:val="000000"/>
                <w:sz w:val="16"/>
              </w:rPr>
              <w:t>2010 81,297</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1F5"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1F6"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1F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1F8"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1F9"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1FA"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1FB" w14:textId="77777777" w:rsidR="00510CAA" w:rsidRDefault="00510CAA">
            <w:pPr>
              <w:jc w:val="center"/>
              <w:rPr>
                <w:rFonts w:ascii="Arial" w:eastAsia="Arial" w:hAnsi="Arial" w:cs="Arial"/>
                <w:color w:val="000000"/>
                <w:sz w:val="16"/>
              </w:rPr>
            </w:pPr>
          </w:p>
        </w:tc>
        <w:tc>
          <w:tcPr>
            <w:tcW w:w="660" w:type="dxa"/>
            <w:vMerge/>
            <w:tcBorders>
              <w:top w:val="nil"/>
              <w:left w:val="nil"/>
              <w:bottom w:val="dotted" w:sz="2" w:space="0" w:color="000000"/>
              <w:right w:val="nil"/>
              <w:tl2br w:val="nil"/>
              <w:tr2bl w:val="nil"/>
            </w:tcBorders>
            <w:noWrap/>
            <w:tcMar>
              <w:left w:w="0" w:type="dxa"/>
              <w:right w:w="0" w:type="dxa"/>
            </w:tcMar>
          </w:tcPr>
          <w:p w14:paraId="71F3E1FC" w14:textId="77777777" w:rsidR="00510CAA" w:rsidRDefault="00510CAA">
            <w:pPr>
              <w:jc w:val="center"/>
              <w:rPr>
                <w:rFonts w:ascii="Arial" w:eastAsia="Arial" w:hAnsi="Arial" w:cs="Arial"/>
                <w:color w:val="000000"/>
                <w:sz w:val="16"/>
              </w:rPr>
            </w:pPr>
          </w:p>
        </w:tc>
      </w:tr>
      <w:tr w:rsidR="00510CAA" w14:paraId="71F3E20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1FE" w14:textId="77777777" w:rsidR="00510CAA" w:rsidRDefault="003A4815">
            <w:pPr>
              <w:jc w:val="center"/>
              <w:rPr>
                <w:rFonts w:ascii="Arial" w:eastAsia="Arial" w:hAnsi="Arial" w:cs="Arial"/>
                <w:color w:val="000000"/>
                <w:sz w:val="16"/>
              </w:rPr>
            </w:pPr>
            <w:r>
              <w:rPr>
                <w:rFonts w:ascii="Arial" w:eastAsia="Arial" w:hAnsi="Arial" w:cs="Arial"/>
                <w:color w:val="000000"/>
                <w:sz w:val="16"/>
              </w:rPr>
              <w:t>11</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1FF" w14:textId="77777777" w:rsidR="00510CAA" w:rsidRDefault="003A4815">
            <w:pPr>
              <w:jc w:val="center"/>
              <w:rPr>
                <w:rFonts w:ascii="Arial" w:eastAsia="Arial" w:hAnsi="Arial" w:cs="Arial"/>
                <w:color w:val="000000"/>
                <w:sz w:val="16"/>
              </w:rPr>
            </w:pPr>
            <w:r>
              <w:rPr>
                <w:rFonts w:ascii="Arial" w:eastAsia="Arial" w:hAnsi="Arial" w:cs="Arial"/>
                <w:color w:val="000000"/>
                <w:sz w:val="16"/>
              </w:rPr>
              <w:t>MAERA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00"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0" w:type="dxa"/>
              <w:right w:w="0" w:type="dxa"/>
            </w:tcMar>
            <w:vAlign w:val="center"/>
          </w:tcPr>
          <w:p w14:paraId="71F3E201" w14:textId="77777777" w:rsidR="00510CAA" w:rsidRDefault="00510CAA">
            <w:pPr>
              <w:jc w:val="cente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202" w14:textId="77777777" w:rsidR="00510CAA" w:rsidRDefault="003A4815">
            <w:pPr>
              <w:jc w:val="center"/>
              <w:rPr>
                <w:rFonts w:ascii="Arial" w:eastAsia="Arial" w:hAnsi="Arial" w:cs="Arial"/>
                <w:color w:val="000000"/>
                <w:sz w:val="16"/>
              </w:rPr>
            </w:pPr>
            <w:r>
              <w:rPr>
                <w:rFonts w:ascii="Arial" w:eastAsia="Arial" w:hAnsi="Arial" w:cs="Arial"/>
                <w:color w:val="000000"/>
                <w:sz w:val="16"/>
              </w:rPr>
              <w:t>11,750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03"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04" w14:textId="77777777" w:rsidR="00510CAA" w:rsidRDefault="003A4815">
            <w:pPr>
              <w:jc w:val="center"/>
              <w:rPr>
                <w:rFonts w:ascii="Arial" w:eastAsia="Arial" w:hAnsi="Arial" w:cs="Arial"/>
                <w:color w:val="000000"/>
                <w:sz w:val="16"/>
              </w:rPr>
            </w:pPr>
            <w:r>
              <w:rPr>
                <w:rFonts w:ascii="Arial" w:eastAsia="Arial" w:hAnsi="Arial" w:cs="Arial"/>
                <w:color w:val="000000"/>
                <w:sz w:val="16"/>
              </w:rPr>
              <w:t>CRC Shipping Pte. Ltd., Singapore</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05" w14:textId="77777777" w:rsidR="00510CAA" w:rsidRDefault="003A4815">
            <w:pPr>
              <w:jc w:val="center"/>
              <w:rPr>
                <w:rFonts w:ascii="Arial" w:eastAsia="Arial" w:hAnsi="Arial" w:cs="Arial"/>
                <w:color w:val="000000"/>
                <w:sz w:val="16"/>
              </w:rPr>
            </w:pPr>
            <w:r>
              <w:rPr>
                <w:rFonts w:ascii="Arial" w:eastAsia="Arial" w:hAnsi="Arial" w:cs="Arial"/>
                <w:color w:val="000000"/>
                <w:sz w:val="16"/>
              </w:rPr>
              <w:t>3-Nov-25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06" w14:textId="77777777" w:rsidR="00510CAA" w:rsidRDefault="003A4815">
            <w:pPr>
              <w:jc w:val="center"/>
              <w:rPr>
                <w:rFonts w:ascii="Arial" w:eastAsia="Arial" w:hAnsi="Arial" w:cs="Arial"/>
                <w:color w:val="000000"/>
                <w:sz w:val="16"/>
              </w:rPr>
            </w:pPr>
            <w:r>
              <w:rPr>
                <w:rFonts w:ascii="Arial" w:eastAsia="Arial" w:hAnsi="Arial" w:cs="Arial"/>
                <w:color w:val="000000"/>
                <w:sz w:val="16"/>
              </w:rPr>
              <w:t>20/Oct/2026 - 20/Dec/2026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07" w14:textId="77777777" w:rsidR="00510CAA" w:rsidRDefault="00510CAA">
            <w:pPr>
              <w:jc w:val="center"/>
              <w:rPr>
                <w:rFonts w:ascii="Arial" w:eastAsia="Arial" w:hAnsi="Arial" w:cs="Arial"/>
                <w:color w:val="000000"/>
                <w:sz w:val="16"/>
              </w:rPr>
            </w:pPr>
          </w:p>
        </w:tc>
      </w:tr>
      <w:tr w:rsidR="00510CAA" w14:paraId="71F3E21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09"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0A"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2013 75,403</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0B"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0C"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20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0E"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20F"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210"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211"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12" w14:textId="77777777" w:rsidR="00510CAA" w:rsidRDefault="00510CAA">
            <w:pPr>
              <w:rPr>
                <w:rFonts w:ascii="Arial" w:eastAsia="Arial" w:hAnsi="Arial" w:cs="Arial"/>
                <w:color w:val="000000"/>
                <w:sz w:val="16"/>
              </w:rPr>
            </w:pPr>
          </w:p>
        </w:tc>
      </w:tr>
      <w:tr w:rsidR="00510CAA" w14:paraId="71F3E21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14" w14:textId="77777777" w:rsidR="00510CAA" w:rsidRDefault="003A4815">
            <w:pPr>
              <w:jc w:val="center"/>
              <w:rPr>
                <w:rFonts w:ascii="Arial" w:eastAsia="Arial" w:hAnsi="Arial" w:cs="Arial"/>
                <w:color w:val="000000"/>
                <w:sz w:val="16"/>
              </w:rPr>
            </w:pPr>
            <w:r>
              <w:rPr>
                <w:rFonts w:ascii="Arial" w:eastAsia="Arial" w:hAnsi="Arial" w:cs="Arial"/>
                <w:color w:val="000000"/>
                <w:sz w:val="16"/>
              </w:rPr>
              <w:t>12</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15" w14:textId="77777777" w:rsidR="00510CAA" w:rsidRDefault="003A4815">
            <w:pPr>
              <w:jc w:val="center"/>
              <w:rPr>
                <w:rFonts w:ascii="Arial" w:eastAsia="Arial" w:hAnsi="Arial" w:cs="Arial"/>
                <w:color w:val="000000"/>
                <w:sz w:val="16"/>
              </w:rPr>
            </w:pPr>
            <w:r>
              <w:rPr>
                <w:rFonts w:ascii="Arial" w:eastAsia="Arial" w:hAnsi="Arial" w:cs="Arial"/>
                <w:color w:val="000000"/>
                <w:sz w:val="16"/>
              </w:rPr>
              <w:t>ISMENE</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16"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0" w:type="dxa"/>
              <w:right w:w="0" w:type="dxa"/>
            </w:tcMar>
            <w:vAlign w:val="center"/>
          </w:tcPr>
          <w:p w14:paraId="71F3E217" w14:textId="77777777" w:rsidR="00510CAA" w:rsidRDefault="00510CAA">
            <w:pPr>
              <w:jc w:val="cente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218" w14:textId="77777777" w:rsidR="00510CAA" w:rsidRDefault="003A4815">
            <w:pPr>
              <w:jc w:val="center"/>
              <w:rPr>
                <w:rFonts w:ascii="Arial" w:eastAsia="Arial" w:hAnsi="Arial" w:cs="Arial"/>
                <w:color w:val="000000"/>
                <w:sz w:val="16"/>
              </w:rPr>
            </w:pPr>
            <w:r>
              <w:rPr>
                <w:rFonts w:ascii="Arial" w:eastAsia="Arial" w:hAnsi="Arial" w:cs="Arial"/>
                <w:color w:val="000000"/>
                <w:sz w:val="16"/>
              </w:rPr>
              <w:t>11,000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19"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1A" w14:textId="77777777" w:rsidR="00510CAA" w:rsidRDefault="003A4815">
            <w:pPr>
              <w:jc w:val="center"/>
              <w:rPr>
                <w:rFonts w:ascii="Arial" w:eastAsia="Arial" w:hAnsi="Arial" w:cs="Arial"/>
                <w:color w:val="000000"/>
                <w:sz w:val="16"/>
              </w:rPr>
            </w:pPr>
            <w:r>
              <w:rPr>
                <w:rFonts w:ascii="Arial" w:eastAsia="Arial" w:hAnsi="Arial" w:cs="Arial"/>
                <w:color w:val="000000"/>
                <w:sz w:val="16"/>
              </w:rPr>
              <w:t>CRC Shipping Pte.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1B" w14:textId="77777777" w:rsidR="00510CAA" w:rsidRDefault="003A4815">
            <w:pPr>
              <w:jc w:val="center"/>
              <w:rPr>
                <w:rFonts w:ascii="Arial" w:eastAsia="Arial" w:hAnsi="Arial" w:cs="Arial"/>
                <w:color w:val="000000"/>
                <w:sz w:val="16"/>
              </w:rPr>
            </w:pPr>
            <w:r>
              <w:rPr>
                <w:rFonts w:ascii="Arial" w:eastAsia="Arial" w:hAnsi="Arial" w:cs="Arial"/>
                <w:color w:val="000000"/>
                <w:sz w:val="16"/>
              </w:rPr>
              <w:t>24-Apr-25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1C" w14:textId="77777777" w:rsidR="00510CAA" w:rsidRDefault="003A4815">
            <w:pPr>
              <w:jc w:val="center"/>
              <w:rPr>
                <w:rFonts w:ascii="Arial" w:eastAsia="Arial" w:hAnsi="Arial" w:cs="Arial"/>
                <w:color w:val="000000"/>
                <w:sz w:val="16"/>
              </w:rPr>
            </w:pPr>
            <w:r>
              <w:rPr>
                <w:rFonts w:ascii="Arial" w:eastAsia="Arial" w:hAnsi="Arial" w:cs="Arial"/>
                <w:color w:val="000000"/>
                <w:sz w:val="16"/>
              </w:rPr>
              <w:t>20/Mar/2026 - 20/May/2026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1D" w14:textId="77777777" w:rsidR="00510CAA" w:rsidRDefault="00510CAA">
            <w:pPr>
              <w:rPr>
                <w:rFonts w:ascii="Arial" w:eastAsia="Arial" w:hAnsi="Arial" w:cs="Arial"/>
                <w:color w:val="000000"/>
                <w:sz w:val="16"/>
              </w:rPr>
            </w:pPr>
          </w:p>
        </w:tc>
      </w:tr>
      <w:tr w:rsidR="00510CAA" w14:paraId="71F3E22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1F"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20"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2013 77,901</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21"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22"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22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24" w14:textId="77777777" w:rsidR="00510CAA" w:rsidRDefault="00510CAA">
            <w:pPr>
              <w:jc w:val="cente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225"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226"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22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28" w14:textId="77777777" w:rsidR="00510CAA" w:rsidRDefault="00510CAA">
            <w:pPr>
              <w:rPr>
                <w:rFonts w:ascii="Arial" w:eastAsia="Arial" w:hAnsi="Arial" w:cs="Arial"/>
                <w:color w:val="000000"/>
                <w:sz w:val="16"/>
              </w:rPr>
            </w:pPr>
          </w:p>
        </w:tc>
      </w:tr>
      <w:tr w:rsidR="00510CAA" w14:paraId="71F3E23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50"/>
        </w:trPr>
        <w:tc>
          <w:tcPr>
            <w:tcW w:w="450" w:type="dxa"/>
            <w:tcBorders>
              <w:top w:val="dotted" w:sz="2" w:space="0" w:color="000000"/>
              <w:left w:val="nil"/>
              <w:bottom w:val="nil"/>
              <w:right w:val="nil"/>
              <w:tl2br w:val="nil"/>
              <w:tr2bl w:val="nil"/>
            </w:tcBorders>
            <w:tcMar>
              <w:left w:w="40" w:type="dxa"/>
              <w:right w:w="40" w:type="dxa"/>
            </w:tcMar>
            <w:vAlign w:val="center"/>
          </w:tcPr>
          <w:p w14:paraId="71F3E22A" w14:textId="77777777" w:rsidR="00510CAA" w:rsidRDefault="003A4815">
            <w:pPr>
              <w:jc w:val="center"/>
              <w:rPr>
                <w:rFonts w:ascii="Arial" w:eastAsia="Arial" w:hAnsi="Arial" w:cs="Arial"/>
                <w:color w:val="000000"/>
                <w:sz w:val="16"/>
              </w:rPr>
            </w:pPr>
            <w:r>
              <w:rPr>
                <w:rFonts w:ascii="Arial" w:eastAsia="Arial" w:hAnsi="Arial" w:cs="Arial"/>
                <w:color w:val="000000"/>
                <w:sz w:val="16"/>
              </w:rPr>
              <w:t>13</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2B" w14:textId="77777777" w:rsidR="00510CAA" w:rsidRDefault="003A4815">
            <w:pPr>
              <w:jc w:val="center"/>
              <w:rPr>
                <w:rFonts w:ascii="Arial" w:eastAsia="Arial" w:hAnsi="Arial" w:cs="Arial"/>
                <w:color w:val="000000"/>
                <w:sz w:val="16"/>
              </w:rPr>
            </w:pPr>
            <w:r>
              <w:rPr>
                <w:rFonts w:ascii="Arial" w:eastAsia="Arial" w:hAnsi="Arial" w:cs="Arial"/>
                <w:color w:val="000000"/>
                <w:sz w:val="16"/>
              </w:rPr>
              <w:t>CRYSTALIA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2C"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2D" w14:textId="77777777" w:rsidR="00510CAA" w:rsidRDefault="003A4815">
            <w:pPr>
              <w:jc w:val="center"/>
              <w:rPr>
                <w:rFonts w:ascii="Arial" w:eastAsia="Arial" w:hAnsi="Arial" w:cs="Arial"/>
                <w:color w:val="000000"/>
                <w:sz w:val="16"/>
              </w:rPr>
            </w:pPr>
            <w:r>
              <w:rPr>
                <w:rFonts w:ascii="Arial" w:eastAsia="Arial" w:hAnsi="Arial" w:cs="Arial"/>
                <w:color w:val="000000"/>
                <w:sz w:val="16"/>
              </w:rPr>
              <w:t>C</w:t>
            </w:r>
          </w:p>
        </w:tc>
        <w:tc>
          <w:tcPr>
            <w:tcW w:w="1290" w:type="dxa"/>
            <w:tcBorders>
              <w:top w:val="dotted" w:sz="2" w:space="0" w:color="000000"/>
              <w:left w:val="nil"/>
              <w:bottom w:val="nil"/>
              <w:right w:val="nil"/>
              <w:tl2br w:val="nil"/>
              <w:tr2bl w:val="nil"/>
            </w:tcBorders>
            <w:tcMar>
              <w:left w:w="40" w:type="dxa"/>
              <w:right w:w="40" w:type="dxa"/>
            </w:tcMar>
          </w:tcPr>
          <w:p w14:paraId="71F3E22E" w14:textId="77777777" w:rsidR="00510CAA" w:rsidRDefault="003A4815">
            <w:pPr>
              <w:jc w:val="center"/>
              <w:rPr>
                <w:rFonts w:ascii="Arial" w:eastAsia="Arial" w:hAnsi="Arial" w:cs="Arial"/>
                <w:color w:val="000000"/>
                <w:sz w:val="16"/>
              </w:rPr>
            </w:pPr>
            <w:r>
              <w:rPr>
                <w:rFonts w:ascii="Arial" w:eastAsia="Arial" w:hAnsi="Arial" w:cs="Arial"/>
                <w:color w:val="000000"/>
                <w:sz w:val="16"/>
              </w:rPr>
              <w:t>13,900</w:t>
            </w:r>
          </w:p>
        </w:tc>
        <w:tc>
          <w:tcPr>
            <w:tcW w:w="660" w:type="dxa"/>
            <w:tcBorders>
              <w:top w:val="dotted" w:sz="2" w:space="0" w:color="000000"/>
              <w:left w:val="nil"/>
              <w:bottom w:val="nil"/>
              <w:right w:val="nil"/>
              <w:tl2br w:val="nil"/>
              <w:tr2bl w:val="nil"/>
            </w:tcBorders>
            <w:noWrap/>
            <w:tcMar>
              <w:left w:w="40" w:type="dxa"/>
              <w:right w:w="40" w:type="dxa"/>
            </w:tcMar>
          </w:tcPr>
          <w:p w14:paraId="71F3E22F"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tcBorders>
              <w:top w:val="dotted" w:sz="2" w:space="0" w:color="000000"/>
              <w:left w:val="nil"/>
              <w:bottom w:val="nil"/>
              <w:right w:val="nil"/>
              <w:tl2br w:val="nil"/>
              <w:tr2bl w:val="nil"/>
            </w:tcBorders>
            <w:tcMar>
              <w:left w:w="40" w:type="dxa"/>
              <w:right w:w="40" w:type="dxa"/>
            </w:tcMar>
          </w:tcPr>
          <w:p w14:paraId="71F3E230" w14:textId="77777777" w:rsidR="00510CAA" w:rsidRDefault="003A4815">
            <w:pPr>
              <w:jc w:val="center"/>
              <w:rPr>
                <w:rFonts w:ascii="Arial" w:eastAsia="Arial" w:hAnsi="Arial" w:cs="Arial"/>
                <w:color w:val="000000"/>
                <w:sz w:val="16"/>
              </w:rPr>
            </w:pPr>
            <w:r>
              <w:rPr>
                <w:rFonts w:ascii="Arial" w:eastAsia="Arial" w:hAnsi="Arial" w:cs="Arial"/>
                <w:color w:val="000000"/>
                <w:sz w:val="16"/>
              </w:rPr>
              <w:t>Louis Dreyfus Company Freight Asia Pte. Ltd.</w:t>
            </w:r>
          </w:p>
        </w:tc>
        <w:tc>
          <w:tcPr>
            <w:tcW w:w="1410" w:type="dxa"/>
            <w:tcBorders>
              <w:top w:val="dotted" w:sz="2" w:space="0" w:color="000000"/>
              <w:left w:val="nil"/>
              <w:bottom w:val="nil"/>
              <w:right w:val="nil"/>
              <w:tl2br w:val="nil"/>
              <w:tr2bl w:val="nil"/>
            </w:tcBorders>
            <w:tcMar>
              <w:left w:w="40" w:type="dxa"/>
              <w:right w:w="40" w:type="dxa"/>
            </w:tcMar>
          </w:tcPr>
          <w:p w14:paraId="71F3E231" w14:textId="77777777" w:rsidR="00510CAA" w:rsidRDefault="003A4815">
            <w:pPr>
              <w:jc w:val="center"/>
              <w:rPr>
                <w:rFonts w:ascii="Arial" w:eastAsia="Arial" w:hAnsi="Arial" w:cs="Arial"/>
                <w:color w:val="000000"/>
                <w:sz w:val="16"/>
              </w:rPr>
            </w:pPr>
            <w:r>
              <w:rPr>
                <w:rFonts w:ascii="Arial" w:eastAsia="Arial" w:hAnsi="Arial" w:cs="Arial"/>
                <w:color w:val="000000"/>
                <w:sz w:val="16"/>
              </w:rPr>
              <w:t>4-May-24</w:t>
            </w:r>
          </w:p>
        </w:tc>
        <w:tc>
          <w:tcPr>
            <w:tcW w:w="2100" w:type="dxa"/>
            <w:tcBorders>
              <w:top w:val="dotted" w:sz="2" w:space="0" w:color="000000"/>
              <w:left w:val="nil"/>
              <w:bottom w:val="nil"/>
              <w:right w:val="nil"/>
              <w:tl2br w:val="nil"/>
              <w:tr2bl w:val="nil"/>
            </w:tcBorders>
            <w:tcMar>
              <w:left w:w="40" w:type="dxa"/>
              <w:right w:w="40" w:type="dxa"/>
            </w:tcMar>
          </w:tcPr>
          <w:p w14:paraId="71F3E232" w14:textId="77777777" w:rsidR="00510CAA" w:rsidRDefault="003A4815">
            <w:pPr>
              <w:jc w:val="center"/>
              <w:rPr>
                <w:rFonts w:ascii="Arial" w:eastAsia="Arial" w:hAnsi="Arial" w:cs="Arial"/>
                <w:color w:val="000000"/>
                <w:sz w:val="16"/>
              </w:rPr>
            </w:pPr>
            <w:r>
              <w:rPr>
                <w:rFonts w:ascii="Arial" w:eastAsia="Arial" w:hAnsi="Arial" w:cs="Arial"/>
                <w:color w:val="000000"/>
                <w:sz w:val="16"/>
              </w:rPr>
              <w:t>13-Mar-26</w:t>
            </w:r>
          </w:p>
        </w:tc>
        <w:tc>
          <w:tcPr>
            <w:tcW w:w="660" w:type="dxa"/>
            <w:tcBorders>
              <w:top w:val="dotted" w:sz="2" w:space="0" w:color="000000"/>
              <w:left w:val="nil"/>
              <w:bottom w:val="nil"/>
              <w:right w:val="nil"/>
              <w:tl2br w:val="nil"/>
              <w:tr2bl w:val="nil"/>
            </w:tcBorders>
            <w:noWrap/>
            <w:tcMar>
              <w:left w:w="40" w:type="dxa"/>
              <w:right w:w="40" w:type="dxa"/>
            </w:tcMar>
          </w:tcPr>
          <w:p w14:paraId="71F3E233" w14:textId="77777777" w:rsidR="00510CAA" w:rsidRDefault="003A4815">
            <w:pPr>
              <w:jc w:val="center"/>
              <w:rPr>
                <w:rFonts w:ascii="Arial" w:eastAsia="Arial" w:hAnsi="Arial" w:cs="Arial"/>
                <w:color w:val="000000"/>
                <w:sz w:val="16"/>
              </w:rPr>
            </w:pPr>
            <w:r>
              <w:rPr>
                <w:rFonts w:ascii="Arial" w:eastAsia="Arial" w:hAnsi="Arial" w:cs="Arial"/>
                <w:color w:val="000000"/>
                <w:sz w:val="16"/>
              </w:rPr>
              <w:t>5</w:t>
            </w:r>
          </w:p>
        </w:tc>
      </w:tr>
      <w:tr w:rsidR="00510CAA" w14:paraId="71F3E23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3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3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2014 77,525</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3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38"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40" w:type="dxa"/>
              <w:right w:w="40" w:type="dxa"/>
            </w:tcMar>
            <w:vAlign w:val="center"/>
          </w:tcPr>
          <w:p w14:paraId="71F3E239" w14:textId="77777777" w:rsidR="00510CAA" w:rsidRDefault="003A4815">
            <w:pPr>
              <w:jc w:val="center"/>
              <w:rPr>
                <w:rFonts w:ascii="Arial" w:eastAsia="Arial" w:hAnsi="Arial" w:cs="Arial"/>
                <w:color w:val="000000"/>
                <w:sz w:val="16"/>
              </w:rPr>
            </w:pPr>
            <w:r>
              <w:rPr>
                <w:rFonts w:ascii="Arial" w:eastAsia="Arial" w:hAnsi="Arial" w:cs="Arial"/>
                <w:color w:val="000000"/>
                <w:sz w:val="16"/>
              </w:rPr>
              <w:t>16,200</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23A"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tcBorders>
              <w:top w:val="nil"/>
              <w:left w:val="nil"/>
              <w:bottom w:val="dotted" w:sz="2" w:space="0" w:color="000000"/>
              <w:right w:val="nil"/>
              <w:tl2br w:val="nil"/>
              <w:tr2bl w:val="nil"/>
            </w:tcBorders>
            <w:tcMar>
              <w:left w:w="40" w:type="dxa"/>
              <w:right w:w="40" w:type="dxa"/>
            </w:tcMar>
          </w:tcPr>
          <w:p w14:paraId="71F3E23B" w14:textId="77777777" w:rsidR="00510CAA" w:rsidRDefault="003A4815">
            <w:pP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nil"/>
              <w:left w:val="nil"/>
              <w:bottom w:val="dotted" w:sz="2" w:space="0" w:color="000000"/>
              <w:right w:val="nil"/>
              <w:tl2br w:val="nil"/>
              <w:tr2bl w:val="nil"/>
            </w:tcBorders>
            <w:tcMar>
              <w:left w:w="40" w:type="dxa"/>
              <w:right w:w="40" w:type="dxa"/>
            </w:tcMar>
            <w:vAlign w:val="center"/>
          </w:tcPr>
          <w:p w14:paraId="71F3E23C" w14:textId="77777777" w:rsidR="00510CAA" w:rsidRDefault="003A4815">
            <w:pPr>
              <w:jc w:val="center"/>
              <w:rPr>
                <w:rFonts w:ascii="Arial" w:eastAsia="Arial" w:hAnsi="Arial" w:cs="Arial"/>
                <w:color w:val="000000"/>
                <w:sz w:val="16"/>
              </w:rPr>
            </w:pPr>
            <w:r>
              <w:rPr>
                <w:rFonts w:ascii="Arial" w:eastAsia="Arial" w:hAnsi="Arial" w:cs="Arial"/>
                <w:color w:val="000000"/>
                <w:sz w:val="16"/>
              </w:rPr>
              <w:t>13-Mar-26</w:t>
            </w:r>
          </w:p>
        </w:tc>
        <w:tc>
          <w:tcPr>
            <w:tcW w:w="2100" w:type="dxa"/>
            <w:tcBorders>
              <w:top w:val="nil"/>
              <w:left w:val="nil"/>
              <w:bottom w:val="dotted" w:sz="2" w:space="0" w:color="000000"/>
              <w:right w:val="nil"/>
              <w:tl2br w:val="nil"/>
              <w:tr2bl w:val="nil"/>
            </w:tcBorders>
            <w:tcMar>
              <w:left w:w="40" w:type="dxa"/>
              <w:right w:w="40" w:type="dxa"/>
            </w:tcMar>
            <w:vAlign w:val="center"/>
          </w:tcPr>
          <w:p w14:paraId="71F3E23D" w14:textId="77777777" w:rsidR="00510CAA" w:rsidRDefault="003A4815">
            <w:pPr>
              <w:jc w:val="center"/>
              <w:rPr>
                <w:rFonts w:ascii="Arial" w:eastAsia="Arial" w:hAnsi="Arial" w:cs="Arial"/>
                <w:color w:val="000000"/>
                <w:sz w:val="16"/>
              </w:rPr>
            </w:pPr>
            <w:r>
              <w:rPr>
                <w:rFonts w:ascii="Arial" w:eastAsia="Arial" w:hAnsi="Arial" w:cs="Arial"/>
                <w:color w:val="000000"/>
                <w:sz w:val="16"/>
              </w:rPr>
              <w:t>10/Mar/2027 - 10/May/2027</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23E" w14:textId="77777777" w:rsidR="00510CAA" w:rsidRDefault="003A4815">
            <w:pPr>
              <w:jc w:val="center"/>
              <w:rPr>
                <w:rFonts w:ascii="Arial" w:eastAsia="Arial" w:hAnsi="Arial" w:cs="Arial"/>
                <w:color w:val="000000"/>
                <w:sz w:val="16"/>
              </w:rPr>
            </w:pPr>
            <w:r>
              <w:rPr>
                <w:rFonts w:ascii="Arial" w:eastAsia="Arial" w:hAnsi="Arial" w:cs="Arial"/>
                <w:color w:val="000000"/>
                <w:sz w:val="16"/>
              </w:rPr>
              <w:t>6</w:t>
            </w:r>
          </w:p>
        </w:tc>
      </w:tr>
      <w:tr w:rsidR="00510CAA" w14:paraId="71F3E24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240" w14:textId="77777777" w:rsidR="00510CAA" w:rsidRDefault="003A4815">
            <w:pPr>
              <w:jc w:val="center"/>
              <w:rPr>
                <w:rFonts w:ascii="Arial" w:eastAsia="Arial" w:hAnsi="Arial" w:cs="Arial"/>
                <w:color w:val="000000"/>
                <w:sz w:val="16"/>
              </w:rPr>
            </w:pPr>
            <w:r>
              <w:rPr>
                <w:rFonts w:ascii="Arial" w:eastAsia="Arial" w:hAnsi="Arial" w:cs="Arial"/>
                <w:color w:val="000000"/>
                <w:sz w:val="16"/>
              </w:rPr>
              <w:t>14</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41" w14:textId="77777777" w:rsidR="00510CAA" w:rsidRDefault="003A4815">
            <w:pPr>
              <w:jc w:val="center"/>
              <w:rPr>
                <w:rFonts w:ascii="Arial" w:eastAsia="Arial" w:hAnsi="Arial" w:cs="Arial"/>
                <w:color w:val="000000"/>
                <w:sz w:val="16"/>
              </w:rPr>
            </w:pPr>
            <w:r>
              <w:rPr>
                <w:rFonts w:ascii="Arial" w:eastAsia="Arial" w:hAnsi="Arial" w:cs="Arial"/>
                <w:color w:val="000000"/>
                <w:sz w:val="16"/>
              </w:rPr>
              <w:t>ATALANDI</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4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43" w14:textId="77777777" w:rsidR="00510CAA" w:rsidRDefault="003A4815">
            <w:pPr>
              <w:jc w:val="center"/>
              <w:rPr>
                <w:rFonts w:ascii="Arial" w:eastAsia="Arial" w:hAnsi="Arial" w:cs="Arial"/>
                <w:color w:val="000000"/>
                <w:sz w:val="16"/>
              </w:rPr>
            </w:pPr>
            <w:r>
              <w:rPr>
                <w:rFonts w:ascii="Arial" w:eastAsia="Arial" w:hAnsi="Arial" w:cs="Arial"/>
                <w:color w:val="000000"/>
                <w:sz w:val="16"/>
              </w:rPr>
              <w:t>C</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244" w14:textId="77777777" w:rsidR="00510CAA" w:rsidRDefault="003A4815">
            <w:pPr>
              <w:jc w:val="center"/>
              <w:rPr>
                <w:rFonts w:ascii="Arial" w:eastAsia="Arial" w:hAnsi="Arial" w:cs="Arial"/>
                <w:color w:val="000000"/>
                <w:sz w:val="16"/>
              </w:rPr>
            </w:pPr>
            <w:r>
              <w:rPr>
                <w:rFonts w:ascii="Arial" w:eastAsia="Arial" w:hAnsi="Arial" w:cs="Arial"/>
                <w:color w:val="000000"/>
                <w:sz w:val="16"/>
              </w:rPr>
              <w:t>10,100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45"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46" w14:textId="77777777" w:rsidR="00510CAA" w:rsidRDefault="003A4815">
            <w:pPr>
              <w:jc w:val="center"/>
              <w:rPr>
                <w:rFonts w:ascii="Arial" w:eastAsia="Arial" w:hAnsi="Arial" w:cs="Arial"/>
                <w:color w:val="000000"/>
                <w:sz w:val="16"/>
              </w:rPr>
            </w:pPr>
            <w:r>
              <w:rPr>
                <w:rFonts w:ascii="Arial" w:eastAsia="Arial" w:hAnsi="Arial" w:cs="Arial"/>
                <w:color w:val="000000"/>
                <w:sz w:val="16"/>
              </w:rPr>
              <w:t>Stone Shipping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47" w14:textId="77777777" w:rsidR="00510CAA" w:rsidRDefault="003A4815">
            <w:pPr>
              <w:jc w:val="center"/>
              <w:rPr>
                <w:rFonts w:ascii="Arial" w:eastAsia="Arial" w:hAnsi="Arial" w:cs="Arial"/>
                <w:color w:val="000000"/>
                <w:sz w:val="16"/>
              </w:rPr>
            </w:pPr>
            <w:r>
              <w:rPr>
                <w:rFonts w:ascii="Arial" w:eastAsia="Arial" w:hAnsi="Arial" w:cs="Arial"/>
                <w:color w:val="000000"/>
                <w:sz w:val="16"/>
              </w:rPr>
              <w:t>8-Jun-25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48" w14:textId="77777777" w:rsidR="00510CAA" w:rsidRDefault="003A4815">
            <w:pPr>
              <w:jc w:val="center"/>
              <w:rPr>
                <w:rFonts w:ascii="Arial" w:eastAsia="Arial" w:hAnsi="Arial" w:cs="Arial"/>
                <w:color w:val="000000"/>
                <w:sz w:val="16"/>
              </w:rPr>
            </w:pPr>
            <w:r>
              <w:rPr>
                <w:rFonts w:ascii="Arial" w:eastAsia="Arial" w:hAnsi="Arial" w:cs="Arial"/>
                <w:color w:val="000000"/>
                <w:sz w:val="16"/>
              </w:rPr>
              <w:t>15/Jun/2026 - 15/Aug/2026</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49" w14:textId="77777777" w:rsidR="00510CAA" w:rsidRDefault="003A4815">
            <w:pPr>
              <w:jc w:val="center"/>
              <w:rPr>
                <w:rFonts w:ascii="Arial" w:eastAsia="Arial" w:hAnsi="Arial" w:cs="Arial"/>
                <w:color w:val="000000"/>
                <w:sz w:val="16"/>
              </w:rPr>
            </w:pPr>
            <w:r>
              <w:rPr>
                <w:rFonts w:ascii="Arial" w:eastAsia="Arial" w:hAnsi="Arial" w:cs="Arial"/>
                <w:color w:val="000000"/>
                <w:sz w:val="16"/>
              </w:rPr>
              <w:t>7</w:t>
            </w:r>
          </w:p>
        </w:tc>
      </w:tr>
      <w:tr w:rsidR="00510CAA" w14:paraId="71F3E25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single" w:sz="4" w:space="0" w:color="000000"/>
              <w:right w:val="nil"/>
              <w:tl2br w:val="nil"/>
              <w:tr2bl w:val="nil"/>
            </w:tcBorders>
            <w:tcMar>
              <w:left w:w="0" w:type="dxa"/>
              <w:right w:w="0" w:type="dxa"/>
            </w:tcMar>
            <w:vAlign w:val="center"/>
          </w:tcPr>
          <w:p w14:paraId="71F3E24B" w14:textId="77777777" w:rsidR="00510CAA" w:rsidRDefault="00510CAA">
            <w:pPr>
              <w:jc w:val="cente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24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2014 77,529</w:t>
            </w:r>
          </w:p>
        </w:tc>
        <w:tc>
          <w:tcPr>
            <w:tcW w:w="75" w:type="dxa"/>
            <w:tcBorders>
              <w:top w:val="nil"/>
              <w:left w:val="nil"/>
              <w:bottom w:val="single" w:sz="4" w:space="0" w:color="000000"/>
              <w:right w:val="nil"/>
              <w:tl2br w:val="nil"/>
              <w:tr2bl w:val="nil"/>
            </w:tcBorders>
            <w:noWrap/>
            <w:tcMar>
              <w:left w:w="0" w:type="dxa"/>
              <w:right w:w="0" w:type="dxa"/>
            </w:tcMar>
            <w:vAlign w:val="center"/>
          </w:tcPr>
          <w:p w14:paraId="71F3E24D" w14:textId="77777777" w:rsidR="00510CAA" w:rsidRDefault="00510CAA">
            <w:pPr>
              <w:rPr>
                <w:rFonts w:ascii="Arial" w:eastAsia="Arial" w:hAnsi="Arial" w:cs="Arial"/>
                <w:color w:val="000000"/>
                <w:sz w:val="16"/>
              </w:rPr>
            </w:pPr>
          </w:p>
        </w:tc>
        <w:tc>
          <w:tcPr>
            <w:tcW w:w="630" w:type="dxa"/>
            <w:tcBorders>
              <w:top w:val="nil"/>
              <w:left w:val="nil"/>
              <w:bottom w:val="single" w:sz="4" w:space="0" w:color="000000"/>
              <w:right w:val="nil"/>
              <w:tl2br w:val="nil"/>
              <w:tr2bl w:val="nil"/>
            </w:tcBorders>
            <w:tcMar>
              <w:left w:w="0" w:type="dxa"/>
              <w:right w:w="0" w:type="dxa"/>
            </w:tcMar>
            <w:vAlign w:val="center"/>
          </w:tcPr>
          <w:p w14:paraId="71F3E24E" w14:textId="77777777" w:rsidR="00510CAA" w:rsidRDefault="00510CAA">
            <w:pPr>
              <w:jc w:val="cente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tcMar>
              <w:left w:w="0" w:type="dxa"/>
              <w:right w:w="0" w:type="dxa"/>
            </w:tcMar>
            <w:vAlign w:val="center"/>
          </w:tcPr>
          <w:p w14:paraId="71F3E24F"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250" w14:textId="77777777" w:rsidR="00510CAA" w:rsidRDefault="00510CAA">
            <w:pPr>
              <w:jc w:val="center"/>
              <w:rPr>
                <w:rFonts w:ascii="Arial" w:eastAsia="Arial" w:hAnsi="Arial" w:cs="Arial"/>
                <w:color w:val="000000"/>
                <w:sz w:val="16"/>
              </w:rPr>
            </w:pPr>
          </w:p>
        </w:tc>
        <w:tc>
          <w:tcPr>
            <w:tcW w:w="2595" w:type="dxa"/>
            <w:vMerge/>
            <w:tcBorders>
              <w:top w:val="nil"/>
              <w:left w:val="nil"/>
              <w:bottom w:val="single" w:sz="4" w:space="0" w:color="000000"/>
              <w:right w:val="nil"/>
              <w:tl2br w:val="nil"/>
              <w:tr2bl w:val="nil"/>
            </w:tcBorders>
            <w:tcMar>
              <w:left w:w="0" w:type="dxa"/>
              <w:right w:w="0" w:type="dxa"/>
            </w:tcMar>
          </w:tcPr>
          <w:p w14:paraId="71F3E251" w14:textId="77777777" w:rsidR="00510CAA" w:rsidRDefault="00510CAA">
            <w:pPr>
              <w:jc w:val="center"/>
              <w:rPr>
                <w:rFonts w:ascii="Arial" w:eastAsia="Arial" w:hAnsi="Arial" w:cs="Arial"/>
                <w:color w:val="000000"/>
                <w:sz w:val="16"/>
              </w:rPr>
            </w:pPr>
          </w:p>
        </w:tc>
        <w:tc>
          <w:tcPr>
            <w:tcW w:w="1410" w:type="dxa"/>
            <w:tcBorders>
              <w:top w:val="nil"/>
              <w:left w:val="nil"/>
              <w:bottom w:val="single" w:sz="4" w:space="0" w:color="000000"/>
              <w:right w:val="nil"/>
              <w:tl2br w:val="nil"/>
              <w:tr2bl w:val="nil"/>
            </w:tcBorders>
            <w:noWrap/>
            <w:tcMar>
              <w:left w:w="0" w:type="dxa"/>
              <w:right w:w="0" w:type="dxa"/>
            </w:tcMar>
            <w:vAlign w:val="center"/>
          </w:tcPr>
          <w:p w14:paraId="71F3E252" w14:textId="77777777" w:rsidR="00510CAA" w:rsidRDefault="00510CAA">
            <w:pPr>
              <w:jc w:val="center"/>
              <w:rPr>
                <w:rFonts w:ascii="Arial" w:eastAsia="Arial" w:hAnsi="Arial" w:cs="Arial"/>
                <w:color w:val="000000"/>
                <w:sz w:val="16"/>
              </w:rPr>
            </w:pPr>
          </w:p>
        </w:tc>
        <w:tc>
          <w:tcPr>
            <w:tcW w:w="2100" w:type="dxa"/>
            <w:tcBorders>
              <w:top w:val="nil"/>
              <w:left w:val="nil"/>
              <w:bottom w:val="single" w:sz="4" w:space="0" w:color="000000"/>
              <w:right w:val="nil"/>
              <w:tl2br w:val="nil"/>
              <w:tr2bl w:val="nil"/>
            </w:tcBorders>
            <w:tcMar>
              <w:left w:w="0" w:type="dxa"/>
              <w:right w:w="0" w:type="dxa"/>
            </w:tcMar>
            <w:vAlign w:val="center"/>
          </w:tcPr>
          <w:p w14:paraId="71F3E253"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254" w14:textId="77777777" w:rsidR="00510CAA" w:rsidRDefault="00510CAA">
            <w:pPr>
              <w:jc w:val="center"/>
              <w:rPr>
                <w:rFonts w:ascii="Arial" w:eastAsia="Arial" w:hAnsi="Arial" w:cs="Arial"/>
                <w:color w:val="000000"/>
                <w:sz w:val="16"/>
              </w:rPr>
            </w:pPr>
          </w:p>
        </w:tc>
      </w:tr>
      <w:tr w:rsidR="00510CAA" w14:paraId="71F3E25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256" w14:textId="77777777" w:rsidR="00510CAA" w:rsidRDefault="003A4815">
            <w:pPr>
              <w:jc w:val="center"/>
              <w:rPr>
                <w:rFonts w:ascii="Arial" w:eastAsia="Arial" w:hAnsi="Arial" w:cs="Arial"/>
                <w:b/>
                <w:color w:val="000000"/>
                <w:sz w:val="18"/>
              </w:rPr>
            </w:pPr>
            <w:r>
              <w:rPr>
                <w:rFonts w:ascii="Arial" w:eastAsia="Arial" w:hAnsi="Arial" w:cs="Arial"/>
                <w:b/>
                <w:color w:val="000000"/>
                <w:sz w:val="18"/>
              </w:rPr>
              <w:t>6 Kamsarmax Bulk Carriers</w:t>
            </w:r>
          </w:p>
        </w:tc>
      </w:tr>
      <w:tr w:rsidR="00510CAA" w14:paraId="71F3E26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single" w:sz="4" w:space="0" w:color="000000"/>
              <w:left w:val="nil"/>
              <w:bottom w:val="nil"/>
              <w:right w:val="nil"/>
              <w:tl2br w:val="nil"/>
              <w:tr2bl w:val="nil"/>
            </w:tcBorders>
            <w:tcMar>
              <w:left w:w="40" w:type="dxa"/>
              <w:right w:w="40" w:type="dxa"/>
            </w:tcMar>
            <w:vAlign w:val="center"/>
          </w:tcPr>
          <w:p w14:paraId="71F3E258" w14:textId="77777777" w:rsidR="00510CAA" w:rsidRDefault="003A4815">
            <w:pPr>
              <w:jc w:val="center"/>
              <w:rPr>
                <w:rFonts w:ascii="Arial" w:eastAsia="Arial" w:hAnsi="Arial" w:cs="Arial"/>
                <w:color w:val="000000"/>
                <w:sz w:val="16"/>
              </w:rPr>
            </w:pPr>
            <w:r>
              <w:rPr>
                <w:rFonts w:ascii="Arial" w:eastAsia="Arial" w:hAnsi="Arial" w:cs="Arial"/>
                <w:color w:val="000000"/>
                <w:sz w:val="16"/>
              </w:rPr>
              <w:t>15</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259" w14:textId="77777777" w:rsidR="00510CAA" w:rsidRDefault="003A4815">
            <w:pPr>
              <w:jc w:val="center"/>
              <w:rPr>
                <w:rFonts w:ascii="Arial" w:eastAsia="Arial" w:hAnsi="Arial" w:cs="Arial"/>
                <w:color w:val="000000"/>
                <w:sz w:val="16"/>
              </w:rPr>
            </w:pPr>
            <w:r>
              <w:rPr>
                <w:rFonts w:ascii="Arial" w:eastAsia="Arial" w:hAnsi="Arial" w:cs="Arial"/>
                <w:color w:val="000000"/>
                <w:sz w:val="16"/>
              </w:rPr>
              <w:t>MAIA</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25A"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40" w:type="dxa"/>
              <w:right w:w="40" w:type="dxa"/>
            </w:tcMar>
            <w:vAlign w:val="center"/>
          </w:tcPr>
          <w:p w14:paraId="71F3E25B" w14:textId="77777777" w:rsidR="00510CAA" w:rsidRDefault="003A4815">
            <w:pPr>
              <w:jc w:val="center"/>
              <w:rPr>
                <w:rFonts w:ascii="Arial" w:eastAsia="Arial" w:hAnsi="Arial" w:cs="Arial"/>
                <w:color w:val="000000"/>
                <w:sz w:val="16"/>
              </w:rPr>
            </w:pPr>
            <w:r>
              <w:rPr>
                <w:rFonts w:ascii="Arial" w:eastAsia="Arial" w:hAnsi="Arial" w:cs="Arial"/>
                <w:color w:val="000000"/>
                <w:sz w:val="16"/>
              </w:rPr>
              <w:t>D</w:t>
            </w:r>
          </w:p>
        </w:tc>
        <w:tc>
          <w:tcPr>
            <w:tcW w:w="1290" w:type="dxa"/>
            <w:tcBorders>
              <w:top w:val="single" w:sz="4" w:space="0" w:color="000000"/>
              <w:left w:val="nil"/>
              <w:bottom w:val="nil"/>
              <w:right w:val="nil"/>
              <w:tl2br w:val="nil"/>
              <w:tr2bl w:val="nil"/>
            </w:tcBorders>
            <w:tcMar>
              <w:left w:w="40" w:type="dxa"/>
              <w:right w:w="40" w:type="dxa"/>
            </w:tcMar>
          </w:tcPr>
          <w:p w14:paraId="71F3E25C" w14:textId="77777777" w:rsidR="00510CAA" w:rsidRDefault="003A4815">
            <w:pPr>
              <w:jc w:val="center"/>
              <w:rPr>
                <w:rFonts w:ascii="Arial" w:eastAsia="Arial" w:hAnsi="Arial" w:cs="Arial"/>
                <w:color w:val="000000"/>
                <w:sz w:val="16"/>
              </w:rPr>
            </w:pPr>
            <w:r>
              <w:rPr>
                <w:rFonts w:ascii="Arial" w:eastAsia="Arial" w:hAnsi="Arial" w:cs="Arial"/>
                <w:color w:val="000000"/>
                <w:sz w:val="16"/>
              </w:rPr>
              <w:t>11,600</w:t>
            </w:r>
          </w:p>
        </w:tc>
        <w:tc>
          <w:tcPr>
            <w:tcW w:w="660" w:type="dxa"/>
            <w:tcBorders>
              <w:top w:val="single" w:sz="4" w:space="0" w:color="000000"/>
              <w:left w:val="nil"/>
              <w:bottom w:val="nil"/>
              <w:right w:val="nil"/>
              <w:tl2br w:val="nil"/>
              <w:tr2bl w:val="nil"/>
            </w:tcBorders>
            <w:noWrap/>
            <w:tcMar>
              <w:left w:w="40" w:type="dxa"/>
              <w:right w:w="40" w:type="dxa"/>
            </w:tcMar>
          </w:tcPr>
          <w:p w14:paraId="71F3E25D"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single" w:sz="4" w:space="0" w:color="000000"/>
              <w:left w:val="nil"/>
              <w:bottom w:val="nil"/>
              <w:right w:val="nil"/>
              <w:tl2br w:val="nil"/>
              <w:tr2bl w:val="nil"/>
            </w:tcBorders>
            <w:tcMar>
              <w:left w:w="40" w:type="dxa"/>
              <w:right w:w="40" w:type="dxa"/>
            </w:tcMar>
            <w:vAlign w:val="center"/>
          </w:tcPr>
          <w:p w14:paraId="71F3E25E" w14:textId="77777777" w:rsidR="00510CAA" w:rsidRDefault="003A4815">
            <w:pPr>
              <w:jc w:val="center"/>
              <w:rPr>
                <w:rFonts w:ascii="Arial" w:eastAsia="Arial" w:hAnsi="Arial" w:cs="Arial"/>
                <w:color w:val="000000"/>
                <w:sz w:val="16"/>
              </w:rPr>
            </w:pPr>
            <w:r>
              <w:rPr>
                <w:rFonts w:ascii="Arial" w:eastAsia="Arial" w:hAnsi="Arial" w:cs="Arial"/>
                <w:color w:val="000000"/>
                <w:sz w:val="16"/>
              </w:rPr>
              <w:t>Paralos Shipping Pte. Ltd.</w:t>
            </w:r>
          </w:p>
        </w:tc>
        <w:tc>
          <w:tcPr>
            <w:tcW w:w="1410" w:type="dxa"/>
            <w:tcBorders>
              <w:top w:val="single" w:sz="4" w:space="0" w:color="000000"/>
              <w:left w:val="nil"/>
              <w:bottom w:val="nil"/>
              <w:right w:val="nil"/>
              <w:tl2br w:val="nil"/>
              <w:tr2bl w:val="nil"/>
            </w:tcBorders>
            <w:tcMar>
              <w:left w:w="40" w:type="dxa"/>
              <w:right w:w="40" w:type="dxa"/>
            </w:tcMar>
            <w:vAlign w:val="center"/>
          </w:tcPr>
          <w:p w14:paraId="71F3E25F" w14:textId="77777777" w:rsidR="00510CAA" w:rsidRDefault="003A4815">
            <w:pPr>
              <w:jc w:val="center"/>
              <w:rPr>
                <w:rFonts w:ascii="Arial" w:eastAsia="Arial" w:hAnsi="Arial" w:cs="Arial"/>
                <w:color w:val="000000"/>
                <w:sz w:val="16"/>
              </w:rPr>
            </w:pPr>
            <w:r>
              <w:rPr>
                <w:rFonts w:ascii="Arial" w:eastAsia="Arial" w:hAnsi="Arial" w:cs="Arial"/>
                <w:color w:val="000000"/>
                <w:sz w:val="16"/>
              </w:rPr>
              <w:t>9-Dec-24</w:t>
            </w:r>
          </w:p>
        </w:tc>
        <w:tc>
          <w:tcPr>
            <w:tcW w:w="2100" w:type="dxa"/>
            <w:tcBorders>
              <w:top w:val="single" w:sz="4" w:space="0" w:color="000000"/>
              <w:left w:val="nil"/>
              <w:bottom w:val="nil"/>
              <w:right w:val="nil"/>
              <w:tl2br w:val="nil"/>
              <w:tr2bl w:val="nil"/>
            </w:tcBorders>
            <w:tcMar>
              <w:left w:w="40" w:type="dxa"/>
              <w:right w:w="40" w:type="dxa"/>
            </w:tcMar>
            <w:vAlign w:val="center"/>
          </w:tcPr>
          <w:p w14:paraId="71F3E260" w14:textId="77777777" w:rsidR="00510CAA" w:rsidRDefault="003A4815">
            <w:pPr>
              <w:jc w:val="center"/>
              <w:rPr>
                <w:rFonts w:ascii="Arial" w:eastAsia="Arial" w:hAnsi="Arial" w:cs="Arial"/>
                <w:color w:val="000000"/>
                <w:sz w:val="16"/>
              </w:rPr>
            </w:pPr>
            <w:r>
              <w:rPr>
                <w:rFonts w:ascii="Arial" w:eastAsia="Arial" w:hAnsi="Arial" w:cs="Arial"/>
                <w:color w:val="000000"/>
                <w:sz w:val="16"/>
              </w:rPr>
              <w:t>16-Jan-26</w:t>
            </w:r>
          </w:p>
        </w:tc>
        <w:tc>
          <w:tcPr>
            <w:tcW w:w="660" w:type="dxa"/>
            <w:vMerge w:val="restart"/>
            <w:tcBorders>
              <w:top w:val="single" w:sz="4" w:space="0" w:color="000000"/>
              <w:left w:val="nil"/>
              <w:bottom w:val="nil"/>
              <w:right w:val="nil"/>
              <w:tl2br w:val="nil"/>
              <w:tr2bl w:val="nil"/>
            </w:tcBorders>
            <w:tcMar>
              <w:left w:w="40" w:type="dxa"/>
              <w:right w:w="40" w:type="dxa"/>
            </w:tcMar>
            <w:vAlign w:val="center"/>
          </w:tcPr>
          <w:p w14:paraId="71F3E261" w14:textId="77777777" w:rsidR="00510CAA" w:rsidRDefault="003A4815">
            <w:pPr>
              <w:jc w:val="center"/>
              <w:rPr>
                <w:rFonts w:ascii="Arial" w:eastAsia="Arial" w:hAnsi="Arial" w:cs="Arial"/>
                <w:color w:val="000000"/>
                <w:sz w:val="16"/>
              </w:rPr>
            </w:pPr>
            <w:r>
              <w:rPr>
                <w:rFonts w:ascii="Arial" w:eastAsia="Arial" w:hAnsi="Arial" w:cs="Arial"/>
                <w:color w:val="000000"/>
                <w:sz w:val="16"/>
              </w:rPr>
              <w:t>8</w:t>
            </w:r>
          </w:p>
        </w:tc>
      </w:tr>
      <w:tr w:rsidR="00510CAA" w14:paraId="71F3E26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63"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64" w14:textId="77777777" w:rsidR="00510CAA" w:rsidRDefault="003A4815">
            <w:pPr>
              <w:jc w:val="center"/>
              <w:rPr>
                <w:rFonts w:ascii="Arial" w:eastAsia="Arial" w:hAnsi="Arial" w:cs="Arial"/>
                <w:color w:val="000000"/>
                <w:sz w:val="16"/>
              </w:rPr>
            </w:pPr>
            <w:r>
              <w:rPr>
                <w:rFonts w:ascii="Arial" w:eastAsia="Arial" w:hAnsi="Arial" w:cs="Arial"/>
                <w:color w:val="000000"/>
                <w:sz w:val="16"/>
              </w:rPr>
              <w:t>2009 82,193</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65"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66"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40" w:type="dxa"/>
              <w:right w:w="40" w:type="dxa"/>
            </w:tcMar>
            <w:vAlign w:val="center"/>
          </w:tcPr>
          <w:p w14:paraId="71F3E267" w14:textId="77777777" w:rsidR="00510CAA" w:rsidRDefault="003A4815">
            <w:pPr>
              <w:jc w:val="center"/>
              <w:rPr>
                <w:rFonts w:ascii="Arial" w:eastAsia="Arial" w:hAnsi="Arial" w:cs="Arial"/>
                <w:color w:val="000000"/>
                <w:sz w:val="16"/>
              </w:rPr>
            </w:pPr>
            <w:r>
              <w:rPr>
                <w:rFonts w:ascii="Arial" w:eastAsia="Arial" w:hAnsi="Arial" w:cs="Arial"/>
                <w:color w:val="000000"/>
                <w:sz w:val="16"/>
              </w:rPr>
              <w:t>14,000</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268"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tcBorders>
              <w:top w:val="nil"/>
              <w:left w:val="nil"/>
              <w:bottom w:val="dotted" w:sz="2" w:space="0" w:color="000000"/>
              <w:right w:val="nil"/>
              <w:tl2br w:val="nil"/>
              <w:tr2bl w:val="nil"/>
            </w:tcBorders>
            <w:tcMar>
              <w:left w:w="0" w:type="dxa"/>
              <w:right w:w="0" w:type="dxa"/>
            </w:tcMar>
            <w:vAlign w:val="center"/>
          </w:tcPr>
          <w:p w14:paraId="71F3E269"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40" w:type="dxa"/>
              <w:right w:w="40" w:type="dxa"/>
            </w:tcMar>
            <w:vAlign w:val="center"/>
          </w:tcPr>
          <w:p w14:paraId="71F3E26A" w14:textId="77777777" w:rsidR="00510CAA" w:rsidRDefault="003A4815">
            <w:pPr>
              <w:jc w:val="center"/>
              <w:rPr>
                <w:rFonts w:ascii="Arial" w:eastAsia="Arial" w:hAnsi="Arial" w:cs="Arial"/>
                <w:color w:val="000000"/>
                <w:sz w:val="16"/>
              </w:rPr>
            </w:pPr>
            <w:r>
              <w:rPr>
                <w:rFonts w:ascii="Arial" w:eastAsia="Arial" w:hAnsi="Arial" w:cs="Arial"/>
                <w:color w:val="000000"/>
                <w:sz w:val="16"/>
              </w:rPr>
              <w:t>16-Jan-26</w:t>
            </w:r>
          </w:p>
        </w:tc>
        <w:tc>
          <w:tcPr>
            <w:tcW w:w="2100" w:type="dxa"/>
            <w:tcBorders>
              <w:top w:val="nil"/>
              <w:left w:val="nil"/>
              <w:bottom w:val="dotted" w:sz="2" w:space="0" w:color="000000"/>
              <w:right w:val="nil"/>
              <w:tl2br w:val="nil"/>
              <w:tr2bl w:val="nil"/>
            </w:tcBorders>
            <w:tcMar>
              <w:left w:w="40" w:type="dxa"/>
              <w:right w:w="40" w:type="dxa"/>
            </w:tcMar>
            <w:vAlign w:val="center"/>
          </w:tcPr>
          <w:p w14:paraId="71F3E26B" w14:textId="77777777" w:rsidR="00510CAA" w:rsidRDefault="003A4815">
            <w:pPr>
              <w:jc w:val="center"/>
              <w:rPr>
                <w:rFonts w:ascii="Arial" w:eastAsia="Arial" w:hAnsi="Arial" w:cs="Arial"/>
                <w:color w:val="000000"/>
                <w:sz w:val="16"/>
              </w:rPr>
            </w:pPr>
            <w:r>
              <w:rPr>
                <w:rFonts w:ascii="Arial" w:eastAsia="Arial" w:hAnsi="Arial" w:cs="Arial"/>
                <w:color w:val="000000"/>
                <w:sz w:val="16"/>
              </w:rPr>
              <w:t>5/Jul/2027 - 5/Sep/2027</w:t>
            </w:r>
          </w:p>
        </w:tc>
        <w:tc>
          <w:tcPr>
            <w:tcW w:w="660" w:type="dxa"/>
            <w:vMerge/>
            <w:tcBorders>
              <w:top w:val="nil"/>
              <w:left w:val="nil"/>
              <w:bottom w:val="dotted" w:sz="2" w:space="0" w:color="000000"/>
              <w:right w:val="nil"/>
              <w:tl2br w:val="nil"/>
              <w:tr2bl w:val="nil"/>
            </w:tcBorders>
            <w:tcMar>
              <w:left w:w="0" w:type="dxa"/>
              <w:right w:w="0" w:type="dxa"/>
            </w:tcMar>
            <w:vAlign w:val="center"/>
          </w:tcPr>
          <w:p w14:paraId="71F3E26C" w14:textId="77777777" w:rsidR="00510CAA" w:rsidRDefault="00510CAA">
            <w:pPr>
              <w:jc w:val="center"/>
              <w:rPr>
                <w:rFonts w:ascii="Arial" w:eastAsia="Arial" w:hAnsi="Arial" w:cs="Arial"/>
                <w:color w:val="000000"/>
                <w:sz w:val="16"/>
              </w:rPr>
            </w:pPr>
          </w:p>
        </w:tc>
      </w:tr>
      <w:tr w:rsidR="00510CAA" w14:paraId="71F3E2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6E" w14:textId="77777777" w:rsidR="00510CAA" w:rsidRDefault="003A4815">
            <w:pPr>
              <w:jc w:val="center"/>
              <w:rPr>
                <w:rFonts w:ascii="Arial" w:eastAsia="Arial" w:hAnsi="Arial" w:cs="Arial"/>
                <w:color w:val="000000"/>
                <w:sz w:val="16"/>
              </w:rPr>
            </w:pPr>
            <w:r>
              <w:rPr>
                <w:rFonts w:ascii="Arial" w:eastAsia="Arial" w:hAnsi="Arial" w:cs="Arial"/>
                <w:color w:val="000000"/>
                <w:sz w:val="16"/>
              </w:rPr>
              <w:t>16</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6F" w14:textId="77777777" w:rsidR="00510CAA" w:rsidRDefault="003A4815">
            <w:pPr>
              <w:jc w:val="center"/>
              <w:rPr>
                <w:rFonts w:ascii="Arial" w:eastAsia="Arial" w:hAnsi="Arial" w:cs="Arial"/>
                <w:color w:val="000000"/>
                <w:sz w:val="16"/>
              </w:rPr>
            </w:pPr>
            <w:r>
              <w:rPr>
                <w:rFonts w:ascii="Arial" w:eastAsia="Arial" w:hAnsi="Arial" w:cs="Arial"/>
                <w:color w:val="000000"/>
                <w:sz w:val="16"/>
              </w:rPr>
              <w:t>MYRSINI</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70"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71" w14:textId="77777777" w:rsidR="00510CAA" w:rsidRDefault="003A4815">
            <w:pPr>
              <w:jc w:val="center"/>
              <w:rPr>
                <w:rFonts w:ascii="Arial" w:eastAsia="Arial" w:hAnsi="Arial" w:cs="Arial"/>
                <w:color w:val="000000"/>
                <w:sz w:val="16"/>
              </w:rPr>
            </w:pPr>
            <w:r>
              <w:rPr>
                <w:rFonts w:ascii="Arial" w:eastAsia="Arial" w:hAnsi="Arial" w:cs="Arial"/>
                <w:color w:val="000000"/>
                <w:sz w:val="16"/>
              </w:rPr>
              <w:t>D</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272" w14:textId="77777777" w:rsidR="00510CAA" w:rsidRDefault="003A4815">
            <w:pPr>
              <w:jc w:val="center"/>
              <w:rPr>
                <w:rFonts w:ascii="Arial" w:eastAsia="Arial" w:hAnsi="Arial" w:cs="Arial"/>
                <w:color w:val="000000"/>
                <w:sz w:val="16"/>
              </w:rPr>
            </w:pPr>
            <w:r>
              <w:rPr>
                <w:rFonts w:ascii="Arial" w:eastAsia="Arial" w:hAnsi="Arial" w:cs="Arial"/>
                <w:color w:val="000000"/>
                <w:sz w:val="16"/>
              </w:rPr>
              <w:t>13,000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73" w14:textId="77777777" w:rsidR="00510CAA" w:rsidRDefault="003A4815">
            <w:pPr>
              <w:jc w:val="right"/>
              <w:rPr>
                <w:rFonts w:ascii="Arial" w:eastAsia="Arial" w:hAnsi="Arial" w:cs="Arial"/>
                <w:color w:val="000000"/>
                <w:sz w:val="16"/>
              </w:rPr>
            </w:pPr>
            <w:r>
              <w:rPr>
                <w:rFonts w:ascii="Arial" w:eastAsia="Arial" w:hAnsi="Arial" w:cs="Arial"/>
                <w:color w:val="000000"/>
                <w:sz w:val="16"/>
              </w:rPr>
              <w:t>4.75%</w:t>
            </w:r>
          </w:p>
        </w:tc>
        <w:tc>
          <w:tcPr>
            <w:tcW w:w="2595" w:type="dxa"/>
            <w:tcBorders>
              <w:top w:val="dotted" w:sz="2" w:space="0" w:color="000000"/>
              <w:left w:val="nil"/>
              <w:bottom w:val="nil"/>
              <w:right w:val="nil"/>
              <w:tl2br w:val="nil"/>
              <w:tr2bl w:val="nil"/>
            </w:tcBorders>
            <w:tcMar>
              <w:left w:w="40" w:type="dxa"/>
              <w:right w:w="40" w:type="dxa"/>
            </w:tcMar>
            <w:vAlign w:val="center"/>
          </w:tcPr>
          <w:p w14:paraId="71F3E274"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International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75" w14:textId="77777777" w:rsidR="00510CAA" w:rsidRDefault="003A4815">
            <w:pPr>
              <w:jc w:val="center"/>
              <w:rPr>
                <w:rFonts w:ascii="Arial" w:eastAsia="Arial" w:hAnsi="Arial" w:cs="Arial"/>
                <w:color w:val="000000"/>
                <w:sz w:val="16"/>
              </w:rPr>
            </w:pPr>
            <w:r>
              <w:rPr>
                <w:rFonts w:ascii="Arial" w:eastAsia="Arial" w:hAnsi="Arial" w:cs="Arial"/>
                <w:color w:val="000000"/>
                <w:sz w:val="16"/>
              </w:rPr>
              <w:t>26-Feb-25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76" w14:textId="77777777" w:rsidR="00510CAA" w:rsidRDefault="003A4815">
            <w:pPr>
              <w:jc w:val="center"/>
              <w:rPr>
                <w:rFonts w:ascii="Arial" w:eastAsia="Arial" w:hAnsi="Arial" w:cs="Arial"/>
                <w:color w:val="000000"/>
                <w:sz w:val="16"/>
              </w:rPr>
            </w:pPr>
            <w:r>
              <w:rPr>
                <w:rFonts w:ascii="Arial" w:eastAsia="Arial" w:hAnsi="Arial" w:cs="Arial"/>
                <w:color w:val="000000"/>
                <w:sz w:val="16"/>
              </w:rPr>
              <w:t>3-Jan-26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77" w14:textId="77777777" w:rsidR="00510CAA" w:rsidRDefault="00510CAA">
            <w:pPr>
              <w:rPr>
                <w:rFonts w:ascii="Arial" w:eastAsia="Arial" w:hAnsi="Arial" w:cs="Arial"/>
                <w:color w:val="000000"/>
                <w:sz w:val="16"/>
              </w:rPr>
            </w:pPr>
          </w:p>
        </w:tc>
      </w:tr>
      <w:tr w:rsidR="00510CAA" w14:paraId="71F3E28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279"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7A" w14:textId="77777777" w:rsidR="00510CAA" w:rsidRDefault="003A4815">
            <w:pPr>
              <w:jc w:val="center"/>
              <w:rPr>
                <w:rFonts w:ascii="Arial" w:eastAsia="Arial" w:hAnsi="Arial" w:cs="Arial"/>
                <w:color w:val="000000"/>
                <w:sz w:val="16"/>
              </w:rPr>
            </w:pPr>
            <w:r>
              <w:rPr>
                <w:rFonts w:ascii="Arial" w:eastAsia="Arial" w:hAnsi="Arial" w:cs="Arial"/>
                <w:color w:val="000000"/>
                <w:sz w:val="16"/>
              </w:rPr>
              <w:t>2010 82,117</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7B"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7C"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40" w:type="dxa"/>
              <w:right w:w="40" w:type="dxa"/>
            </w:tcMar>
            <w:vAlign w:val="center"/>
          </w:tcPr>
          <w:p w14:paraId="71F3E27D" w14:textId="77777777" w:rsidR="00510CAA" w:rsidRDefault="003A4815">
            <w:pPr>
              <w:jc w:val="center"/>
              <w:rPr>
                <w:rFonts w:ascii="Arial" w:eastAsia="Arial" w:hAnsi="Arial" w:cs="Arial"/>
                <w:color w:val="000000"/>
                <w:sz w:val="16"/>
              </w:rPr>
            </w:pPr>
            <w:r>
              <w:rPr>
                <w:rFonts w:ascii="Arial" w:eastAsia="Arial" w:hAnsi="Arial" w:cs="Arial"/>
                <w:color w:val="000000"/>
                <w:sz w:val="16"/>
              </w:rPr>
              <w:t>13,500</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27E"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tcBorders>
              <w:top w:val="nil"/>
              <w:left w:val="nil"/>
              <w:bottom w:val="dotted" w:sz="2" w:space="0" w:color="000000"/>
              <w:right w:val="nil"/>
              <w:tl2br w:val="nil"/>
              <w:tr2bl w:val="nil"/>
            </w:tcBorders>
            <w:tcMar>
              <w:left w:w="40" w:type="dxa"/>
              <w:right w:w="40" w:type="dxa"/>
            </w:tcMar>
            <w:vAlign w:val="center"/>
          </w:tcPr>
          <w:p w14:paraId="71F3E27F" w14:textId="77777777" w:rsidR="00510CAA" w:rsidRDefault="003A4815">
            <w:pPr>
              <w:jc w:val="center"/>
              <w:rPr>
                <w:rFonts w:ascii="Arial" w:eastAsia="Arial" w:hAnsi="Arial" w:cs="Arial"/>
                <w:color w:val="000000"/>
                <w:sz w:val="16"/>
              </w:rPr>
            </w:pPr>
            <w:r>
              <w:rPr>
                <w:rFonts w:ascii="Arial" w:eastAsia="Arial" w:hAnsi="Arial" w:cs="Arial"/>
                <w:color w:val="000000"/>
                <w:sz w:val="16"/>
              </w:rPr>
              <w:t>Paralos Shipping Pte. Ltd.</w:t>
            </w:r>
          </w:p>
        </w:tc>
        <w:tc>
          <w:tcPr>
            <w:tcW w:w="1410" w:type="dxa"/>
            <w:tcBorders>
              <w:top w:val="nil"/>
              <w:left w:val="nil"/>
              <w:bottom w:val="dotted" w:sz="2" w:space="0" w:color="000000"/>
              <w:right w:val="nil"/>
              <w:tl2br w:val="nil"/>
              <w:tr2bl w:val="nil"/>
            </w:tcBorders>
            <w:tcMar>
              <w:left w:w="40" w:type="dxa"/>
              <w:right w:w="40" w:type="dxa"/>
            </w:tcMar>
            <w:vAlign w:val="center"/>
          </w:tcPr>
          <w:p w14:paraId="71F3E280" w14:textId="77777777" w:rsidR="00510CAA" w:rsidRDefault="003A4815">
            <w:pPr>
              <w:jc w:val="center"/>
              <w:rPr>
                <w:rFonts w:ascii="Arial" w:eastAsia="Arial" w:hAnsi="Arial" w:cs="Arial"/>
                <w:color w:val="000000"/>
                <w:sz w:val="16"/>
              </w:rPr>
            </w:pPr>
            <w:r>
              <w:rPr>
                <w:rFonts w:ascii="Arial" w:eastAsia="Arial" w:hAnsi="Arial" w:cs="Arial"/>
                <w:color w:val="000000"/>
                <w:sz w:val="16"/>
              </w:rPr>
              <w:t>3-Jan-26</w:t>
            </w:r>
          </w:p>
        </w:tc>
        <w:tc>
          <w:tcPr>
            <w:tcW w:w="2100" w:type="dxa"/>
            <w:tcBorders>
              <w:top w:val="nil"/>
              <w:left w:val="nil"/>
              <w:bottom w:val="dotted" w:sz="2" w:space="0" w:color="000000"/>
              <w:right w:val="nil"/>
              <w:tl2br w:val="nil"/>
              <w:tr2bl w:val="nil"/>
            </w:tcBorders>
            <w:tcMar>
              <w:left w:w="40" w:type="dxa"/>
              <w:right w:w="40" w:type="dxa"/>
            </w:tcMar>
            <w:vAlign w:val="center"/>
          </w:tcPr>
          <w:p w14:paraId="71F3E281" w14:textId="77777777" w:rsidR="00510CAA" w:rsidRDefault="003A4815">
            <w:pPr>
              <w:jc w:val="center"/>
              <w:rPr>
                <w:rFonts w:ascii="Arial" w:eastAsia="Arial" w:hAnsi="Arial" w:cs="Arial"/>
                <w:color w:val="000000"/>
                <w:sz w:val="16"/>
              </w:rPr>
            </w:pPr>
            <w:r>
              <w:rPr>
                <w:rFonts w:ascii="Arial" w:eastAsia="Arial" w:hAnsi="Arial" w:cs="Arial"/>
                <w:color w:val="000000"/>
                <w:sz w:val="16"/>
              </w:rPr>
              <w:t>20/Dec/2026 - 20/Feb/2027</w:t>
            </w: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82" w14:textId="77777777" w:rsidR="00510CAA" w:rsidRDefault="00510CAA">
            <w:pPr>
              <w:rPr>
                <w:rFonts w:ascii="Arial" w:eastAsia="Arial" w:hAnsi="Arial" w:cs="Arial"/>
                <w:color w:val="000000"/>
                <w:sz w:val="16"/>
              </w:rPr>
            </w:pPr>
          </w:p>
        </w:tc>
      </w:tr>
      <w:tr w:rsidR="00510CAA" w14:paraId="71F3E28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84" w14:textId="77777777" w:rsidR="00510CAA" w:rsidRDefault="003A4815">
            <w:pPr>
              <w:jc w:val="center"/>
              <w:rPr>
                <w:rFonts w:ascii="Arial" w:eastAsia="Arial" w:hAnsi="Arial" w:cs="Arial"/>
                <w:color w:val="000000"/>
                <w:sz w:val="16"/>
              </w:rPr>
            </w:pPr>
            <w:r>
              <w:rPr>
                <w:rFonts w:ascii="Arial" w:eastAsia="Arial" w:hAnsi="Arial" w:cs="Arial"/>
                <w:color w:val="000000"/>
                <w:sz w:val="16"/>
              </w:rPr>
              <w:t>17</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85" w14:textId="77777777" w:rsidR="00510CAA" w:rsidRDefault="003A4815">
            <w:pPr>
              <w:jc w:val="center"/>
              <w:rPr>
                <w:rFonts w:ascii="Arial" w:eastAsia="Arial" w:hAnsi="Arial" w:cs="Arial"/>
                <w:color w:val="000000"/>
                <w:sz w:val="16"/>
              </w:rPr>
            </w:pPr>
            <w:r>
              <w:rPr>
                <w:rFonts w:ascii="Arial" w:eastAsia="Arial" w:hAnsi="Arial" w:cs="Arial"/>
                <w:color w:val="000000"/>
                <w:sz w:val="16"/>
              </w:rPr>
              <w:t>MEDUSA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86"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87" w14:textId="77777777" w:rsidR="00510CAA" w:rsidRDefault="003A4815">
            <w:pPr>
              <w:jc w:val="center"/>
              <w:rPr>
                <w:rFonts w:ascii="Arial" w:eastAsia="Arial" w:hAnsi="Arial" w:cs="Arial"/>
                <w:color w:val="000000"/>
                <w:sz w:val="16"/>
              </w:rPr>
            </w:pPr>
            <w:r>
              <w:rPr>
                <w:rFonts w:ascii="Arial" w:eastAsia="Arial" w:hAnsi="Arial" w:cs="Arial"/>
                <w:color w:val="000000"/>
                <w:sz w:val="16"/>
              </w:rPr>
              <w:t>D</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288" w14:textId="77777777" w:rsidR="00510CAA" w:rsidRDefault="003A4815">
            <w:pPr>
              <w:jc w:val="center"/>
              <w:rPr>
                <w:rFonts w:ascii="Arial" w:eastAsia="Arial" w:hAnsi="Arial" w:cs="Arial"/>
                <w:color w:val="000000"/>
                <w:sz w:val="16"/>
              </w:rPr>
            </w:pPr>
            <w:r>
              <w:rPr>
                <w:rFonts w:ascii="Arial" w:eastAsia="Arial" w:hAnsi="Arial" w:cs="Arial"/>
                <w:color w:val="000000"/>
                <w:sz w:val="16"/>
              </w:rPr>
              <w:t>13,000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89" w14:textId="77777777" w:rsidR="00510CAA" w:rsidRDefault="003A4815">
            <w:pPr>
              <w:jc w:val="right"/>
              <w:rPr>
                <w:rFonts w:ascii="Arial" w:eastAsia="Arial" w:hAnsi="Arial" w:cs="Arial"/>
                <w:color w:val="000000"/>
                <w:sz w:val="16"/>
              </w:rPr>
            </w:pPr>
            <w:r>
              <w:rPr>
                <w:rFonts w:ascii="Arial" w:eastAsia="Arial" w:hAnsi="Arial" w:cs="Arial"/>
                <w:color w:val="000000"/>
                <w:sz w:val="16"/>
              </w:rPr>
              <w:t>4.75%</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8A" w14:textId="77777777" w:rsidR="00510CAA" w:rsidRDefault="003A4815">
            <w:pPr>
              <w:jc w:val="center"/>
              <w:rPr>
                <w:rFonts w:ascii="Arial" w:eastAsia="Arial" w:hAnsi="Arial" w:cs="Arial"/>
                <w:color w:val="000000"/>
                <w:sz w:val="16"/>
              </w:rPr>
            </w:pPr>
            <w:r>
              <w:rPr>
                <w:rFonts w:ascii="Arial" w:eastAsia="Arial" w:hAnsi="Arial" w:cs="Arial"/>
                <w:color w:val="000000"/>
                <w:sz w:val="16"/>
              </w:rPr>
              <w:t>Cargill International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8B" w14:textId="77777777" w:rsidR="00510CAA" w:rsidRDefault="003A4815">
            <w:pPr>
              <w:jc w:val="center"/>
              <w:rPr>
                <w:rFonts w:ascii="Arial" w:eastAsia="Arial" w:hAnsi="Arial" w:cs="Arial"/>
                <w:color w:val="000000"/>
                <w:sz w:val="16"/>
              </w:rPr>
            </w:pPr>
            <w:r>
              <w:rPr>
                <w:rFonts w:ascii="Arial" w:eastAsia="Arial" w:hAnsi="Arial" w:cs="Arial"/>
                <w:color w:val="000000"/>
                <w:sz w:val="16"/>
              </w:rPr>
              <w:t>16-Mar-25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8C" w14:textId="77777777" w:rsidR="00510CAA" w:rsidRDefault="003A4815">
            <w:pPr>
              <w:jc w:val="center"/>
              <w:rPr>
                <w:rFonts w:ascii="Arial" w:eastAsia="Arial" w:hAnsi="Arial" w:cs="Arial"/>
                <w:color w:val="000000"/>
                <w:sz w:val="16"/>
              </w:rPr>
            </w:pPr>
            <w:r>
              <w:rPr>
                <w:rFonts w:ascii="Arial" w:eastAsia="Arial" w:hAnsi="Arial" w:cs="Arial"/>
                <w:color w:val="000000"/>
                <w:sz w:val="16"/>
              </w:rPr>
              <w:t>15/May/2026 - 15/Jul/2026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8D" w14:textId="77777777" w:rsidR="00510CAA" w:rsidRDefault="00510CAA">
            <w:pPr>
              <w:rPr>
                <w:rFonts w:ascii="Arial" w:eastAsia="Arial" w:hAnsi="Arial" w:cs="Arial"/>
                <w:color w:val="000000"/>
                <w:sz w:val="16"/>
              </w:rPr>
            </w:pPr>
          </w:p>
        </w:tc>
      </w:tr>
      <w:tr w:rsidR="00510CAA" w14:paraId="71F3E29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8F"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90" w14:textId="77777777" w:rsidR="00510CAA" w:rsidRDefault="003A4815">
            <w:pPr>
              <w:jc w:val="center"/>
              <w:rPr>
                <w:rFonts w:ascii="Arial" w:eastAsia="Arial" w:hAnsi="Arial" w:cs="Arial"/>
                <w:color w:val="000000"/>
                <w:sz w:val="16"/>
              </w:rPr>
            </w:pPr>
            <w:r>
              <w:rPr>
                <w:rFonts w:ascii="Arial" w:eastAsia="Arial" w:hAnsi="Arial" w:cs="Arial"/>
                <w:color w:val="000000"/>
                <w:sz w:val="16"/>
              </w:rPr>
              <w:t>2010 82,194</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91"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92"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29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94"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295"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296"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29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98" w14:textId="77777777" w:rsidR="00510CAA" w:rsidRDefault="00510CAA">
            <w:pPr>
              <w:rPr>
                <w:rFonts w:ascii="Arial" w:eastAsia="Arial" w:hAnsi="Arial" w:cs="Arial"/>
                <w:color w:val="000000"/>
                <w:sz w:val="16"/>
              </w:rPr>
            </w:pPr>
          </w:p>
        </w:tc>
      </w:tr>
      <w:tr w:rsidR="00510CAA" w14:paraId="71F3E2A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9A" w14:textId="77777777" w:rsidR="00510CAA" w:rsidRDefault="003A4815">
            <w:pPr>
              <w:jc w:val="center"/>
              <w:rPr>
                <w:rFonts w:ascii="Arial" w:eastAsia="Arial" w:hAnsi="Arial" w:cs="Arial"/>
                <w:color w:val="000000"/>
                <w:sz w:val="16"/>
              </w:rPr>
            </w:pPr>
            <w:r>
              <w:rPr>
                <w:rFonts w:ascii="Arial" w:eastAsia="Arial" w:hAnsi="Arial" w:cs="Arial"/>
                <w:color w:val="000000"/>
                <w:sz w:val="16"/>
              </w:rPr>
              <w:t>18</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9B" w14:textId="77777777" w:rsidR="00510CAA" w:rsidRDefault="003A4815">
            <w:pPr>
              <w:jc w:val="center"/>
              <w:rPr>
                <w:rFonts w:ascii="Arial" w:eastAsia="Arial" w:hAnsi="Arial" w:cs="Arial"/>
                <w:color w:val="000000"/>
                <w:sz w:val="16"/>
              </w:rPr>
            </w:pPr>
            <w:r>
              <w:rPr>
                <w:rFonts w:ascii="Arial" w:eastAsia="Arial" w:hAnsi="Arial" w:cs="Arial"/>
                <w:color w:val="000000"/>
                <w:sz w:val="16"/>
              </w:rPr>
              <w:t>MYRTO</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9C"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9D" w14:textId="77777777" w:rsidR="00510CAA" w:rsidRDefault="003A4815">
            <w:pPr>
              <w:jc w:val="center"/>
              <w:rPr>
                <w:rFonts w:ascii="Arial" w:eastAsia="Arial" w:hAnsi="Arial" w:cs="Arial"/>
                <w:color w:val="000000"/>
                <w:sz w:val="16"/>
              </w:rPr>
            </w:pPr>
            <w:r>
              <w:rPr>
                <w:rFonts w:ascii="Arial" w:eastAsia="Arial" w:hAnsi="Arial" w:cs="Arial"/>
                <w:color w:val="000000"/>
                <w:sz w:val="16"/>
              </w:rPr>
              <w:t>D</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29E" w14:textId="77777777" w:rsidR="00510CAA" w:rsidRDefault="003A4815">
            <w:pPr>
              <w:jc w:val="center"/>
              <w:rPr>
                <w:rFonts w:ascii="Arial" w:eastAsia="Arial" w:hAnsi="Arial" w:cs="Arial"/>
                <w:color w:val="000000"/>
                <w:sz w:val="16"/>
              </w:rPr>
            </w:pPr>
            <w:r>
              <w:rPr>
                <w:rFonts w:ascii="Arial" w:eastAsia="Arial" w:hAnsi="Arial" w:cs="Arial"/>
                <w:color w:val="000000"/>
                <w:sz w:val="16"/>
              </w:rPr>
              <w:t>12,000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9F"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A0" w14:textId="77777777" w:rsidR="00510CAA" w:rsidRDefault="003A4815">
            <w:pPr>
              <w:jc w:val="center"/>
              <w:rPr>
                <w:rFonts w:ascii="Arial" w:eastAsia="Arial" w:hAnsi="Arial" w:cs="Arial"/>
                <w:color w:val="000000"/>
                <w:sz w:val="16"/>
              </w:rPr>
            </w:pPr>
            <w:r>
              <w:rPr>
                <w:rFonts w:ascii="Arial" w:eastAsia="Arial" w:hAnsi="Arial" w:cs="Arial"/>
                <w:color w:val="000000"/>
                <w:sz w:val="16"/>
              </w:rPr>
              <w:t>Nippon Yusen Kabushiki Kaisha, Tokyo</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A1" w14:textId="77777777" w:rsidR="00510CAA" w:rsidRDefault="003A4815">
            <w:pPr>
              <w:jc w:val="center"/>
              <w:rPr>
                <w:rFonts w:ascii="Arial" w:eastAsia="Arial" w:hAnsi="Arial" w:cs="Arial"/>
                <w:color w:val="000000"/>
                <w:sz w:val="16"/>
              </w:rPr>
            </w:pPr>
            <w:r>
              <w:rPr>
                <w:rFonts w:ascii="Arial" w:eastAsia="Arial" w:hAnsi="Arial" w:cs="Arial"/>
                <w:color w:val="000000"/>
                <w:sz w:val="16"/>
              </w:rPr>
              <w:t>23-Dec-24</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A2" w14:textId="77777777" w:rsidR="00510CAA" w:rsidRDefault="003A4815">
            <w:pPr>
              <w:jc w:val="center"/>
              <w:rPr>
                <w:rFonts w:ascii="Arial" w:eastAsia="Arial" w:hAnsi="Arial" w:cs="Arial"/>
                <w:color w:val="000000"/>
                <w:sz w:val="16"/>
              </w:rPr>
            </w:pPr>
            <w:r>
              <w:rPr>
                <w:rFonts w:ascii="Arial" w:eastAsia="Arial" w:hAnsi="Arial" w:cs="Arial"/>
                <w:color w:val="000000"/>
                <w:sz w:val="16"/>
              </w:rPr>
              <w:t>25/Mar/2026 - 15/May/2026</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A3" w14:textId="77777777" w:rsidR="00510CAA" w:rsidRDefault="003A4815">
            <w:pPr>
              <w:jc w:val="center"/>
              <w:rPr>
                <w:rFonts w:ascii="Arial" w:eastAsia="Arial" w:hAnsi="Arial" w:cs="Arial"/>
                <w:color w:val="000000"/>
                <w:sz w:val="16"/>
              </w:rPr>
            </w:pPr>
            <w:r>
              <w:rPr>
                <w:rFonts w:ascii="Arial" w:eastAsia="Arial" w:hAnsi="Arial" w:cs="Arial"/>
                <w:color w:val="000000"/>
                <w:sz w:val="16"/>
              </w:rPr>
              <w:t>1</w:t>
            </w:r>
          </w:p>
        </w:tc>
      </w:tr>
      <w:tr w:rsidR="00510CAA" w14:paraId="71F3E2A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A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A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2013 82,131</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A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A8"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2A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AA"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2AB"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2AC"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2A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AE" w14:textId="77777777" w:rsidR="00510CAA" w:rsidRDefault="00510CAA">
            <w:pPr>
              <w:rPr>
                <w:rFonts w:ascii="Arial" w:eastAsia="Arial" w:hAnsi="Arial" w:cs="Arial"/>
                <w:color w:val="000000"/>
                <w:sz w:val="16"/>
              </w:rPr>
            </w:pPr>
          </w:p>
        </w:tc>
      </w:tr>
      <w:tr w:rsidR="00510CAA" w14:paraId="71F3E2B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B0" w14:textId="77777777" w:rsidR="00510CAA" w:rsidRDefault="003A4815">
            <w:pPr>
              <w:jc w:val="center"/>
              <w:rPr>
                <w:rFonts w:ascii="Arial" w:eastAsia="Arial" w:hAnsi="Arial" w:cs="Arial"/>
                <w:color w:val="000000"/>
                <w:sz w:val="16"/>
              </w:rPr>
            </w:pPr>
            <w:r>
              <w:rPr>
                <w:rFonts w:ascii="Arial" w:eastAsia="Arial" w:hAnsi="Arial" w:cs="Arial"/>
                <w:color w:val="000000"/>
                <w:sz w:val="16"/>
              </w:rPr>
              <w:t>19</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B1" w14:textId="77777777" w:rsidR="00510CAA" w:rsidRDefault="003A4815">
            <w:pPr>
              <w:jc w:val="center"/>
              <w:rPr>
                <w:rFonts w:ascii="Arial" w:eastAsia="Arial" w:hAnsi="Arial" w:cs="Arial"/>
                <w:color w:val="000000"/>
                <w:sz w:val="16"/>
              </w:rPr>
            </w:pPr>
            <w:r>
              <w:rPr>
                <w:rFonts w:ascii="Arial" w:eastAsia="Arial" w:hAnsi="Arial" w:cs="Arial"/>
                <w:color w:val="000000"/>
                <w:sz w:val="16"/>
              </w:rPr>
              <w:t>ASTARTE</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B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0" w:type="dxa"/>
              <w:right w:w="0" w:type="dxa"/>
            </w:tcMar>
            <w:vAlign w:val="center"/>
          </w:tcPr>
          <w:p w14:paraId="71F3E2B3" w14:textId="77777777" w:rsidR="00510CAA" w:rsidRDefault="00510CAA">
            <w:pPr>
              <w:jc w:val="cente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2B4" w14:textId="77777777" w:rsidR="00510CAA" w:rsidRDefault="003A4815">
            <w:pPr>
              <w:jc w:val="center"/>
              <w:rPr>
                <w:rFonts w:ascii="Arial" w:eastAsia="Arial" w:hAnsi="Arial" w:cs="Arial"/>
                <w:color w:val="000000"/>
                <w:sz w:val="16"/>
              </w:rPr>
            </w:pPr>
            <w:r>
              <w:rPr>
                <w:rFonts w:ascii="Arial" w:eastAsia="Arial" w:hAnsi="Arial" w:cs="Arial"/>
                <w:color w:val="000000"/>
                <w:sz w:val="16"/>
              </w:rPr>
              <w:t>12,500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2B5"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B6" w14:textId="77777777" w:rsidR="00510CAA" w:rsidRDefault="003A4815">
            <w:pPr>
              <w:jc w:val="center"/>
              <w:rPr>
                <w:rFonts w:ascii="Arial" w:eastAsia="Arial" w:hAnsi="Arial" w:cs="Arial"/>
                <w:color w:val="000000"/>
                <w:sz w:val="16"/>
              </w:rPr>
            </w:pPr>
            <w:r>
              <w:rPr>
                <w:rFonts w:ascii="Arial" w:eastAsia="Arial" w:hAnsi="Arial" w:cs="Arial"/>
                <w:color w:val="000000"/>
                <w:sz w:val="16"/>
              </w:rPr>
              <w:t>Propel Shipping Pte.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B7" w14:textId="77777777" w:rsidR="00510CAA" w:rsidRDefault="003A4815">
            <w:pPr>
              <w:jc w:val="center"/>
              <w:rPr>
                <w:rFonts w:ascii="Arial" w:eastAsia="Arial" w:hAnsi="Arial" w:cs="Arial"/>
                <w:color w:val="000000"/>
                <w:sz w:val="16"/>
              </w:rPr>
            </w:pPr>
            <w:r>
              <w:rPr>
                <w:rFonts w:ascii="Arial" w:eastAsia="Arial" w:hAnsi="Arial" w:cs="Arial"/>
                <w:color w:val="000000"/>
                <w:sz w:val="16"/>
              </w:rPr>
              <w:t>2-Aug-25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B8" w14:textId="77777777" w:rsidR="00510CAA" w:rsidRDefault="003A4815">
            <w:pPr>
              <w:jc w:val="center"/>
              <w:rPr>
                <w:rFonts w:ascii="Arial" w:eastAsia="Arial" w:hAnsi="Arial" w:cs="Arial"/>
                <w:color w:val="000000"/>
                <w:sz w:val="16"/>
              </w:rPr>
            </w:pPr>
            <w:r>
              <w:rPr>
                <w:rFonts w:ascii="Arial" w:eastAsia="Arial" w:hAnsi="Arial" w:cs="Arial"/>
                <w:color w:val="000000"/>
                <w:sz w:val="16"/>
              </w:rPr>
              <w:t>16/Aug/2026 - 16/Oct/2026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B9" w14:textId="77777777" w:rsidR="00510CAA" w:rsidRDefault="00510CAA">
            <w:pPr>
              <w:jc w:val="center"/>
              <w:rPr>
                <w:rFonts w:ascii="Arial" w:eastAsia="Arial" w:hAnsi="Arial" w:cs="Arial"/>
                <w:color w:val="000000"/>
                <w:sz w:val="16"/>
              </w:rPr>
            </w:pPr>
          </w:p>
        </w:tc>
      </w:tr>
      <w:tr w:rsidR="00510CAA" w14:paraId="71F3E2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BB"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B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2013 81,513</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BD"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BE"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2B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C0"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2C1"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2C2"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2C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2C4" w14:textId="77777777" w:rsidR="00510CAA" w:rsidRDefault="00510CAA">
            <w:pPr>
              <w:jc w:val="center"/>
              <w:rPr>
                <w:rFonts w:ascii="Arial" w:eastAsia="Arial" w:hAnsi="Arial" w:cs="Arial"/>
                <w:color w:val="000000"/>
                <w:sz w:val="16"/>
              </w:rPr>
            </w:pPr>
          </w:p>
        </w:tc>
      </w:tr>
      <w:tr w:rsidR="00510CAA" w14:paraId="71F3E2D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C6" w14:textId="77777777" w:rsidR="00510CAA" w:rsidRDefault="003A4815">
            <w:pPr>
              <w:jc w:val="center"/>
              <w:rPr>
                <w:rFonts w:ascii="Arial" w:eastAsia="Arial" w:hAnsi="Arial" w:cs="Arial"/>
                <w:color w:val="000000"/>
                <w:sz w:val="16"/>
              </w:rPr>
            </w:pPr>
            <w:r>
              <w:rPr>
                <w:rFonts w:ascii="Arial" w:eastAsia="Arial" w:hAnsi="Arial" w:cs="Arial"/>
                <w:color w:val="000000"/>
                <w:sz w:val="16"/>
              </w:rPr>
              <w:t>20</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C7" w14:textId="77777777" w:rsidR="00510CAA" w:rsidRDefault="003A4815">
            <w:pPr>
              <w:jc w:val="center"/>
              <w:rPr>
                <w:rFonts w:ascii="Arial" w:eastAsia="Arial" w:hAnsi="Arial" w:cs="Arial"/>
                <w:color w:val="000000"/>
                <w:sz w:val="16"/>
              </w:rPr>
            </w:pPr>
            <w:r>
              <w:rPr>
                <w:rFonts w:ascii="Arial" w:eastAsia="Arial" w:hAnsi="Arial" w:cs="Arial"/>
                <w:color w:val="000000"/>
                <w:sz w:val="16"/>
              </w:rPr>
              <w:t>LEONIDAS P. C.</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C8"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0" w:type="dxa"/>
              <w:right w:w="0" w:type="dxa"/>
            </w:tcMar>
            <w:vAlign w:val="center"/>
          </w:tcPr>
          <w:p w14:paraId="71F3E2C9" w14:textId="77777777" w:rsidR="00510CAA" w:rsidRDefault="00510CAA">
            <w:pPr>
              <w:jc w:val="cente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2CA" w14:textId="77777777" w:rsidR="00510CAA" w:rsidRDefault="003A4815">
            <w:pPr>
              <w:jc w:val="center"/>
              <w:rPr>
                <w:rFonts w:ascii="Arial" w:eastAsia="Arial" w:hAnsi="Arial" w:cs="Arial"/>
                <w:color w:val="000000"/>
                <w:sz w:val="16"/>
              </w:rPr>
            </w:pPr>
            <w:r>
              <w:rPr>
                <w:rFonts w:ascii="Arial" w:eastAsia="Arial" w:hAnsi="Arial" w:cs="Arial"/>
                <w:color w:val="000000"/>
                <w:sz w:val="16"/>
              </w:rPr>
              <w:t>14,000</w:t>
            </w:r>
          </w:p>
        </w:tc>
        <w:tc>
          <w:tcPr>
            <w:tcW w:w="660" w:type="dxa"/>
            <w:tcBorders>
              <w:top w:val="dotted" w:sz="2" w:space="0" w:color="000000"/>
              <w:left w:val="nil"/>
              <w:bottom w:val="nil"/>
              <w:right w:val="nil"/>
              <w:tl2br w:val="nil"/>
              <w:tr2bl w:val="nil"/>
            </w:tcBorders>
            <w:noWrap/>
            <w:tcMar>
              <w:left w:w="40" w:type="dxa"/>
              <w:right w:w="40" w:type="dxa"/>
            </w:tcMar>
          </w:tcPr>
          <w:p w14:paraId="71F3E2CB"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CC" w14:textId="77777777" w:rsidR="00510CAA" w:rsidRDefault="003A4815">
            <w:pPr>
              <w:jc w:val="center"/>
              <w:rPr>
                <w:rFonts w:ascii="Arial" w:eastAsia="Arial" w:hAnsi="Arial" w:cs="Arial"/>
                <w:color w:val="000000"/>
                <w:sz w:val="16"/>
              </w:rPr>
            </w:pPr>
            <w:r>
              <w:rPr>
                <w:rFonts w:ascii="Arial" w:eastAsia="Arial" w:hAnsi="Arial" w:cs="Arial"/>
                <w:color w:val="000000"/>
                <w:sz w:val="16"/>
              </w:rPr>
              <w:t>Nippon Yusen Kabushiki Kaisha, Tokyo</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2CD" w14:textId="77777777" w:rsidR="00510CAA" w:rsidRDefault="003A4815">
            <w:pPr>
              <w:jc w:val="center"/>
              <w:rPr>
                <w:rFonts w:ascii="Arial" w:eastAsia="Arial" w:hAnsi="Arial" w:cs="Arial"/>
                <w:color w:val="000000"/>
                <w:sz w:val="16"/>
              </w:rPr>
            </w:pPr>
            <w:r>
              <w:rPr>
                <w:rFonts w:ascii="Arial" w:eastAsia="Arial" w:hAnsi="Arial" w:cs="Arial"/>
                <w:color w:val="000000"/>
                <w:sz w:val="16"/>
              </w:rPr>
              <w:t>24-Sep-25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2CE" w14:textId="77777777" w:rsidR="00510CAA" w:rsidRDefault="003A4815">
            <w:pPr>
              <w:jc w:val="center"/>
              <w:rPr>
                <w:rFonts w:ascii="Arial" w:eastAsia="Arial" w:hAnsi="Arial" w:cs="Arial"/>
                <w:color w:val="000000"/>
                <w:sz w:val="16"/>
              </w:rPr>
            </w:pPr>
            <w:r>
              <w:rPr>
                <w:rFonts w:ascii="Arial" w:eastAsia="Arial" w:hAnsi="Arial" w:cs="Arial"/>
                <w:color w:val="000000"/>
                <w:sz w:val="16"/>
              </w:rPr>
              <w:t>15/Sep/2026 - 15/Nov/2026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2CF" w14:textId="77777777" w:rsidR="00510CAA" w:rsidRDefault="00510CAA">
            <w:pPr>
              <w:jc w:val="center"/>
              <w:rPr>
                <w:rFonts w:ascii="Arial" w:eastAsia="Arial" w:hAnsi="Arial" w:cs="Arial"/>
                <w:color w:val="000000"/>
                <w:sz w:val="16"/>
              </w:rPr>
            </w:pPr>
          </w:p>
        </w:tc>
      </w:tr>
      <w:tr w:rsidR="00510CAA" w14:paraId="71F3E2D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single" w:sz="4" w:space="0" w:color="000000"/>
              <w:right w:val="nil"/>
              <w:tl2br w:val="nil"/>
              <w:tr2bl w:val="nil"/>
            </w:tcBorders>
            <w:tcMar>
              <w:left w:w="0" w:type="dxa"/>
              <w:right w:w="0" w:type="dxa"/>
            </w:tcMar>
            <w:vAlign w:val="center"/>
          </w:tcPr>
          <w:p w14:paraId="71F3E2D1" w14:textId="77777777" w:rsidR="00510CAA" w:rsidRDefault="00510CAA">
            <w:pPr>
              <w:jc w:val="cente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2D2" w14:textId="77777777" w:rsidR="00510CAA" w:rsidRDefault="003A4815">
            <w:pPr>
              <w:jc w:val="center"/>
              <w:rPr>
                <w:rFonts w:ascii="Arial" w:eastAsia="Arial" w:hAnsi="Arial" w:cs="Arial"/>
                <w:color w:val="000000"/>
                <w:sz w:val="16"/>
              </w:rPr>
            </w:pPr>
            <w:r>
              <w:rPr>
                <w:rFonts w:ascii="Arial" w:eastAsia="Arial" w:hAnsi="Arial" w:cs="Arial"/>
                <w:color w:val="000000"/>
                <w:sz w:val="16"/>
              </w:rPr>
              <w:t>2011 82,165</w:t>
            </w:r>
          </w:p>
        </w:tc>
        <w:tc>
          <w:tcPr>
            <w:tcW w:w="75" w:type="dxa"/>
            <w:tcBorders>
              <w:top w:val="nil"/>
              <w:left w:val="nil"/>
              <w:bottom w:val="single" w:sz="4" w:space="0" w:color="000000"/>
              <w:right w:val="nil"/>
              <w:tl2br w:val="nil"/>
              <w:tr2bl w:val="nil"/>
            </w:tcBorders>
            <w:noWrap/>
            <w:tcMar>
              <w:left w:w="0" w:type="dxa"/>
              <w:right w:w="0" w:type="dxa"/>
            </w:tcMar>
            <w:vAlign w:val="center"/>
          </w:tcPr>
          <w:p w14:paraId="71F3E2D3" w14:textId="77777777" w:rsidR="00510CAA" w:rsidRDefault="00510CAA">
            <w:pPr>
              <w:rPr>
                <w:rFonts w:ascii="Arial" w:eastAsia="Arial" w:hAnsi="Arial" w:cs="Arial"/>
                <w:color w:val="000000"/>
                <w:sz w:val="16"/>
              </w:rPr>
            </w:pPr>
          </w:p>
        </w:tc>
        <w:tc>
          <w:tcPr>
            <w:tcW w:w="630" w:type="dxa"/>
            <w:tcBorders>
              <w:top w:val="nil"/>
              <w:left w:val="nil"/>
              <w:bottom w:val="single" w:sz="4" w:space="0" w:color="000000"/>
              <w:right w:val="nil"/>
              <w:tl2br w:val="nil"/>
              <w:tr2bl w:val="nil"/>
            </w:tcBorders>
            <w:tcMar>
              <w:left w:w="0" w:type="dxa"/>
              <w:right w:w="0" w:type="dxa"/>
            </w:tcMar>
            <w:vAlign w:val="center"/>
          </w:tcPr>
          <w:p w14:paraId="71F3E2D4" w14:textId="77777777" w:rsidR="00510CAA" w:rsidRDefault="00510CAA">
            <w:pPr>
              <w:jc w:val="cente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tcMar>
              <w:left w:w="0" w:type="dxa"/>
              <w:right w:w="0" w:type="dxa"/>
            </w:tcMar>
            <w:vAlign w:val="center"/>
          </w:tcPr>
          <w:p w14:paraId="71F3E2D5"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2D6" w14:textId="77777777" w:rsidR="00510CAA" w:rsidRDefault="00510CAA">
            <w:pPr>
              <w:jc w:val="center"/>
              <w:rPr>
                <w:rFonts w:ascii="Arial" w:eastAsia="Arial" w:hAnsi="Arial" w:cs="Arial"/>
                <w:color w:val="000000"/>
                <w:sz w:val="16"/>
              </w:rPr>
            </w:pPr>
          </w:p>
        </w:tc>
        <w:tc>
          <w:tcPr>
            <w:tcW w:w="2595" w:type="dxa"/>
            <w:vMerge/>
            <w:tcBorders>
              <w:top w:val="nil"/>
              <w:left w:val="nil"/>
              <w:bottom w:val="single" w:sz="4" w:space="0" w:color="000000"/>
              <w:right w:val="nil"/>
              <w:tl2br w:val="nil"/>
              <w:tr2bl w:val="nil"/>
            </w:tcBorders>
            <w:tcMar>
              <w:left w:w="0" w:type="dxa"/>
              <w:right w:w="0" w:type="dxa"/>
            </w:tcMar>
          </w:tcPr>
          <w:p w14:paraId="71F3E2D7" w14:textId="77777777" w:rsidR="00510CAA" w:rsidRDefault="00510CAA">
            <w:pPr>
              <w:jc w:val="center"/>
              <w:rPr>
                <w:rFonts w:ascii="Arial" w:eastAsia="Arial" w:hAnsi="Arial" w:cs="Arial"/>
                <w:color w:val="000000"/>
                <w:sz w:val="16"/>
              </w:rPr>
            </w:pPr>
          </w:p>
        </w:tc>
        <w:tc>
          <w:tcPr>
            <w:tcW w:w="1410" w:type="dxa"/>
            <w:tcBorders>
              <w:top w:val="nil"/>
              <w:left w:val="nil"/>
              <w:bottom w:val="single" w:sz="4" w:space="0" w:color="000000"/>
              <w:right w:val="nil"/>
              <w:tl2br w:val="nil"/>
              <w:tr2bl w:val="nil"/>
            </w:tcBorders>
            <w:tcMar>
              <w:left w:w="0" w:type="dxa"/>
              <w:right w:w="0" w:type="dxa"/>
            </w:tcMar>
            <w:vAlign w:val="center"/>
          </w:tcPr>
          <w:p w14:paraId="71F3E2D8" w14:textId="77777777" w:rsidR="00510CAA" w:rsidRDefault="00510CAA">
            <w:pPr>
              <w:jc w:val="center"/>
              <w:rPr>
                <w:rFonts w:ascii="Arial" w:eastAsia="Arial" w:hAnsi="Arial" w:cs="Arial"/>
                <w:color w:val="000000"/>
                <w:sz w:val="16"/>
              </w:rPr>
            </w:pPr>
          </w:p>
        </w:tc>
        <w:tc>
          <w:tcPr>
            <w:tcW w:w="2100" w:type="dxa"/>
            <w:tcBorders>
              <w:top w:val="nil"/>
              <w:left w:val="nil"/>
              <w:bottom w:val="single" w:sz="4" w:space="0" w:color="000000"/>
              <w:right w:val="nil"/>
              <w:tl2br w:val="nil"/>
              <w:tr2bl w:val="nil"/>
            </w:tcBorders>
            <w:tcMar>
              <w:left w:w="0" w:type="dxa"/>
              <w:right w:w="0" w:type="dxa"/>
            </w:tcMar>
            <w:vAlign w:val="center"/>
          </w:tcPr>
          <w:p w14:paraId="71F3E2D9" w14:textId="77777777" w:rsidR="00510CAA" w:rsidRDefault="00510CAA">
            <w:pPr>
              <w:jc w:val="cente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2DA" w14:textId="77777777" w:rsidR="00510CAA" w:rsidRDefault="00510CAA">
            <w:pPr>
              <w:rPr>
                <w:rFonts w:ascii="Arial" w:eastAsia="Arial" w:hAnsi="Arial" w:cs="Arial"/>
                <w:color w:val="000000"/>
                <w:sz w:val="16"/>
              </w:rPr>
            </w:pPr>
          </w:p>
        </w:tc>
      </w:tr>
      <w:tr w:rsidR="00510CAA" w14:paraId="71F3E2D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2DC" w14:textId="77777777" w:rsidR="00510CAA" w:rsidRDefault="003A4815">
            <w:pPr>
              <w:jc w:val="center"/>
              <w:rPr>
                <w:rFonts w:ascii="Arial" w:eastAsia="Arial" w:hAnsi="Arial" w:cs="Arial"/>
                <w:b/>
                <w:color w:val="000000"/>
                <w:sz w:val="18"/>
              </w:rPr>
            </w:pPr>
            <w:r>
              <w:rPr>
                <w:rFonts w:ascii="Arial" w:eastAsia="Arial" w:hAnsi="Arial" w:cs="Arial"/>
                <w:b/>
                <w:color w:val="000000"/>
                <w:sz w:val="18"/>
              </w:rPr>
              <w:t>4 Post-Panamax Bulk Carriers</w:t>
            </w:r>
          </w:p>
        </w:tc>
      </w:tr>
      <w:tr w:rsidR="00510CAA" w14:paraId="71F3E2E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single" w:sz="4" w:space="0" w:color="000000"/>
              <w:left w:val="nil"/>
              <w:bottom w:val="nil"/>
              <w:right w:val="nil"/>
              <w:tl2br w:val="nil"/>
              <w:tr2bl w:val="nil"/>
            </w:tcBorders>
            <w:tcMar>
              <w:left w:w="40" w:type="dxa"/>
              <w:right w:w="40" w:type="dxa"/>
            </w:tcMar>
            <w:vAlign w:val="center"/>
          </w:tcPr>
          <w:p w14:paraId="71F3E2DE" w14:textId="77777777" w:rsidR="00510CAA" w:rsidRDefault="003A4815">
            <w:pPr>
              <w:jc w:val="center"/>
              <w:rPr>
                <w:rFonts w:ascii="Arial" w:eastAsia="Arial" w:hAnsi="Arial" w:cs="Arial"/>
                <w:color w:val="000000"/>
                <w:sz w:val="16"/>
              </w:rPr>
            </w:pPr>
            <w:r>
              <w:rPr>
                <w:rFonts w:ascii="Arial" w:eastAsia="Arial" w:hAnsi="Arial" w:cs="Arial"/>
                <w:color w:val="000000"/>
                <w:sz w:val="16"/>
              </w:rPr>
              <w:t>21</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2DF" w14:textId="77777777" w:rsidR="00510CAA" w:rsidRDefault="003A4815">
            <w:pPr>
              <w:jc w:val="center"/>
              <w:rPr>
                <w:rFonts w:ascii="Arial" w:eastAsia="Arial" w:hAnsi="Arial" w:cs="Arial"/>
                <w:color w:val="000000"/>
                <w:sz w:val="16"/>
              </w:rPr>
            </w:pPr>
            <w:r>
              <w:rPr>
                <w:rFonts w:ascii="Arial" w:eastAsia="Arial" w:hAnsi="Arial" w:cs="Arial"/>
                <w:color w:val="000000"/>
                <w:sz w:val="16"/>
              </w:rPr>
              <w:t>AMPHITRITE</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2E0"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40" w:type="dxa"/>
              <w:right w:w="40" w:type="dxa"/>
            </w:tcMar>
            <w:vAlign w:val="center"/>
          </w:tcPr>
          <w:p w14:paraId="71F3E2E1" w14:textId="77777777" w:rsidR="00510CAA" w:rsidRDefault="003A4815">
            <w:pPr>
              <w:jc w:val="center"/>
              <w:rPr>
                <w:rFonts w:ascii="Arial" w:eastAsia="Arial" w:hAnsi="Arial" w:cs="Arial"/>
                <w:color w:val="000000"/>
                <w:sz w:val="16"/>
              </w:rPr>
            </w:pPr>
            <w:r>
              <w:rPr>
                <w:rFonts w:ascii="Arial" w:eastAsia="Arial" w:hAnsi="Arial" w:cs="Arial"/>
                <w:color w:val="000000"/>
                <w:sz w:val="16"/>
              </w:rPr>
              <w:t>E</w:t>
            </w:r>
          </w:p>
        </w:tc>
        <w:tc>
          <w:tcPr>
            <w:tcW w:w="1290" w:type="dxa"/>
            <w:tcBorders>
              <w:top w:val="single" w:sz="4" w:space="0" w:color="000000"/>
              <w:left w:val="nil"/>
              <w:bottom w:val="nil"/>
              <w:right w:val="nil"/>
              <w:tl2br w:val="nil"/>
              <w:tr2bl w:val="nil"/>
            </w:tcBorders>
            <w:tcMar>
              <w:left w:w="40" w:type="dxa"/>
              <w:right w:w="40" w:type="dxa"/>
            </w:tcMar>
          </w:tcPr>
          <w:p w14:paraId="71F3E2E2" w14:textId="77777777" w:rsidR="00510CAA" w:rsidRDefault="003A4815">
            <w:pPr>
              <w:jc w:val="center"/>
              <w:rPr>
                <w:rFonts w:ascii="Arial" w:eastAsia="Arial" w:hAnsi="Arial" w:cs="Arial"/>
                <w:color w:val="000000"/>
                <w:sz w:val="16"/>
              </w:rPr>
            </w:pPr>
            <w:r>
              <w:rPr>
                <w:rFonts w:ascii="Arial" w:eastAsia="Arial" w:hAnsi="Arial" w:cs="Arial"/>
                <w:color w:val="000000"/>
                <w:sz w:val="16"/>
              </w:rPr>
              <w:t>12,100</w:t>
            </w:r>
          </w:p>
        </w:tc>
        <w:tc>
          <w:tcPr>
            <w:tcW w:w="660" w:type="dxa"/>
            <w:tcBorders>
              <w:top w:val="single" w:sz="4" w:space="0" w:color="000000"/>
              <w:left w:val="nil"/>
              <w:bottom w:val="nil"/>
              <w:right w:val="nil"/>
              <w:tl2br w:val="nil"/>
              <w:tr2bl w:val="nil"/>
            </w:tcBorders>
            <w:noWrap/>
            <w:tcMar>
              <w:left w:w="40" w:type="dxa"/>
              <w:right w:w="40" w:type="dxa"/>
            </w:tcMar>
          </w:tcPr>
          <w:p w14:paraId="71F3E2E3"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single" w:sz="4" w:space="0" w:color="000000"/>
              <w:left w:val="nil"/>
              <w:bottom w:val="nil"/>
              <w:right w:val="nil"/>
              <w:tl2br w:val="nil"/>
              <w:tr2bl w:val="nil"/>
            </w:tcBorders>
            <w:tcMar>
              <w:left w:w="40" w:type="dxa"/>
              <w:right w:w="40" w:type="dxa"/>
            </w:tcMar>
            <w:vAlign w:val="center"/>
          </w:tcPr>
          <w:p w14:paraId="71F3E2E4" w14:textId="77777777" w:rsidR="00510CAA" w:rsidRDefault="003A4815">
            <w:pPr>
              <w:jc w:val="center"/>
              <w:rPr>
                <w:rFonts w:ascii="Arial" w:eastAsia="Arial" w:hAnsi="Arial" w:cs="Arial"/>
                <w:color w:val="000000"/>
                <w:sz w:val="16"/>
              </w:rPr>
            </w:pPr>
            <w:r>
              <w:rPr>
                <w:rFonts w:ascii="Arial" w:eastAsia="Arial" w:hAnsi="Arial" w:cs="Arial"/>
                <w:color w:val="000000"/>
                <w:sz w:val="16"/>
              </w:rPr>
              <w:t>Cobelfret S.A., Luxembourg</w:t>
            </w:r>
          </w:p>
        </w:tc>
        <w:tc>
          <w:tcPr>
            <w:tcW w:w="1410" w:type="dxa"/>
            <w:tcBorders>
              <w:top w:val="single" w:sz="4" w:space="0" w:color="000000"/>
              <w:left w:val="nil"/>
              <w:bottom w:val="nil"/>
              <w:right w:val="nil"/>
              <w:tl2br w:val="nil"/>
              <w:tr2bl w:val="nil"/>
            </w:tcBorders>
            <w:tcMar>
              <w:left w:w="40" w:type="dxa"/>
              <w:right w:w="40" w:type="dxa"/>
            </w:tcMar>
            <w:vAlign w:val="center"/>
          </w:tcPr>
          <w:p w14:paraId="71F3E2E5" w14:textId="77777777" w:rsidR="00510CAA" w:rsidRDefault="003A4815">
            <w:pPr>
              <w:jc w:val="center"/>
              <w:rPr>
                <w:rFonts w:ascii="Arial" w:eastAsia="Arial" w:hAnsi="Arial" w:cs="Arial"/>
                <w:color w:val="000000"/>
                <w:sz w:val="16"/>
              </w:rPr>
            </w:pPr>
            <w:r>
              <w:rPr>
                <w:rFonts w:ascii="Arial" w:eastAsia="Arial" w:hAnsi="Arial" w:cs="Arial"/>
                <w:color w:val="000000"/>
                <w:sz w:val="16"/>
              </w:rPr>
              <w:t>8-Jan-25</w:t>
            </w:r>
          </w:p>
        </w:tc>
        <w:tc>
          <w:tcPr>
            <w:tcW w:w="2100" w:type="dxa"/>
            <w:tcBorders>
              <w:top w:val="single" w:sz="4" w:space="0" w:color="000000"/>
              <w:left w:val="nil"/>
              <w:bottom w:val="nil"/>
              <w:right w:val="nil"/>
              <w:tl2br w:val="nil"/>
              <w:tr2bl w:val="nil"/>
            </w:tcBorders>
            <w:tcMar>
              <w:left w:w="40" w:type="dxa"/>
              <w:right w:w="40" w:type="dxa"/>
            </w:tcMar>
            <w:vAlign w:val="center"/>
          </w:tcPr>
          <w:p w14:paraId="71F3E2E6" w14:textId="77777777" w:rsidR="00510CAA" w:rsidRDefault="003A4815">
            <w:pPr>
              <w:jc w:val="center"/>
              <w:rPr>
                <w:rFonts w:ascii="Arial" w:eastAsia="Arial" w:hAnsi="Arial" w:cs="Arial"/>
                <w:color w:val="000000"/>
                <w:sz w:val="16"/>
              </w:rPr>
            </w:pPr>
            <w:r>
              <w:rPr>
                <w:rFonts w:ascii="Arial" w:eastAsia="Arial" w:hAnsi="Arial" w:cs="Arial"/>
                <w:color w:val="000000"/>
                <w:sz w:val="16"/>
              </w:rPr>
              <w:t>12-Feb-26</w:t>
            </w:r>
          </w:p>
        </w:tc>
        <w:tc>
          <w:tcPr>
            <w:tcW w:w="660" w:type="dxa"/>
            <w:tcBorders>
              <w:top w:val="single" w:sz="4" w:space="0" w:color="000000"/>
              <w:left w:val="nil"/>
              <w:bottom w:val="nil"/>
              <w:right w:val="nil"/>
              <w:tl2br w:val="nil"/>
              <w:tr2bl w:val="nil"/>
            </w:tcBorders>
            <w:noWrap/>
            <w:tcMar>
              <w:left w:w="40" w:type="dxa"/>
              <w:right w:w="40" w:type="dxa"/>
            </w:tcMar>
            <w:vAlign w:val="center"/>
          </w:tcPr>
          <w:p w14:paraId="71F3E2E7" w14:textId="77777777" w:rsidR="00510CAA" w:rsidRDefault="003A4815">
            <w:pPr>
              <w:jc w:val="center"/>
              <w:rPr>
                <w:rFonts w:ascii="Arial" w:eastAsia="Arial" w:hAnsi="Arial" w:cs="Arial"/>
                <w:color w:val="000000"/>
                <w:sz w:val="16"/>
              </w:rPr>
            </w:pPr>
            <w:r>
              <w:rPr>
                <w:rFonts w:ascii="Arial" w:eastAsia="Arial" w:hAnsi="Arial" w:cs="Arial"/>
                <w:color w:val="000000"/>
                <w:sz w:val="16"/>
              </w:rPr>
              <w:t>9</w:t>
            </w:r>
          </w:p>
        </w:tc>
      </w:tr>
      <w:tr w:rsidR="00510CAA" w14:paraId="71F3E2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2E9"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2EA" w14:textId="77777777" w:rsidR="00510CAA" w:rsidRDefault="003A4815">
            <w:pPr>
              <w:jc w:val="center"/>
              <w:rPr>
                <w:rFonts w:ascii="Arial" w:eastAsia="Arial" w:hAnsi="Arial" w:cs="Arial"/>
                <w:color w:val="000000"/>
                <w:sz w:val="16"/>
              </w:rPr>
            </w:pPr>
            <w:r>
              <w:rPr>
                <w:rFonts w:ascii="Arial" w:eastAsia="Arial" w:hAnsi="Arial" w:cs="Arial"/>
                <w:color w:val="000000"/>
                <w:sz w:val="16"/>
              </w:rPr>
              <w:t>2012 98,697</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2EB"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2EC"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40" w:type="dxa"/>
              <w:right w:w="40" w:type="dxa"/>
            </w:tcMar>
            <w:vAlign w:val="center"/>
          </w:tcPr>
          <w:p w14:paraId="71F3E2ED" w14:textId="77777777" w:rsidR="00510CAA" w:rsidRDefault="003A4815">
            <w:pPr>
              <w:jc w:val="center"/>
              <w:rPr>
                <w:rFonts w:ascii="Arial" w:eastAsia="Arial" w:hAnsi="Arial" w:cs="Arial"/>
                <w:color w:val="000000"/>
                <w:sz w:val="16"/>
              </w:rPr>
            </w:pPr>
            <w:r>
              <w:rPr>
                <w:rFonts w:ascii="Arial" w:eastAsia="Arial" w:hAnsi="Arial" w:cs="Arial"/>
                <w:color w:val="000000"/>
                <w:sz w:val="16"/>
              </w:rPr>
              <w:t>16,500</w:t>
            </w:r>
          </w:p>
        </w:tc>
        <w:tc>
          <w:tcPr>
            <w:tcW w:w="660" w:type="dxa"/>
            <w:tcBorders>
              <w:top w:val="nil"/>
              <w:left w:val="nil"/>
              <w:bottom w:val="dotted" w:sz="2" w:space="0" w:color="000000"/>
              <w:right w:val="nil"/>
              <w:tl2br w:val="nil"/>
              <w:tr2bl w:val="nil"/>
            </w:tcBorders>
            <w:noWrap/>
            <w:tcMar>
              <w:left w:w="40" w:type="dxa"/>
              <w:right w:w="40" w:type="dxa"/>
            </w:tcMar>
          </w:tcPr>
          <w:p w14:paraId="71F3E2EE"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tcBorders>
              <w:top w:val="nil"/>
              <w:left w:val="nil"/>
              <w:bottom w:val="dotted" w:sz="2" w:space="0" w:color="000000"/>
              <w:right w:val="nil"/>
              <w:tl2br w:val="nil"/>
              <w:tr2bl w:val="nil"/>
            </w:tcBorders>
            <w:tcMar>
              <w:left w:w="0" w:type="dxa"/>
              <w:right w:w="0" w:type="dxa"/>
            </w:tcMar>
            <w:vAlign w:val="center"/>
          </w:tcPr>
          <w:p w14:paraId="71F3E2EF"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40" w:type="dxa"/>
              <w:right w:w="40" w:type="dxa"/>
            </w:tcMar>
            <w:vAlign w:val="center"/>
          </w:tcPr>
          <w:p w14:paraId="71F3E2F0" w14:textId="77777777" w:rsidR="00510CAA" w:rsidRDefault="003A4815">
            <w:pPr>
              <w:jc w:val="center"/>
              <w:rPr>
                <w:rFonts w:ascii="Arial" w:eastAsia="Arial" w:hAnsi="Arial" w:cs="Arial"/>
                <w:color w:val="000000"/>
                <w:sz w:val="16"/>
              </w:rPr>
            </w:pPr>
            <w:r>
              <w:rPr>
                <w:rFonts w:ascii="Arial" w:eastAsia="Arial" w:hAnsi="Arial" w:cs="Arial"/>
                <w:color w:val="000000"/>
                <w:sz w:val="16"/>
              </w:rPr>
              <w:t>12-Feb-26</w:t>
            </w:r>
          </w:p>
        </w:tc>
        <w:tc>
          <w:tcPr>
            <w:tcW w:w="2100" w:type="dxa"/>
            <w:tcBorders>
              <w:top w:val="nil"/>
              <w:left w:val="nil"/>
              <w:bottom w:val="dotted" w:sz="2" w:space="0" w:color="000000"/>
              <w:right w:val="nil"/>
              <w:tl2br w:val="nil"/>
              <w:tr2bl w:val="nil"/>
            </w:tcBorders>
            <w:tcMar>
              <w:left w:w="40" w:type="dxa"/>
              <w:right w:w="40" w:type="dxa"/>
            </w:tcMar>
            <w:vAlign w:val="center"/>
          </w:tcPr>
          <w:p w14:paraId="71F3E2F1" w14:textId="77777777" w:rsidR="00510CAA" w:rsidRDefault="003A4815">
            <w:pPr>
              <w:jc w:val="center"/>
              <w:rPr>
                <w:rFonts w:ascii="Arial" w:eastAsia="Arial" w:hAnsi="Arial" w:cs="Arial"/>
                <w:color w:val="000000"/>
                <w:sz w:val="16"/>
              </w:rPr>
            </w:pPr>
            <w:r>
              <w:rPr>
                <w:rFonts w:ascii="Arial" w:eastAsia="Arial" w:hAnsi="Arial" w:cs="Arial"/>
                <w:color w:val="000000"/>
                <w:sz w:val="16"/>
              </w:rPr>
              <w:t>1/Mar/2027 - 30/Apr/2027</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2F2" w14:textId="77777777" w:rsidR="00510CAA" w:rsidRDefault="003A4815">
            <w:pPr>
              <w:jc w:val="center"/>
              <w:rPr>
                <w:rFonts w:ascii="Arial" w:eastAsia="Arial" w:hAnsi="Arial" w:cs="Arial"/>
                <w:color w:val="000000"/>
                <w:sz w:val="16"/>
              </w:rPr>
            </w:pPr>
            <w:r>
              <w:rPr>
                <w:rFonts w:ascii="Arial" w:eastAsia="Arial" w:hAnsi="Arial" w:cs="Arial"/>
                <w:color w:val="000000"/>
                <w:sz w:val="16"/>
              </w:rPr>
              <w:t>10</w:t>
            </w:r>
          </w:p>
        </w:tc>
      </w:tr>
      <w:tr w:rsidR="00510CAA" w14:paraId="71F3E2F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2F4" w14:textId="77777777" w:rsidR="00510CAA" w:rsidRDefault="003A4815">
            <w:pPr>
              <w:jc w:val="center"/>
              <w:rPr>
                <w:rFonts w:ascii="Arial" w:eastAsia="Arial" w:hAnsi="Arial" w:cs="Arial"/>
                <w:color w:val="000000"/>
                <w:sz w:val="16"/>
              </w:rPr>
            </w:pPr>
            <w:r>
              <w:rPr>
                <w:rFonts w:ascii="Arial" w:eastAsia="Arial" w:hAnsi="Arial" w:cs="Arial"/>
                <w:color w:val="000000"/>
                <w:sz w:val="16"/>
              </w:rPr>
              <w:t>22</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2F5" w14:textId="77777777" w:rsidR="00510CAA" w:rsidRDefault="003A4815">
            <w:pPr>
              <w:jc w:val="center"/>
              <w:rPr>
                <w:rFonts w:ascii="Arial" w:eastAsia="Arial" w:hAnsi="Arial" w:cs="Arial"/>
                <w:color w:val="000000"/>
                <w:sz w:val="16"/>
              </w:rPr>
            </w:pPr>
            <w:r>
              <w:rPr>
                <w:rFonts w:ascii="Arial" w:eastAsia="Arial" w:hAnsi="Arial" w:cs="Arial"/>
                <w:color w:val="000000"/>
                <w:sz w:val="16"/>
              </w:rPr>
              <w:t>POLYMNIA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2F6"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2F7" w14:textId="77777777" w:rsidR="00510CAA" w:rsidRDefault="003A4815">
            <w:pPr>
              <w:jc w:val="center"/>
              <w:rPr>
                <w:rFonts w:ascii="Arial" w:eastAsia="Arial" w:hAnsi="Arial" w:cs="Arial"/>
                <w:color w:val="000000"/>
                <w:sz w:val="16"/>
              </w:rPr>
            </w:pPr>
            <w:r>
              <w:rPr>
                <w:rFonts w:ascii="Arial" w:eastAsia="Arial" w:hAnsi="Arial" w:cs="Arial"/>
                <w:color w:val="000000"/>
                <w:sz w:val="16"/>
              </w:rPr>
              <w:t>E</w:t>
            </w:r>
          </w:p>
        </w:tc>
        <w:tc>
          <w:tcPr>
            <w:tcW w:w="1290" w:type="dxa"/>
            <w:tcBorders>
              <w:top w:val="dotted" w:sz="2" w:space="0" w:color="000000"/>
              <w:left w:val="nil"/>
              <w:bottom w:val="nil"/>
              <w:right w:val="nil"/>
              <w:tl2br w:val="nil"/>
              <w:tr2bl w:val="nil"/>
            </w:tcBorders>
            <w:tcMar>
              <w:left w:w="40" w:type="dxa"/>
              <w:right w:w="40" w:type="dxa"/>
            </w:tcMar>
          </w:tcPr>
          <w:p w14:paraId="71F3E2F8" w14:textId="77777777" w:rsidR="00510CAA" w:rsidRDefault="003A4815">
            <w:pPr>
              <w:jc w:val="center"/>
              <w:rPr>
                <w:rFonts w:ascii="Arial" w:eastAsia="Arial" w:hAnsi="Arial" w:cs="Arial"/>
                <w:color w:val="000000"/>
                <w:sz w:val="16"/>
              </w:rPr>
            </w:pPr>
            <w:r>
              <w:rPr>
                <w:rFonts w:ascii="Arial" w:eastAsia="Arial" w:hAnsi="Arial" w:cs="Arial"/>
                <w:color w:val="000000"/>
                <w:sz w:val="16"/>
              </w:rPr>
              <w:t>14,000</w:t>
            </w:r>
          </w:p>
        </w:tc>
        <w:tc>
          <w:tcPr>
            <w:tcW w:w="660" w:type="dxa"/>
            <w:tcBorders>
              <w:top w:val="dotted" w:sz="2" w:space="0" w:color="000000"/>
              <w:left w:val="nil"/>
              <w:bottom w:val="nil"/>
              <w:right w:val="nil"/>
              <w:tl2br w:val="nil"/>
              <w:tr2bl w:val="nil"/>
            </w:tcBorders>
            <w:noWrap/>
            <w:tcMar>
              <w:left w:w="40" w:type="dxa"/>
              <w:right w:w="40" w:type="dxa"/>
            </w:tcMar>
          </w:tcPr>
          <w:p w14:paraId="71F3E2F9"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2FA" w14:textId="77777777" w:rsidR="00510CAA" w:rsidRDefault="003A4815">
            <w:pPr>
              <w:jc w:val="center"/>
              <w:rPr>
                <w:rFonts w:ascii="Arial" w:eastAsia="Arial" w:hAnsi="Arial" w:cs="Arial"/>
                <w:color w:val="000000"/>
                <w:sz w:val="16"/>
              </w:rPr>
            </w:pPr>
            <w:r>
              <w:rPr>
                <w:rFonts w:ascii="Arial" w:eastAsia="Arial" w:hAnsi="Arial" w:cs="Arial"/>
                <w:color w:val="000000"/>
                <w:sz w:val="16"/>
              </w:rPr>
              <w:t>Oldendorff Carriers GmbH &amp; Co. KG</w:t>
            </w:r>
          </w:p>
        </w:tc>
        <w:tc>
          <w:tcPr>
            <w:tcW w:w="1410" w:type="dxa"/>
            <w:tcBorders>
              <w:top w:val="dotted" w:sz="2" w:space="0" w:color="000000"/>
              <w:left w:val="nil"/>
              <w:bottom w:val="nil"/>
              <w:right w:val="nil"/>
              <w:tl2br w:val="nil"/>
              <w:tr2bl w:val="nil"/>
            </w:tcBorders>
            <w:tcMar>
              <w:left w:w="40" w:type="dxa"/>
              <w:right w:w="40" w:type="dxa"/>
            </w:tcMar>
          </w:tcPr>
          <w:p w14:paraId="71F3E2FB" w14:textId="77777777" w:rsidR="00510CAA" w:rsidRDefault="003A4815">
            <w:pPr>
              <w:jc w:val="center"/>
              <w:rPr>
                <w:rFonts w:ascii="Arial" w:eastAsia="Arial" w:hAnsi="Arial" w:cs="Arial"/>
                <w:color w:val="000000"/>
                <w:sz w:val="16"/>
              </w:rPr>
            </w:pPr>
            <w:r>
              <w:rPr>
                <w:rFonts w:ascii="Arial" w:eastAsia="Arial" w:hAnsi="Arial" w:cs="Arial"/>
                <w:color w:val="000000"/>
                <w:sz w:val="16"/>
              </w:rPr>
              <w:t>17-Aug-25</w:t>
            </w:r>
          </w:p>
        </w:tc>
        <w:tc>
          <w:tcPr>
            <w:tcW w:w="2100" w:type="dxa"/>
            <w:tcBorders>
              <w:top w:val="dotted" w:sz="2" w:space="0" w:color="000000"/>
              <w:left w:val="nil"/>
              <w:bottom w:val="nil"/>
              <w:right w:val="nil"/>
              <w:tl2br w:val="nil"/>
              <w:tr2bl w:val="nil"/>
            </w:tcBorders>
            <w:noWrap/>
            <w:tcMar>
              <w:left w:w="40" w:type="dxa"/>
              <w:right w:w="40" w:type="dxa"/>
            </w:tcMar>
          </w:tcPr>
          <w:p w14:paraId="71F3E2FC" w14:textId="77777777" w:rsidR="00510CAA" w:rsidRDefault="003A4815">
            <w:pPr>
              <w:jc w:val="center"/>
              <w:rPr>
                <w:rFonts w:ascii="Arial" w:eastAsia="Arial" w:hAnsi="Arial" w:cs="Arial"/>
                <w:color w:val="000000"/>
                <w:sz w:val="16"/>
              </w:rPr>
            </w:pPr>
            <w:r>
              <w:rPr>
                <w:rFonts w:ascii="Arial" w:eastAsia="Arial" w:hAnsi="Arial" w:cs="Arial"/>
                <w:color w:val="000000"/>
                <w:sz w:val="16"/>
              </w:rPr>
              <w:t>10/Apr/2026 - 10/Jun/2026</w:t>
            </w:r>
            <w:r>
              <w:rPr>
                <w:rFonts w:ascii="Arial" w:eastAsia="Arial" w:hAnsi="Arial" w:cs="Arial"/>
                <w:color w:val="000000"/>
                <w:sz w:val="16"/>
              </w:rPr>
              <w:tab/>
            </w:r>
          </w:p>
        </w:tc>
        <w:tc>
          <w:tcPr>
            <w:tcW w:w="660" w:type="dxa"/>
            <w:tcBorders>
              <w:top w:val="dotted" w:sz="2" w:space="0" w:color="000000"/>
              <w:left w:val="nil"/>
              <w:bottom w:val="nil"/>
              <w:right w:val="nil"/>
              <w:tl2br w:val="nil"/>
              <w:tr2bl w:val="nil"/>
            </w:tcBorders>
            <w:noWrap/>
            <w:tcMar>
              <w:left w:w="0" w:type="dxa"/>
              <w:right w:w="0" w:type="dxa"/>
            </w:tcMar>
          </w:tcPr>
          <w:p w14:paraId="71F3E2FD" w14:textId="77777777" w:rsidR="00510CAA" w:rsidRDefault="00510CAA">
            <w:pPr>
              <w:jc w:val="center"/>
              <w:rPr>
                <w:rFonts w:ascii="Arial" w:eastAsia="Arial" w:hAnsi="Arial" w:cs="Arial"/>
                <w:color w:val="000000"/>
                <w:sz w:val="16"/>
              </w:rPr>
            </w:pPr>
          </w:p>
        </w:tc>
      </w:tr>
      <w:tr w:rsidR="00510CAA" w14:paraId="71F3E30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2FF"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00" w14:textId="77777777" w:rsidR="00510CAA" w:rsidRDefault="003A4815">
            <w:pPr>
              <w:jc w:val="center"/>
              <w:rPr>
                <w:rFonts w:ascii="Arial" w:eastAsia="Arial" w:hAnsi="Arial" w:cs="Arial"/>
                <w:color w:val="000000"/>
                <w:sz w:val="16"/>
              </w:rPr>
            </w:pPr>
            <w:r>
              <w:rPr>
                <w:rFonts w:ascii="Arial" w:eastAsia="Arial" w:hAnsi="Arial" w:cs="Arial"/>
                <w:color w:val="000000"/>
                <w:sz w:val="16"/>
              </w:rPr>
              <w:t>2012 98,704</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01"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02"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0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04"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05"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06"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07"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08" w14:textId="77777777" w:rsidR="00510CAA" w:rsidRDefault="00510CAA">
            <w:pPr>
              <w:jc w:val="center"/>
              <w:rPr>
                <w:rFonts w:ascii="Arial" w:eastAsia="Arial" w:hAnsi="Arial" w:cs="Arial"/>
                <w:color w:val="000000"/>
                <w:sz w:val="16"/>
              </w:rPr>
            </w:pPr>
          </w:p>
        </w:tc>
      </w:tr>
      <w:tr w:rsidR="00510CAA" w14:paraId="71F3E31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30A" w14:textId="77777777" w:rsidR="00510CAA" w:rsidRDefault="003A4815">
            <w:pPr>
              <w:jc w:val="center"/>
              <w:rPr>
                <w:rFonts w:ascii="Arial" w:eastAsia="Arial" w:hAnsi="Arial" w:cs="Arial"/>
                <w:color w:val="000000"/>
                <w:sz w:val="16"/>
              </w:rPr>
            </w:pPr>
            <w:r>
              <w:rPr>
                <w:rFonts w:ascii="Arial" w:eastAsia="Arial" w:hAnsi="Arial" w:cs="Arial"/>
                <w:color w:val="000000"/>
                <w:sz w:val="16"/>
              </w:rPr>
              <w:t>23</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0B" w14:textId="77777777" w:rsidR="00510CAA" w:rsidRDefault="003A4815">
            <w:pPr>
              <w:jc w:val="center"/>
              <w:rPr>
                <w:rFonts w:ascii="Arial" w:eastAsia="Arial" w:hAnsi="Arial" w:cs="Arial"/>
                <w:color w:val="000000"/>
                <w:sz w:val="16"/>
              </w:rPr>
            </w:pPr>
            <w:r>
              <w:rPr>
                <w:rFonts w:ascii="Arial" w:eastAsia="Arial" w:hAnsi="Arial" w:cs="Arial"/>
                <w:color w:val="000000"/>
                <w:sz w:val="16"/>
              </w:rPr>
              <w:t>ELECTRA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0C"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0D" w14:textId="77777777" w:rsidR="00510CAA" w:rsidRDefault="003A4815">
            <w:pPr>
              <w:jc w:val="center"/>
              <w:rPr>
                <w:rFonts w:ascii="Arial" w:eastAsia="Arial" w:hAnsi="Arial" w:cs="Arial"/>
                <w:color w:val="000000"/>
                <w:sz w:val="16"/>
              </w:rPr>
            </w:pPr>
            <w:r>
              <w:rPr>
                <w:rFonts w:ascii="Arial" w:eastAsia="Arial" w:hAnsi="Arial" w:cs="Arial"/>
                <w:color w:val="000000"/>
                <w:sz w:val="16"/>
              </w:rPr>
              <w:t>F</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0E" w14:textId="77777777" w:rsidR="00510CAA" w:rsidRDefault="003A4815">
            <w:pPr>
              <w:jc w:val="center"/>
              <w:rPr>
                <w:rFonts w:ascii="Arial" w:eastAsia="Arial" w:hAnsi="Arial" w:cs="Arial"/>
                <w:color w:val="000000"/>
                <w:sz w:val="16"/>
              </w:rPr>
            </w:pPr>
            <w:r>
              <w:rPr>
                <w:rFonts w:ascii="Arial" w:eastAsia="Arial" w:hAnsi="Arial" w:cs="Arial"/>
                <w:color w:val="000000"/>
                <w:sz w:val="16"/>
              </w:rPr>
              <w:t>14,000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0F"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10" w14:textId="77777777" w:rsidR="00510CAA" w:rsidRDefault="003A4815">
            <w:pPr>
              <w:jc w:val="center"/>
              <w:rPr>
                <w:rFonts w:ascii="Arial" w:eastAsia="Arial" w:hAnsi="Arial" w:cs="Arial"/>
                <w:color w:val="000000"/>
                <w:sz w:val="16"/>
              </w:rPr>
            </w:pPr>
            <w:r>
              <w:rPr>
                <w:rFonts w:ascii="Arial" w:eastAsia="Arial" w:hAnsi="Arial" w:cs="Arial"/>
                <w:color w:val="000000"/>
                <w:sz w:val="16"/>
              </w:rPr>
              <w:t>Oldendorff Carriers GmbH &amp; Co. KG</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11" w14:textId="77777777" w:rsidR="00510CAA" w:rsidRDefault="003A4815">
            <w:pPr>
              <w:jc w:val="center"/>
              <w:rPr>
                <w:rFonts w:ascii="Arial" w:eastAsia="Arial" w:hAnsi="Arial" w:cs="Arial"/>
                <w:color w:val="000000"/>
                <w:sz w:val="16"/>
              </w:rPr>
            </w:pPr>
            <w:r>
              <w:rPr>
                <w:rFonts w:ascii="Arial" w:eastAsia="Arial" w:hAnsi="Arial" w:cs="Arial"/>
                <w:color w:val="000000"/>
                <w:sz w:val="16"/>
              </w:rPr>
              <w:t>7-Dec-25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12" w14:textId="77777777" w:rsidR="00510CAA" w:rsidRDefault="003A4815">
            <w:pPr>
              <w:jc w:val="center"/>
              <w:rPr>
                <w:rFonts w:ascii="Arial" w:eastAsia="Arial" w:hAnsi="Arial" w:cs="Arial"/>
                <w:color w:val="000000"/>
                <w:sz w:val="16"/>
              </w:rPr>
            </w:pPr>
            <w:r>
              <w:rPr>
                <w:rFonts w:ascii="Arial" w:eastAsia="Arial" w:hAnsi="Arial" w:cs="Arial"/>
                <w:color w:val="000000"/>
                <w:sz w:val="16"/>
              </w:rPr>
              <w:t>1/Dec/2026 - 31/Jan/2027</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313" w14:textId="77777777" w:rsidR="00510CAA" w:rsidRDefault="00510CAA">
            <w:pPr>
              <w:jc w:val="center"/>
              <w:rPr>
                <w:rFonts w:ascii="Arial" w:eastAsia="Arial" w:hAnsi="Arial" w:cs="Arial"/>
                <w:color w:val="000000"/>
                <w:sz w:val="16"/>
              </w:rPr>
            </w:pPr>
          </w:p>
        </w:tc>
      </w:tr>
      <w:tr w:rsidR="00510CAA" w14:paraId="71F3E31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31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1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2013 87,150</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1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18"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1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1A"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1B"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1C"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1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1E" w14:textId="77777777" w:rsidR="00510CAA" w:rsidRDefault="00510CAA">
            <w:pPr>
              <w:jc w:val="center"/>
              <w:rPr>
                <w:rFonts w:ascii="Arial" w:eastAsia="Arial" w:hAnsi="Arial" w:cs="Arial"/>
                <w:color w:val="000000"/>
                <w:sz w:val="16"/>
              </w:rPr>
            </w:pPr>
          </w:p>
        </w:tc>
      </w:tr>
      <w:tr w:rsidR="00510CAA" w14:paraId="71F3E32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320" w14:textId="77777777" w:rsidR="00510CAA" w:rsidRDefault="003A4815">
            <w:pPr>
              <w:jc w:val="center"/>
              <w:rPr>
                <w:rFonts w:ascii="Arial" w:eastAsia="Arial" w:hAnsi="Arial" w:cs="Arial"/>
                <w:color w:val="000000"/>
                <w:sz w:val="16"/>
              </w:rPr>
            </w:pPr>
            <w:r>
              <w:rPr>
                <w:rFonts w:ascii="Arial" w:eastAsia="Arial" w:hAnsi="Arial" w:cs="Arial"/>
                <w:color w:val="000000"/>
                <w:sz w:val="16"/>
              </w:rPr>
              <w:t>24</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21" w14:textId="77777777" w:rsidR="00510CAA" w:rsidRDefault="003A4815">
            <w:pPr>
              <w:jc w:val="center"/>
              <w:rPr>
                <w:rFonts w:ascii="Arial" w:eastAsia="Arial" w:hAnsi="Arial" w:cs="Arial"/>
                <w:color w:val="000000"/>
                <w:sz w:val="16"/>
              </w:rPr>
            </w:pPr>
            <w:r>
              <w:rPr>
                <w:rFonts w:ascii="Arial" w:eastAsia="Arial" w:hAnsi="Arial" w:cs="Arial"/>
                <w:color w:val="000000"/>
                <w:sz w:val="16"/>
              </w:rPr>
              <w:t>PHAIDRA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2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23" w14:textId="77777777" w:rsidR="00510CAA" w:rsidRDefault="003A4815">
            <w:pPr>
              <w:jc w:val="center"/>
              <w:rPr>
                <w:rFonts w:ascii="Arial" w:eastAsia="Arial" w:hAnsi="Arial" w:cs="Arial"/>
                <w:color w:val="000000"/>
                <w:sz w:val="16"/>
              </w:rPr>
            </w:pPr>
            <w:r>
              <w:rPr>
                <w:rFonts w:ascii="Arial" w:eastAsia="Arial" w:hAnsi="Arial" w:cs="Arial"/>
                <w:color w:val="000000"/>
                <w:sz w:val="16"/>
              </w:rPr>
              <w:t>F</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24" w14:textId="77777777" w:rsidR="00510CAA" w:rsidRDefault="003A4815">
            <w:pPr>
              <w:jc w:val="center"/>
              <w:rPr>
                <w:rFonts w:ascii="Arial" w:eastAsia="Arial" w:hAnsi="Arial" w:cs="Arial"/>
                <w:color w:val="000000"/>
                <w:sz w:val="16"/>
              </w:rPr>
            </w:pPr>
            <w:r>
              <w:rPr>
                <w:rFonts w:ascii="Arial" w:eastAsia="Arial" w:hAnsi="Arial" w:cs="Arial"/>
                <w:color w:val="000000"/>
                <w:sz w:val="16"/>
              </w:rPr>
              <w:t>9,750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25"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tcBorders>
              <w:top w:val="dotted" w:sz="2" w:space="0" w:color="000000"/>
              <w:left w:val="nil"/>
              <w:bottom w:val="nil"/>
              <w:right w:val="nil"/>
              <w:tl2br w:val="nil"/>
              <w:tr2bl w:val="nil"/>
            </w:tcBorders>
            <w:tcMar>
              <w:left w:w="40" w:type="dxa"/>
              <w:right w:w="40" w:type="dxa"/>
            </w:tcMar>
          </w:tcPr>
          <w:p w14:paraId="71F3E326" w14:textId="77777777" w:rsidR="00510CAA" w:rsidRDefault="003A4815">
            <w:pPr>
              <w:jc w:val="cente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27" w14:textId="77777777" w:rsidR="00510CAA" w:rsidRDefault="003A4815">
            <w:pPr>
              <w:jc w:val="center"/>
              <w:rPr>
                <w:rFonts w:ascii="Arial" w:eastAsia="Arial" w:hAnsi="Arial" w:cs="Arial"/>
                <w:color w:val="000000"/>
                <w:sz w:val="16"/>
              </w:rPr>
            </w:pPr>
            <w:r>
              <w:rPr>
                <w:rFonts w:ascii="Arial" w:eastAsia="Arial" w:hAnsi="Arial" w:cs="Arial"/>
                <w:color w:val="000000"/>
                <w:sz w:val="16"/>
              </w:rPr>
              <w:t>31-May-25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28" w14:textId="77777777" w:rsidR="00510CAA" w:rsidRDefault="003A4815">
            <w:pPr>
              <w:jc w:val="center"/>
              <w:rPr>
                <w:rFonts w:ascii="Arial" w:eastAsia="Arial" w:hAnsi="Arial" w:cs="Arial"/>
                <w:color w:val="000000"/>
                <w:sz w:val="16"/>
              </w:rPr>
            </w:pPr>
            <w:r>
              <w:rPr>
                <w:rFonts w:ascii="Arial" w:eastAsia="Arial" w:hAnsi="Arial" w:cs="Arial"/>
                <w:color w:val="000000"/>
                <w:sz w:val="16"/>
              </w:rPr>
              <w:t>27-Feb-26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329" w14:textId="77777777" w:rsidR="00510CAA" w:rsidRDefault="00510CAA">
            <w:pPr>
              <w:jc w:val="center"/>
              <w:rPr>
                <w:rFonts w:ascii="Arial" w:eastAsia="Arial" w:hAnsi="Arial" w:cs="Arial"/>
                <w:color w:val="000000"/>
                <w:sz w:val="16"/>
              </w:rPr>
            </w:pPr>
          </w:p>
        </w:tc>
      </w:tr>
      <w:tr w:rsidR="00510CAA" w14:paraId="71F3E33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50"/>
        </w:trPr>
        <w:tc>
          <w:tcPr>
            <w:tcW w:w="450" w:type="dxa"/>
            <w:tcBorders>
              <w:top w:val="nil"/>
              <w:left w:val="nil"/>
              <w:bottom w:val="single" w:sz="4" w:space="0" w:color="000000"/>
              <w:right w:val="nil"/>
              <w:tl2br w:val="nil"/>
              <w:tr2bl w:val="nil"/>
            </w:tcBorders>
            <w:tcMar>
              <w:left w:w="0" w:type="dxa"/>
              <w:right w:w="0" w:type="dxa"/>
            </w:tcMar>
            <w:vAlign w:val="center"/>
          </w:tcPr>
          <w:p w14:paraId="71F3E32B" w14:textId="77777777" w:rsidR="00510CAA" w:rsidRDefault="00510CAA">
            <w:pPr>
              <w:jc w:val="cente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32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2013 87,146</w:t>
            </w:r>
          </w:p>
        </w:tc>
        <w:tc>
          <w:tcPr>
            <w:tcW w:w="75" w:type="dxa"/>
            <w:tcBorders>
              <w:top w:val="nil"/>
              <w:left w:val="nil"/>
              <w:bottom w:val="single" w:sz="4" w:space="0" w:color="000000"/>
              <w:right w:val="nil"/>
              <w:tl2br w:val="nil"/>
              <w:tr2bl w:val="nil"/>
            </w:tcBorders>
            <w:noWrap/>
            <w:tcMar>
              <w:left w:w="0" w:type="dxa"/>
              <w:right w:w="0" w:type="dxa"/>
            </w:tcMar>
            <w:vAlign w:val="center"/>
          </w:tcPr>
          <w:p w14:paraId="71F3E32D" w14:textId="77777777" w:rsidR="00510CAA" w:rsidRDefault="00510CAA">
            <w:pPr>
              <w:rPr>
                <w:rFonts w:ascii="Arial" w:eastAsia="Arial" w:hAnsi="Arial" w:cs="Arial"/>
                <w:color w:val="000000"/>
                <w:sz w:val="16"/>
              </w:rPr>
            </w:pPr>
          </w:p>
        </w:tc>
        <w:tc>
          <w:tcPr>
            <w:tcW w:w="630" w:type="dxa"/>
            <w:tcBorders>
              <w:top w:val="nil"/>
              <w:left w:val="nil"/>
              <w:bottom w:val="single" w:sz="4" w:space="0" w:color="000000"/>
              <w:right w:val="nil"/>
              <w:tl2br w:val="nil"/>
              <w:tr2bl w:val="nil"/>
            </w:tcBorders>
            <w:noWrap/>
            <w:tcMar>
              <w:left w:w="0" w:type="dxa"/>
              <w:right w:w="0" w:type="dxa"/>
            </w:tcMar>
            <w:vAlign w:val="center"/>
          </w:tcPr>
          <w:p w14:paraId="71F3E32E" w14:textId="77777777" w:rsidR="00510CAA" w:rsidRDefault="00510CAA">
            <w:pP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tcMar>
              <w:left w:w="40" w:type="dxa"/>
              <w:right w:w="40" w:type="dxa"/>
            </w:tcMar>
            <w:vAlign w:val="center"/>
          </w:tcPr>
          <w:p w14:paraId="71F3E32F" w14:textId="77777777" w:rsidR="00510CAA" w:rsidRDefault="003A4815">
            <w:pPr>
              <w:jc w:val="center"/>
              <w:rPr>
                <w:rFonts w:ascii="Arial" w:eastAsia="Arial" w:hAnsi="Arial" w:cs="Arial"/>
                <w:color w:val="000000"/>
                <w:sz w:val="16"/>
              </w:rPr>
            </w:pPr>
            <w:r>
              <w:rPr>
                <w:rFonts w:ascii="Arial" w:eastAsia="Arial" w:hAnsi="Arial" w:cs="Arial"/>
                <w:color w:val="000000"/>
                <w:sz w:val="16"/>
              </w:rPr>
              <w:t>14,500</w:t>
            </w:r>
          </w:p>
        </w:tc>
        <w:tc>
          <w:tcPr>
            <w:tcW w:w="660" w:type="dxa"/>
            <w:tcBorders>
              <w:top w:val="nil"/>
              <w:left w:val="nil"/>
              <w:bottom w:val="single" w:sz="4" w:space="0" w:color="000000"/>
              <w:right w:val="nil"/>
              <w:tl2br w:val="nil"/>
              <w:tr2bl w:val="nil"/>
            </w:tcBorders>
            <w:noWrap/>
            <w:tcMar>
              <w:left w:w="40" w:type="dxa"/>
              <w:right w:w="40" w:type="dxa"/>
            </w:tcMar>
            <w:vAlign w:val="center"/>
          </w:tcPr>
          <w:p w14:paraId="71F3E330"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tcBorders>
              <w:top w:val="nil"/>
              <w:left w:val="nil"/>
              <w:bottom w:val="single" w:sz="4" w:space="0" w:color="000000"/>
              <w:right w:val="nil"/>
              <w:tl2br w:val="nil"/>
              <w:tr2bl w:val="nil"/>
            </w:tcBorders>
            <w:tcMar>
              <w:left w:w="40" w:type="dxa"/>
              <w:right w:w="40" w:type="dxa"/>
            </w:tcMar>
          </w:tcPr>
          <w:p w14:paraId="71F3E331" w14:textId="77777777" w:rsidR="00510CAA" w:rsidRDefault="003A4815">
            <w:pPr>
              <w:jc w:val="center"/>
              <w:rPr>
                <w:rFonts w:ascii="Arial" w:eastAsia="Arial" w:hAnsi="Arial" w:cs="Arial"/>
                <w:color w:val="000000"/>
                <w:sz w:val="16"/>
              </w:rPr>
            </w:pPr>
            <w:r>
              <w:rPr>
                <w:rFonts w:ascii="Arial" w:eastAsia="Arial" w:hAnsi="Arial" w:cs="Arial"/>
                <w:color w:val="000000"/>
                <w:sz w:val="16"/>
              </w:rPr>
              <w:t>Nippon Yusen Kabushiki Kaisha, Tokyo</w:t>
            </w:r>
          </w:p>
        </w:tc>
        <w:tc>
          <w:tcPr>
            <w:tcW w:w="1410" w:type="dxa"/>
            <w:tcBorders>
              <w:top w:val="nil"/>
              <w:left w:val="nil"/>
              <w:bottom w:val="single" w:sz="4" w:space="0" w:color="000000"/>
              <w:right w:val="nil"/>
              <w:tl2br w:val="nil"/>
              <w:tr2bl w:val="nil"/>
            </w:tcBorders>
            <w:tcMar>
              <w:left w:w="40" w:type="dxa"/>
              <w:right w:w="40" w:type="dxa"/>
            </w:tcMar>
            <w:vAlign w:val="center"/>
          </w:tcPr>
          <w:p w14:paraId="71F3E332" w14:textId="77777777" w:rsidR="00510CAA" w:rsidRDefault="003A4815">
            <w:pPr>
              <w:jc w:val="center"/>
              <w:rPr>
                <w:rFonts w:ascii="Arial" w:eastAsia="Arial" w:hAnsi="Arial" w:cs="Arial"/>
                <w:color w:val="000000"/>
                <w:sz w:val="16"/>
              </w:rPr>
            </w:pPr>
            <w:r>
              <w:rPr>
                <w:rFonts w:ascii="Arial" w:eastAsia="Arial" w:hAnsi="Arial" w:cs="Arial"/>
                <w:color w:val="000000"/>
                <w:sz w:val="16"/>
              </w:rPr>
              <w:t>27-Feb-26</w:t>
            </w:r>
          </w:p>
        </w:tc>
        <w:tc>
          <w:tcPr>
            <w:tcW w:w="2100" w:type="dxa"/>
            <w:tcBorders>
              <w:top w:val="nil"/>
              <w:left w:val="nil"/>
              <w:bottom w:val="single" w:sz="4" w:space="0" w:color="000000"/>
              <w:right w:val="nil"/>
              <w:tl2br w:val="nil"/>
              <w:tr2bl w:val="nil"/>
            </w:tcBorders>
            <w:tcMar>
              <w:left w:w="40" w:type="dxa"/>
              <w:right w:w="40" w:type="dxa"/>
            </w:tcMar>
            <w:vAlign w:val="center"/>
          </w:tcPr>
          <w:p w14:paraId="71F3E333" w14:textId="77777777" w:rsidR="00510CAA" w:rsidRDefault="003A4815">
            <w:pPr>
              <w:jc w:val="center"/>
              <w:rPr>
                <w:rFonts w:ascii="Arial" w:eastAsia="Arial" w:hAnsi="Arial" w:cs="Arial"/>
                <w:color w:val="000000"/>
                <w:sz w:val="16"/>
              </w:rPr>
            </w:pPr>
            <w:r>
              <w:rPr>
                <w:rFonts w:ascii="Arial" w:eastAsia="Arial" w:hAnsi="Arial" w:cs="Arial"/>
                <w:color w:val="000000"/>
                <w:sz w:val="16"/>
              </w:rPr>
              <w:t>20/Feb/2027 - 20/Apr/2027</w:t>
            </w: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334" w14:textId="77777777" w:rsidR="00510CAA" w:rsidRDefault="00510CAA">
            <w:pPr>
              <w:jc w:val="center"/>
              <w:rPr>
                <w:rFonts w:ascii="Arial" w:eastAsia="Arial" w:hAnsi="Arial" w:cs="Arial"/>
                <w:color w:val="000000"/>
                <w:sz w:val="16"/>
              </w:rPr>
            </w:pPr>
          </w:p>
        </w:tc>
      </w:tr>
      <w:tr w:rsidR="00510CAA" w14:paraId="71F3E33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336" w14:textId="77777777" w:rsidR="00510CAA" w:rsidRDefault="003A4815">
            <w:pPr>
              <w:jc w:val="center"/>
              <w:rPr>
                <w:rFonts w:ascii="Arial" w:eastAsia="Arial" w:hAnsi="Arial" w:cs="Arial"/>
                <w:b/>
                <w:color w:val="000000"/>
                <w:sz w:val="18"/>
              </w:rPr>
            </w:pPr>
            <w:r>
              <w:rPr>
                <w:rFonts w:ascii="Arial" w:eastAsia="Arial" w:hAnsi="Arial" w:cs="Arial"/>
                <w:b/>
                <w:color w:val="000000"/>
                <w:sz w:val="18"/>
              </w:rPr>
              <w:t>8 Capesize Bulk Carriers</w:t>
            </w:r>
          </w:p>
        </w:tc>
      </w:tr>
      <w:tr w:rsidR="00510CAA" w14:paraId="71F3E34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single" w:sz="4" w:space="0" w:color="000000"/>
              <w:left w:val="nil"/>
              <w:bottom w:val="nil"/>
              <w:right w:val="nil"/>
              <w:tl2br w:val="nil"/>
              <w:tr2bl w:val="nil"/>
            </w:tcBorders>
            <w:tcMar>
              <w:left w:w="40" w:type="dxa"/>
              <w:right w:w="40" w:type="dxa"/>
            </w:tcMar>
            <w:vAlign w:val="center"/>
          </w:tcPr>
          <w:p w14:paraId="71F3E338" w14:textId="77777777" w:rsidR="00510CAA" w:rsidRDefault="003A4815">
            <w:pPr>
              <w:jc w:val="center"/>
              <w:rPr>
                <w:rFonts w:ascii="Arial" w:eastAsia="Arial" w:hAnsi="Arial" w:cs="Arial"/>
                <w:color w:val="000000"/>
                <w:sz w:val="16"/>
              </w:rPr>
            </w:pPr>
            <w:r>
              <w:rPr>
                <w:rFonts w:ascii="Arial" w:eastAsia="Arial" w:hAnsi="Arial" w:cs="Arial"/>
                <w:color w:val="000000"/>
                <w:sz w:val="16"/>
              </w:rPr>
              <w:t>25</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339" w14:textId="77777777" w:rsidR="00510CAA" w:rsidRDefault="003A4815">
            <w:pPr>
              <w:jc w:val="center"/>
              <w:rPr>
                <w:rFonts w:ascii="Arial" w:eastAsia="Arial" w:hAnsi="Arial" w:cs="Arial"/>
                <w:color w:val="000000"/>
                <w:sz w:val="16"/>
              </w:rPr>
            </w:pPr>
            <w:r>
              <w:rPr>
                <w:rFonts w:ascii="Arial" w:eastAsia="Arial" w:hAnsi="Arial" w:cs="Arial"/>
                <w:color w:val="000000"/>
                <w:sz w:val="16"/>
              </w:rPr>
              <w:t>SEMIRIO</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33A"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40" w:type="dxa"/>
              <w:right w:w="40" w:type="dxa"/>
            </w:tcMar>
            <w:vAlign w:val="center"/>
          </w:tcPr>
          <w:p w14:paraId="71F3E33B" w14:textId="77777777" w:rsidR="00510CAA" w:rsidRDefault="003A4815">
            <w:pPr>
              <w:jc w:val="center"/>
              <w:rPr>
                <w:rFonts w:ascii="Arial" w:eastAsia="Arial" w:hAnsi="Arial" w:cs="Arial"/>
                <w:color w:val="000000"/>
                <w:sz w:val="16"/>
              </w:rPr>
            </w:pPr>
            <w:r>
              <w:rPr>
                <w:rFonts w:ascii="Arial" w:eastAsia="Arial" w:hAnsi="Arial" w:cs="Arial"/>
                <w:color w:val="000000"/>
                <w:sz w:val="16"/>
              </w:rPr>
              <w:t>G</w:t>
            </w:r>
          </w:p>
        </w:tc>
        <w:tc>
          <w:tcPr>
            <w:tcW w:w="1290" w:type="dxa"/>
            <w:tcBorders>
              <w:top w:val="single" w:sz="4" w:space="0" w:color="000000"/>
              <w:left w:val="nil"/>
              <w:bottom w:val="nil"/>
              <w:right w:val="nil"/>
              <w:tl2br w:val="nil"/>
              <w:tr2bl w:val="nil"/>
            </w:tcBorders>
            <w:tcMar>
              <w:left w:w="40" w:type="dxa"/>
              <w:right w:w="40" w:type="dxa"/>
            </w:tcMar>
            <w:vAlign w:val="center"/>
          </w:tcPr>
          <w:p w14:paraId="71F3E33C" w14:textId="77777777" w:rsidR="00510CAA" w:rsidRDefault="003A4815">
            <w:pPr>
              <w:jc w:val="center"/>
              <w:rPr>
                <w:rFonts w:ascii="Arial" w:eastAsia="Arial" w:hAnsi="Arial" w:cs="Arial"/>
                <w:color w:val="000000"/>
                <w:sz w:val="16"/>
              </w:rPr>
            </w:pPr>
            <w:r>
              <w:rPr>
                <w:rFonts w:ascii="Arial" w:eastAsia="Arial" w:hAnsi="Arial" w:cs="Arial"/>
                <w:color w:val="000000"/>
                <w:sz w:val="16"/>
              </w:rPr>
              <w:t>16,650</w:t>
            </w:r>
          </w:p>
        </w:tc>
        <w:tc>
          <w:tcPr>
            <w:tcW w:w="660" w:type="dxa"/>
            <w:tcBorders>
              <w:top w:val="single" w:sz="4" w:space="0" w:color="000000"/>
              <w:left w:val="nil"/>
              <w:bottom w:val="nil"/>
              <w:right w:val="nil"/>
              <w:tl2br w:val="nil"/>
              <w:tr2bl w:val="nil"/>
            </w:tcBorders>
            <w:noWrap/>
            <w:tcMar>
              <w:left w:w="40" w:type="dxa"/>
              <w:right w:w="40" w:type="dxa"/>
            </w:tcMar>
            <w:vAlign w:val="center"/>
          </w:tcPr>
          <w:p w14:paraId="71F3E33D"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single" w:sz="4" w:space="0" w:color="000000"/>
              <w:left w:val="nil"/>
              <w:bottom w:val="nil"/>
              <w:right w:val="nil"/>
              <w:tl2br w:val="nil"/>
              <w:tr2bl w:val="nil"/>
            </w:tcBorders>
            <w:tcMar>
              <w:left w:w="40" w:type="dxa"/>
              <w:right w:w="40" w:type="dxa"/>
            </w:tcMar>
          </w:tcPr>
          <w:p w14:paraId="71F3E33E" w14:textId="77777777" w:rsidR="00510CAA" w:rsidRDefault="003A4815">
            <w:pPr>
              <w:jc w:val="center"/>
              <w:rPr>
                <w:rFonts w:ascii="Arial" w:eastAsia="Arial" w:hAnsi="Arial" w:cs="Arial"/>
                <w:color w:val="000000"/>
                <w:sz w:val="16"/>
              </w:rPr>
            </w:pPr>
            <w:r>
              <w:rPr>
                <w:rFonts w:ascii="Arial" w:eastAsia="Arial" w:hAnsi="Arial" w:cs="Arial"/>
                <w:color w:val="000000"/>
                <w:sz w:val="16"/>
              </w:rPr>
              <w:t>Solebay Shipping Cape Company Limited, Hong Kong</w:t>
            </w:r>
          </w:p>
        </w:tc>
        <w:tc>
          <w:tcPr>
            <w:tcW w:w="1410" w:type="dxa"/>
            <w:tcBorders>
              <w:top w:val="single" w:sz="4" w:space="0" w:color="000000"/>
              <w:left w:val="nil"/>
              <w:bottom w:val="nil"/>
              <w:right w:val="nil"/>
              <w:tl2br w:val="nil"/>
              <w:tr2bl w:val="nil"/>
            </w:tcBorders>
            <w:tcMar>
              <w:left w:w="40" w:type="dxa"/>
              <w:right w:w="40" w:type="dxa"/>
            </w:tcMar>
            <w:vAlign w:val="center"/>
          </w:tcPr>
          <w:p w14:paraId="71F3E33F" w14:textId="77777777" w:rsidR="00510CAA" w:rsidRDefault="003A4815">
            <w:pPr>
              <w:jc w:val="center"/>
              <w:rPr>
                <w:rFonts w:ascii="Arial" w:eastAsia="Arial" w:hAnsi="Arial" w:cs="Arial"/>
                <w:color w:val="000000"/>
                <w:sz w:val="16"/>
              </w:rPr>
            </w:pPr>
            <w:r>
              <w:rPr>
                <w:rFonts w:ascii="Arial" w:eastAsia="Arial" w:hAnsi="Arial" w:cs="Arial"/>
                <w:color w:val="000000"/>
                <w:sz w:val="16"/>
              </w:rPr>
              <w:t>11-Feb-25</w:t>
            </w:r>
          </w:p>
        </w:tc>
        <w:tc>
          <w:tcPr>
            <w:tcW w:w="2100" w:type="dxa"/>
            <w:tcBorders>
              <w:top w:val="single" w:sz="4" w:space="0" w:color="000000"/>
              <w:left w:val="nil"/>
              <w:bottom w:val="nil"/>
              <w:right w:val="nil"/>
              <w:tl2br w:val="nil"/>
              <w:tr2bl w:val="nil"/>
            </w:tcBorders>
            <w:tcMar>
              <w:left w:w="40" w:type="dxa"/>
              <w:right w:w="40" w:type="dxa"/>
            </w:tcMar>
            <w:vAlign w:val="center"/>
          </w:tcPr>
          <w:p w14:paraId="71F3E340" w14:textId="77777777" w:rsidR="00510CAA" w:rsidRDefault="003A4815">
            <w:pPr>
              <w:jc w:val="center"/>
              <w:rPr>
                <w:rFonts w:ascii="Arial" w:eastAsia="Arial" w:hAnsi="Arial" w:cs="Arial"/>
                <w:color w:val="000000"/>
                <w:sz w:val="16"/>
              </w:rPr>
            </w:pPr>
            <w:r>
              <w:rPr>
                <w:rFonts w:ascii="Arial" w:eastAsia="Arial" w:hAnsi="Arial" w:cs="Arial"/>
                <w:color w:val="000000"/>
                <w:sz w:val="16"/>
              </w:rPr>
              <w:t>15-Mar-26</w:t>
            </w:r>
          </w:p>
        </w:tc>
        <w:tc>
          <w:tcPr>
            <w:tcW w:w="660" w:type="dxa"/>
            <w:tcBorders>
              <w:top w:val="single" w:sz="4" w:space="0" w:color="000000"/>
              <w:left w:val="nil"/>
              <w:bottom w:val="nil"/>
              <w:right w:val="nil"/>
              <w:tl2br w:val="nil"/>
              <w:tr2bl w:val="nil"/>
            </w:tcBorders>
            <w:noWrap/>
            <w:tcMar>
              <w:left w:w="40" w:type="dxa"/>
              <w:right w:w="40" w:type="dxa"/>
            </w:tcMar>
            <w:vAlign w:val="center"/>
          </w:tcPr>
          <w:p w14:paraId="71F3E341" w14:textId="77777777" w:rsidR="00510CAA" w:rsidRDefault="003A4815">
            <w:pPr>
              <w:jc w:val="center"/>
              <w:rPr>
                <w:rFonts w:ascii="Arial" w:eastAsia="Arial" w:hAnsi="Arial" w:cs="Arial"/>
                <w:color w:val="000000"/>
                <w:sz w:val="16"/>
              </w:rPr>
            </w:pPr>
            <w:r>
              <w:rPr>
                <w:rFonts w:ascii="Arial" w:eastAsia="Arial" w:hAnsi="Arial" w:cs="Arial"/>
                <w:color w:val="000000"/>
                <w:sz w:val="16"/>
              </w:rPr>
              <w:t>11</w:t>
            </w:r>
          </w:p>
        </w:tc>
      </w:tr>
      <w:tr w:rsidR="00510CAA" w14:paraId="71F3E34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343"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44" w14:textId="77777777" w:rsidR="00510CAA" w:rsidRDefault="003A4815">
            <w:pPr>
              <w:jc w:val="center"/>
              <w:rPr>
                <w:rFonts w:ascii="Arial" w:eastAsia="Arial" w:hAnsi="Arial" w:cs="Arial"/>
                <w:color w:val="000000"/>
                <w:sz w:val="16"/>
              </w:rPr>
            </w:pPr>
            <w:r>
              <w:rPr>
                <w:rFonts w:ascii="Arial" w:eastAsia="Arial" w:hAnsi="Arial" w:cs="Arial"/>
                <w:color w:val="000000"/>
                <w:sz w:val="16"/>
              </w:rPr>
              <w:t>2007 174,261</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45"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46"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40" w:type="dxa"/>
              <w:right w:w="40" w:type="dxa"/>
            </w:tcMar>
            <w:vAlign w:val="center"/>
          </w:tcPr>
          <w:p w14:paraId="71F3E347" w14:textId="77777777" w:rsidR="00510CAA" w:rsidRDefault="003A4815">
            <w:pPr>
              <w:jc w:val="center"/>
              <w:rPr>
                <w:rFonts w:ascii="Arial" w:eastAsia="Arial" w:hAnsi="Arial" w:cs="Arial"/>
                <w:color w:val="000000"/>
                <w:sz w:val="16"/>
              </w:rPr>
            </w:pPr>
            <w:r>
              <w:rPr>
                <w:rFonts w:ascii="Arial" w:eastAsia="Arial" w:hAnsi="Arial" w:cs="Arial"/>
                <w:color w:val="000000"/>
                <w:sz w:val="16"/>
              </w:rPr>
              <w:t>21,650</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348"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tcBorders>
              <w:top w:val="nil"/>
              <w:left w:val="nil"/>
              <w:bottom w:val="dotted" w:sz="2" w:space="0" w:color="000000"/>
              <w:right w:val="nil"/>
              <w:tl2br w:val="nil"/>
              <w:tr2bl w:val="nil"/>
            </w:tcBorders>
            <w:tcMar>
              <w:left w:w="0" w:type="dxa"/>
              <w:right w:w="0" w:type="dxa"/>
            </w:tcMar>
          </w:tcPr>
          <w:p w14:paraId="71F3E349"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40" w:type="dxa"/>
              <w:right w:w="40" w:type="dxa"/>
            </w:tcMar>
            <w:vAlign w:val="center"/>
          </w:tcPr>
          <w:p w14:paraId="71F3E34A" w14:textId="77777777" w:rsidR="00510CAA" w:rsidRDefault="003A4815">
            <w:pPr>
              <w:jc w:val="center"/>
              <w:rPr>
                <w:rFonts w:ascii="Arial" w:eastAsia="Arial" w:hAnsi="Arial" w:cs="Arial"/>
                <w:color w:val="000000"/>
                <w:sz w:val="16"/>
              </w:rPr>
            </w:pPr>
            <w:r>
              <w:rPr>
                <w:rFonts w:ascii="Arial" w:eastAsia="Arial" w:hAnsi="Arial" w:cs="Arial"/>
                <w:color w:val="000000"/>
                <w:sz w:val="16"/>
              </w:rPr>
              <w:t>15-Mar-26</w:t>
            </w:r>
          </w:p>
        </w:tc>
        <w:tc>
          <w:tcPr>
            <w:tcW w:w="2100" w:type="dxa"/>
            <w:tcBorders>
              <w:top w:val="nil"/>
              <w:left w:val="nil"/>
              <w:bottom w:val="dotted" w:sz="2" w:space="0" w:color="000000"/>
              <w:right w:val="nil"/>
              <w:tl2br w:val="nil"/>
              <w:tr2bl w:val="nil"/>
            </w:tcBorders>
            <w:tcMar>
              <w:left w:w="40" w:type="dxa"/>
              <w:right w:w="40" w:type="dxa"/>
            </w:tcMar>
            <w:vAlign w:val="center"/>
          </w:tcPr>
          <w:p w14:paraId="71F3E34B" w14:textId="77777777" w:rsidR="00510CAA" w:rsidRDefault="003A4815">
            <w:pPr>
              <w:jc w:val="center"/>
              <w:rPr>
                <w:rFonts w:ascii="Arial" w:eastAsia="Arial" w:hAnsi="Arial" w:cs="Arial"/>
                <w:color w:val="000000"/>
                <w:sz w:val="16"/>
              </w:rPr>
            </w:pPr>
            <w:r>
              <w:rPr>
                <w:rFonts w:ascii="Arial" w:eastAsia="Arial" w:hAnsi="Arial" w:cs="Arial"/>
                <w:color w:val="000000"/>
                <w:sz w:val="16"/>
              </w:rPr>
              <w:t>31/Jan/2027 - 15/Apr/2027</w:t>
            </w:r>
          </w:p>
        </w:tc>
        <w:tc>
          <w:tcPr>
            <w:tcW w:w="660" w:type="dxa"/>
            <w:tcBorders>
              <w:top w:val="nil"/>
              <w:left w:val="nil"/>
              <w:bottom w:val="dotted" w:sz="2" w:space="0" w:color="000000"/>
              <w:right w:val="nil"/>
              <w:tl2br w:val="nil"/>
              <w:tr2bl w:val="nil"/>
            </w:tcBorders>
            <w:noWrap/>
            <w:tcMar>
              <w:left w:w="40" w:type="dxa"/>
              <w:right w:w="40" w:type="dxa"/>
            </w:tcMar>
            <w:vAlign w:val="center"/>
          </w:tcPr>
          <w:p w14:paraId="71F3E34C" w14:textId="77777777" w:rsidR="00510CAA" w:rsidRDefault="003A4815">
            <w:pPr>
              <w:jc w:val="center"/>
              <w:rPr>
                <w:rFonts w:ascii="Arial" w:eastAsia="Arial" w:hAnsi="Arial" w:cs="Arial"/>
                <w:color w:val="000000"/>
                <w:sz w:val="16"/>
              </w:rPr>
            </w:pPr>
            <w:r>
              <w:rPr>
                <w:rFonts w:ascii="Arial" w:eastAsia="Arial" w:hAnsi="Arial" w:cs="Arial"/>
                <w:color w:val="000000"/>
                <w:sz w:val="16"/>
              </w:rPr>
              <w:t>12</w:t>
            </w:r>
          </w:p>
        </w:tc>
      </w:tr>
      <w:tr w:rsidR="00510CAA" w14:paraId="71F3E35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4E" w14:textId="77777777" w:rsidR="00510CAA" w:rsidRDefault="003A4815">
            <w:pPr>
              <w:jc w:val="center"/>
              <w:rPr>
                <w:rFonts w:ascii="Arial" w:eastAsia="Arial" w:hAnsi="Arial" w:cs="Arial"/>
                <w:color w:val="000000"/>
                <w:sz w:val="16"/>
              </w:rPr>
            </w:pPr>
            <w:r>
              <w:rPr>
                <w:rFonts w:ascii="Arial" w:eastAsia="Arial" w:hAnsi="Arial" w:cs="Arial"/>
                <w:color w:val="000000"/>
                <w:sz w:val="16"/>
              </w:rPr>
              <w:t>26</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4F" w14:textId="77777777" w:rsidR="00510CAA" w:rsidRDefault="003A4815">
            <w:pPr>
              <w:jc w:val="center"/>
              <w:rPr>
                <w:rFonts w:ascii="Arial" w:eastAsia="Arial" w:hAnsi="Arial" w:cs="Arial"/>
                <w:color w:val="000000"/>
                <w:sz w:val="16"/>
              </w:rPr>
            </w:pPr>
            <w:r>
              <w:rPr>
                <w:rFonts w:ascii="Arial" w:eastAsia="Arial" w:hAnsi="Arial" w:cs="Arial"/>
                <w:color w:val="000000"/>
                <w:sz w:val="16"/>
              </w:rPr>
              <w:t>NEW YORK</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50"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51" w14:textId="77777777" w:rsidR="00510CAA" w:rsidRDefault="003A4815">
            <w:pPr>
              <w:jc w:val="center"/>
              <w:rPr>
                <w:rFonts w:ascii="Arial" w:eastAsia="Arial" w:hAnsi="Arial" w:cs="Arial"/>
                <w:color w:val="000000"/>
                <w:sz w:val="16"/>
              </w:rPr>
            </w:pPr>
            <w:r>
              <w:rPr>
                <w:rFonts w:ascii="Arial" w:eastAsia="Arial" w:hAnsi="Arial" w:cs="Arial"/>
                <w:color w:val="000000"/>
                <w:sz w:val="16"/>
              </w:rPr>
              <w:t>G</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52" w14:textId="77777777" w:rsidR="00510CAA" w:rsidRDefault="003A4815">
            <w:pPr>
              <w:jc w:val="center"/>
              <w:rPr>
                <w:rFonts w:ascii="Arial" w:eastAsia="Arial" w:hAnsi="Arial" w:cs="Arial"/>
                <w:color w:val="000000"/>
                <w:sz w:val="16"/>
              </w:rPr>
            </w:pPr>
            <w:r>
              <w:rPr>
                <w:rFonts w:ascii="Arial" w:eastAsia="Arial" w:hAnsi="Arial" w:cs="Arial"/>
                <w:color w:val="000000"/>
                <w:sz w:val="16"/>
              </w:rPr>
              <w:t>17,600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53"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54" w14:textId="77777777" w:rsidR="00510CAA" w:rsidRDefault="003A4815">
            <w:pPr>
              <w:jc w:val="cente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55" w14:textId="77777777" w:rsidR="00510CAA" w:rsidRDefault="003A4815">
            <w:pPr>
              <w:jc w:val="center"/>
              <w:rPr>
                <w:rFonts w:ascii="Arial" w:eastAsia="Arial" w:hAnsi="Arial" w:cs="Arial"/>
                <w:color w:val="000000"/>
                <w:sz w:val="16"/>
              </w:rPr>
            </w:pPr>
            <w:r>
              <w:rPr>
                <w:rFonts w:ascii="Arial" w:eastAsia="Arial" w:hAnsi="Arial" w:cs="Arial"/>
                <w:color w:val="000000"/>
                <w:sz w:val="16"/>
              </w:rPr>
              <w:t>11-Jan-25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56" w14:textId="77777777" w:rsidR="00510CAA" w:rsidRDefault="003A4815">
            <w:pPr>
              <w:jc w:val="center"/>
              <w:rPr>
                <w:rFonts w:ascii="Arial" w:eastAsia="Arial" w:hAnsi="Arial" w:cs="Arial"/>
                <w:color w:val="000000"/>
                <w:sz w:val="16"/>
              </w:rPr>
            </w:pPr>
            <w:r>
              <w:rPr>
                <w:rFonts w:ascii="Arial" w:eastAsia="Arial" w:hAnsi="Arial" w:cs="Arial"/>
                <w:color w:val="000000"/>
                <w:sz w:val="16"/>
              </w:rPr>
              <w:t>20/Mar/2026 - 13/May/2026</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57" w14:textId="77777777" w:rsidR="00510CAA" w:rsidRDefault="003A4815">
            <w:pPr>
              <w:jc w:val="center"/>
              <w:rPr>
                <w:rFonts w:ascii="Arial" w:eastAsia="Arial" w:hAnsi="Arial" w:cs="Arial"/>
                <w:color w:val="000000"/>
                <w:sz w:val="16"/>
              </w:rPr>
            </w:pPr>
            <w:r>
              <w:rPr>
                <w:rFonts w:ascii="Arial" w:eastAsia="Arial" w:hAnsi="Arial" w:cs="Arial"/>
                <w:color w:val="000000"/>
                <w:sz w:val="16"/>
              </w:rPr>
              <w:t>1,13</w:t>
            </w:r>
          </w:p>
        </w:tc>
      </w:tr>
      <w:tr w:rsidR="00510CAA" w14:paraId="71F3E36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359"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5A" w14:textId="77777777" w:rsidR="00510CAA" w:rsidRDefault="003A4815">
            <w:pPr>
              <w:jc w:val="center"/>
              <w:rPr>
                <w:rFonts w:ascii="Arial" w:eastAsia="Arial" w:hAnsi="Arial" w:cs="Arial"/>
                <w:color w:val="000000"/>
                <w:sz w:val="16"/>
              </w:rPr>
            </w:pPr>
            <w:r>
              <w:rPr>
                <w:rFonts w:ascii="Arial" w:eastAsia="Arial" w:hAnsi="Arial" w:cs="Arial"/>
                <w:color w:val="000000"/>
                <w:sz w:val="16"/>
              </w:rPr>
              <w:t>2010 177,773</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5B"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5C"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5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5E"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5F"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60"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61"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62" w14:textId="77777777" w:rsidR="00510CAA" w:rsidRDefault="00510CAA">
            <w:pPr>
              <w:jc w:val="center"/>
              <w:rPr>
                <w:rFonts w:ascii="Arial" w:eastAsia="Arial" w:hAnsi="Arial" w:cs="Arial"/>
                <w:color w:val="000000"/>
                <w:sz w:val="16"/>
              </w:rPr>
            </w:pPr>
          </w:p>
        </w:tc>
      </w:tr>
      <w:tr w:rsidR="00510CAA" w14:paraId="71F3E3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64" w14:textId="77777777" w:rsidR="00510CAA" w:rsidRDefault="003A4815">
            <w:pPr>
              <w:jc w:val="center"/>
              <w:rPr>
                <w:rFonts w:ascii="Arial" w:eastAsia="Arial" w:hAnsi="Arial" w:cs="Arial"/>
                <w:color w:val="000000"/>
                <w:sz w:val="16"/>
              </w:rPr>
            </w:pPr>
            <w:r>
              <w:rPr>
                <w:rFonts w:ascii="Arial" w:eastAsia="Arial" w:hAnsi="Arial" w:cs="Arial"/>
                <w:color w:val="000000"/>
                <w:sz w:val="16"/>
              </w:rPr>
              <w:t>27</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65" w14:textId="77777777" w:rsidR="00510CAA" w:rsidRDefault="003A4815">
            <w:pPr>
              <w:jc w:val="center"/>
              <w:rPr>
                <w:rFonts w:ascii="Arial" w:eastAsia="Arial" w:hAnsi="Arial" w:cs="Arial"/>
                <w:color w:val="000000"/>
                <w:sz w:val="16"/>
              </w:rPr>
            </w:pPr>
            <w:r>
              <w:rPr>
                <w:rFonts w:ascii="Arial" w:eastAsia="Arial" w:hAnsi="Arial" w:cs="Arial"/>
                <w:color w:val="000000"/>
                <w:sz w:val="16"/>
              </w:rPr>
              <w:t>SEATTLE</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66"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67" w14:textId="77777777" w:rsidR="00510CAA" w:rsidRDefault="003A4815">
            <w:pPr>
              <w:jc w:val="center"/>
              <w:rPr>
                <w:rFonts w:ascii="Arial" w:eastAsia="Arial" w:hAnsi="Arial" w:cs="Arial"/>
                <w:color w:val="000000"/>
                <w:sz w:val="16"/>
              </w:rPr>
            </w:pPr>
            <w:r>
              <w:rPr>
                <w:rFonts w:ascii="Arial" w:eastAsia="Arial" w:hAnsi="Arial" w:cs="Arial"/>
                <w:color w:val="000000"/>
                <w:sz w:val="16"/>
              </w:rPr>
              <w:t>H</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68" w14:textId="77777777" w:rsidR="00510CAA" w:rsidRDefault="003A4815">
            <w:pPr>
              <w:jc w:val="center"/>
              <w:rPr>
                <w:rFonts w:ascii="Arial" w:eastAsia="Arial" w:hAnsi="Arial" w:cs="Arial"/>
                <w:color w:val="000000"/>
                <w:sz w:val="16"/>
              </w:rPr>
            </w:pPr>
            <w:r>
              <w:rPr>
                <w:rFonts w:ascii="Arial" w:eastAsia="Arial" w:hAnsi="Arial" w:cs="Arial"/>
                <w:color w:val="000000"/>
                <w:sz w:val="16"/>
              </w:rPr>
              <w:t>24,500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69"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6A" w14:textId="77777777" w:rsidR="00510CAA" w:rsidRDefault="003A4815">
            <w:pPr>
              <w:jc w:val="cente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dotted" w:sz="2" w:space="0" w:color="000000"/>
              <w:left w:val="nil"/>
              <w:bottom w:val="nil"/>
              <w:right w:val="nil"/>
              <w:tl2br w:val="nil"/>
              <w:tr2bl w:val="nil"/>
            </w:tcBorders>
            <w:tcMar>
              <w:left w:w="40" w:type="dxa"/>
              <w:right w:w="40" w:type="dxa"/>
            </w:tcMar>
          </w:tcPr>
          <w:p w14:paraId="71F3E36B" w14:textId="77777777" w:rsidR="00510CAA" w:rsidRDefault="003A4815">
            <w:pPr>
              <w:jc w:val="center"/>
              <w:rPr>
                <w:rFonts w:ascii="Arial" w:eastAsia="Arial" w:hAnsi="Arial" w:cs="Arial"/>
                <w:color w:val="000000"/>
                <w:sz w:val="16"/>
              </w:rPr>
            </w:pPr>
            <w:r>
              <w:rPr>
                <w:rFonts w:ascii="Arial" w:eastAsia="Arial" w:hAnsi="Arial" w:cs="Arial"/>
                <w:color w:val="000000"/>
                <w:sz w:val="16"/>
              </w:rPr>
              <w:t>29-Nov-25</w:t>
            </w:r>
          </w:p>
        </w:tc>
        <w:tc>
          <w:tcPr>
            <w:tcW w:w="2100" w:type="dxa"/>
            <w:tcBorders>
              <w:top w:val="dotted" w:sz="2" w:space="0" w:color="000000"/>
              <w:left w:val="nil"/>
              <w:bottom w:val="nil"/>
              <w:right w:val="nil"/>
              <w:tl2br w:val="nil"/>
              <w:tr2bl w:val="nil"/>
            </w:tcBorders>
            <w:tcMar>
              <w:left w:w="40" w:type="dxa"/>
              <w:right w:w="40" w:type="dxa"/>
            </w:tcMar>
          </w:tcPr>
          <w:p w14:paraId="71F3E36C" w14:textId="77777777" w:rsidR="00510CAA" w:rsidRDefault="003A4815">
            <w:pPr>
              <w:jc w:val="center"/>
              <w:rPr>
                <w:rFonts w:ascii="Arial" w:eastAsia="Arial" w:hAnsi="Arial" w:cs="Arial"/>
                <w:color w:val="000000"/>
                <w:sz w:val="16"/>
              </w:rPr>
            </w:pPr>
            <w:r>
              <w:rPr>
                <w:rFonts w:ascii="Arial" w:eastAsia="Arial" w:hAnsi="Arial" w:cs="Arial"/>
                <w:color w:val="000000"/>
                <w:sz w:val="16"/>
              </w:rPr>
              <w:t>1/May/2027 - 30/Jun/2027</w:t>
            </w:r>
          </w:p>
        </w:tc>
        <w:tc>
          <w:tcPr>
            <w:tcW w:w="660" w:type="dxa"/>
            <w:tcBorders>
              <w:top w:val="dotted" w:sz="2" w:space="0" w:color="000000"/>
              <w:left w:val="nil"/>
              <w:bottom w:val="nil"/>
              <w:right w:val="nil"/>
              <w:tl2br w:val="nil"/>
              <w:tr2bl w:val="nil"/>
            </w:tcBorders>
            <w:noWrap/>
            <w:tcMar>
              <w:left w:w="0" w:type="dxa"/>
              <w:right w:w="0" w:type="dxa"/>
            </w:tcMar>
          </w:tcPr>
          <w:p w14:paraId="71F3E36D" w14:textId="77777777" w:rsidR="00510CAA" w:rsidRDefault="00510CAA">
            <w:pPr>
              <w:jc w:val="center"/>
              <w:rPr>
                <w:rFonts w:ascii="Arial" w:eastAsia="Arial" w:hAnsi="Arial" w:cs="Arial"/>
                <w:color w:val="000000"/>
                <w:sz w:val="16"/>
              </w:rPr>
            </w:pPr>
          </w:p>
        </w:tc>
      </w:tr>
      <w:tr w:rsidR="00510CAA" w14:paraId="71F3E37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36F"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70" w14:textId="77777777" w:rsidR="00510CAA" w:rsidRDefault="003A4815">
            <w:pPr>
              <w:jc w:val="center"/>
              <w:rPr>
                <w:rFonts w:ascii="Arial" w:eastAsia="Arial" w:hAnsi="Arial" w:cs="Arial"/>
                <w:color w:val="000000"/>
                <w:sz w:val="16"/>
              </w:rPr>
            </w:pPr>
            <w:r>
              <w:rPr>
                <w:rFonts w:ascii="Arial" w:eastAsia="Arial" w:hAnsi="Arial" w:cs="Arial"/>
                <w:color w:val="000000"/>
                <w:sz w:val="16"/>
              </w:rPr>
              <w:t>2011 179,362</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71"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72"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7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74"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75"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76"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noWrap/>
            <w:tcMar>
              <w:left w:w="0" w:type="dxa"/>
              <w:right w:w="0" w:type="dxa"/>
            </w:tcMar>
            <w:vAlign w:val="center"/>
          </w:tcPr>
          <w:p w14:paraId="71F3E377" w14:textId="77777777" w:rsidR="00510CAA" w:rsidRDefault="00510CAA">
            <w:pP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78" w14:textId="77777777" w:rsidR="00510CAA" w:rsidRDefault="00510CAA">
            <w:pPr>
              <w:rPr>
                <w:rFonts w:ascii="Arial" w:eastAsia="Arial" w:hAnsi="Arial" w:cs="Arial"/>
                <w:color w:val="000000"/>
                <w:sz w:val="16"/>
              </w:rPr>
            </w:pPr>
          </w:p>
        </w:tc>
      </w:tr>
      <w:tr w:rsidR="00510CAA" w14:paraId="71F3E38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7A" w14:textId="77777777" w:rsidR="00510CAA" w:rsidRDefault="003A4815">
            <w:pPr>
              <w:jc w:val="center"/>
              <w:rPr>
                <w:rFonts w:ascii="Arial" w:eastAsia="Arial" w:hAnsi="Arial" w:cs="Arial"/>
                <w:color w:val="000000"/>
                <w:sz w:val="16"/>
              </w:rPr>
            </w:pPr>
            <w:r>
              <w:rPr>
                <w:rFonts w:ascii="Arial" w:eastAsia="Arial" w:hAnsi="Arial" w:cs="Arial"/>
                <w:color w:val="000000"/>
                <w:sz w:val="16"/>
              </w:rPr>
              <w:t>28</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7B" w14:textId="77777777" w:rsidR="00510CAA" w:rsidRDefault="003A4815">
            <w:pPr>
              <w:jc w:val="center"/>
              <w:rPr>
                <w:rFonts w:ascii="Arial" w:eastAsia="Arial" w:hAnsi="Arial" w:cs="Arial"/>
                <w:color w:val="000000"/>
                <w:sz w:val="16"/>
              </w:rPr>
            </w:pPr>
            <w:r>
              <w:rPr>
                <w:rFonts w:ascii="Arial" w:eastAsia="Arial" w:hAnsi="Arial" w:cs="Arial"/>
                <w:color w:val="000000"/>
                <w:sz w:val="16"/>
              </w:rPr>
              <w:t>P. S. PALIOS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7C"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7D" w14:textId="77777777" w:rsidR="00510CAA" w:rsidRDefault="003A4815">
            <w:pPr>
              <w:jc w:val="center"/>
              <w:rPr>
                <w:rFonts w:ascii="Arial" w:eastAsia="Arial" w:hAnsi="Arial" w:cs="Arial"/>
                <w:color w:val="000000"/>
                <w:sz w:val="16"/>
              </w:rPr>
            </w:pPr>
            <w:r>
              <w:rPr>
                <w:rFonts w:ascii="Arial" w:eastAsia="Arial" w:hAnsi="Arial" w:cs="Arial"/>
                <w:color w:val="000000"/>
                <w:sz w:val="16"/>
              </w:rPr>
              <w:t>H</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7E" w14:textId="77777777" w:rsidR="00510CAA" w:rsidRDefault="003A4815">
            <w:pPr>
              <w:jc w:val="center"/>
              <w:rPr>
                <w:rFonts w:ascii="Arial" w:eastAsia="Arial" w:hAnsi="Arial" w:cs="Arial"/>
                <w:color w:val="000000"/>
                <w:sz w:val="16"/>
              </w:rPr>
            </w:pPr>
            <w:r>
              <w:rPr>
                <w:rFonts w:ascii="Arial" w:eastAsia="Arial" w:hAnsi="Arial" w:cs="Arial"/>
                <w:color w:val="000000"/>
                <w:sz w:val="16"/>
              </w:rPr>
              <w:t>25,200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7F"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80" w14:textId="77777777" w:rsidR="00510CAA" w:rsidRDefault="003A4815">
            <w:pPr>
              <w:jc w:val="center"/>
              <w:rPr>
                <w:rFonts w:ascii="Arial" w:eastAsia="Arial" w:hAnsi="Arial" w:cs="Arial"/>
                <w:color w:val="000000"/>
                <w:sz w:val="16"/>
              </w:rPr>
            </w:pPr>
            <w:r>
              <w:rPr>
                <w:rFonts w:ascii="Arial" w:eastAsia="Arial" w:hAnsi="Arial" w:cs="Arial"/>
                <w:color w:val="000000"/>
                <w:sz w:val="16"/>
              </w:rPr>
              <w:t>Glencore Freight Pte. Ltd.</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81" w14:textId="77777777" w:rsidR="00510CAA" w:rsidRDefault="003A4815">
            <w:pPr>
              <w:jc w:val="center"/>
              <w:rPr>
                <w:rFonts w:ascii="Arial" w:eastAsia="Arial" w:hAnsi="Arial" w:cs="Arial"/>
                <w:color w:val="000000"/>
                <w:sz w:val="16"/>
              </w:rPr>
            </w:pPr>
            <w:r>
              <w:rPr>
                <w:rFonts w:ascii="Arial" w:eastAsia="Arial" w:hAnsi="Arial" w:cs="Arial"/>
                <w:color w:val="000000"/>
                <w:sz w:val="16"/>
              </w:rPr>
              <w:t>15-Dec-25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82" w14:textId="77777777" w:rsidR="00510CAA" w:rsidRDefault="003A4815">
            <w:pPr>
              <w:jc w:val="center"/>
              <w:rPr>
                <w:rFonts w:ascii="Arial" w:eastAsia="Arial" w:hAnsi="Arial" w:cs="Arial"/>
                <w:color w:val="000000"/>
                <w:sz w:val="16"/>
              </w:rPr>
            </w:pPr>
            <w:r>
              <w:rPr>
                <w:rFonts w:ascii="Arial" w:eastAsia="Arial" w:hAnsi="Arial" w:cs="Arial"/>
                <w:color w:val="000000"/>
                <w:sz w:val="16"/>
              </w:rPr>
              <w:t>15/Nov/2026 - 15/Jan/2027</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383" w14:textId="77777777" w:rsidR="00510CAA" w:rsidRDefault="00510CAA">
            <w:pPr>
              <w:jc w:val="center"/>
              <w:rPr>
                <w:rFonts w:ascii="Arial" w:eastAsia="Arial" w:hAnsi="Arial" w:cs="Arial"/>
                <w:color w:val="000000"/>
                <w:sz w:val="16"/>
              </w:rPr>
            </w:pPr>
          </w:p>
        </w:tc>
      </w:tr>
      <w:tr w:rsidR="00510CAA" w14:paraId="71F3E38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38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8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2013 179,134</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8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88"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8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8A"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8B"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8C"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8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8E" w14:textId="77777777" w:rsidR="00510CAA" w:rsidRDefault="00510CAA">
            <w:pPr>
              <w:rPr>
                <w:rFonts w:ascii="Arial" w:eastAsia="Arial" w:hAnsi="Arial" w:cs="Arial"/>
                <w:color w:val="000000"/>
                <w:sz w:val="16"/>
              </w:rPr>
            </w:pPr>
          </w:p>
        </w:tc>
      </w:tr>
      <w:tr w:rsidR="00510CAA" w14:paraId="71F3E39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90" w14:textId="77777777" w:rsidR="00510CAA" w:rsidRDefault="003A4815">
            <w:pPr>
              <w:jc w:val="center"/>
              <w:rPr>
                <w:rFonts w:ascii="Arial" w:eastAsia="Arial" w:hAnsi="Arial" w:cs="Arial"/>
                <w:color w:val="000000"/>
                <w:sz w:val="16"/>
              </w:rPr>
            </w:pPr>
            <w:r>
              <w:rPr>
                <w:rFonts w:ascii="Arial" w:eastAsia="Arial" w:hAnsi="Arial" w:cs="Arial"/>
                <w:color w:val="000000"/>
                <w:sz w:val="16"/>
              </w:rPr>
              <w:t>29</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91" w14:textId="77777777" w:rsidR="00510CAA" w:rsidRDefault="003A4815">
            <w:pPr>
              <w:jc w:val="center"/>
              <w:rPr>
                <w:rFonts w:ascii="Arial" w:eastAsia="Arial" w:hAnsi="Arial" w:cs="Arial"/>
                <w:color w:val="000000"/>
                <w:sz w:val="16"/>
              </w:rPr>
            </w:pPr>
            <w:r>
              <w:rPr>
                <w:rFonts w:ascii="Arial" w:eastAsia="Arial" w:hAnsi="Arial" w:cs="Arial"/>
                <w:color w:val="000000"/>
                <w:sz w:val="16"/>
              </w:rPr>
              <w:t>G. P. ZAFIRAKIS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9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93" w14:textId="77777777" w:rsidR="00510CAA" w:rsidRDefault="003A4815">
            <w:pPr>
              <w:jc w:val="center"/>
              <w:rPr>
                <w:rFonts w:ascii="Arial" w:eastAsia="Arial" w:hAnsi="Arial" w:cs="Arial"/>
                <w:color w:val="000000"/>
                <w:sz w:val="16"/>
              </w:rPr>
            </w:pPr>
            <w:r>
              <w:rPr>
                <w:rFonts w:ascii="Arial" w:eastAsia="Arial" w:hAnsi="Arial" w:cs="Arial"/>
                <w:color w:val="000000"/>
                <w:sz w:val="16"/>
              </w:rPr>
              <w:t>I</w:t>
            </w:r>
          </w:p>
        </w:tc>
        <w:tc>
          <w:tcPr>
            <w:tcW w:w="1290" w:type="dxa"/>
            <w:tcBorders>
              <w:top w:val="dotted" w:sz="2" w:space="0" w:color="000000"/>
              <w:left w:val="nil"/>
              <w:bottom w:val="nil"/>
              <w:right w:val="nil"/>
              <w:tl2br w:val="nil"/>
              <w:tr2bl w:val="nil"/>
            </w:tcBorders>
            <w:tcMar>
              <w:left w:w="40" w:type="dxa"/>
              <w:right w:w="40" w:type="dxa"/>
            </w:tcMar>
          </w:tcPr>
          <w:p w14:paraId="71F3E394" w14:textId="77777777" w:rsidR="00510CAA" w:rsidRDefault="003A4815">
            <w:pPr>
              <w:jc w:val="center"/>
              <w:rPr>
                <w:rFonts w:ascii="Arial" w:eastAsia="Arial" w:hAnsi="Arial" w:cs="Arial"/>
                <w:color w:val="000000"/>
                <w:sz w:val="16"/>
              </w:rPr>
            </w:pPr>
            <w:r>
              <w:rPr>
                <w:rFonts w:ascii="Arial" w:eastAsia="Arial" w:hAnsi="Arial" w:cs="Arial"/>
                <w:color w:val="000000"/>
                <w:sz w:val="16"/>
              </w:rPr>
              <w:t>26,800</w:t>
            </w:r>
          </w:p>
        </w:tc>
        <w:tc>
          <w:tcPr>
            <w:tcW w:w="660" w:type="dxa"/>
            <w:tcBorders>
              <w:top w:val="dotted" w:sz="2" w:space="0" w:color="000000"/>
              <w:left w:val="nil"/>
              <w:bottom w:val="nil"/>
              <w:right w:val="nil"/>
              <w:tl2br w:val="nil"/>
              <w:tr2bl w:val="nil"/>
            </w:tcBorders>
            <w:noWrap/>
            <w:tcMar>
              <w:left w:w="40" w:type="dxa"/>
              <w:right w:w="40" w:type="dxa"/>
            </w:tcMar>
          </w:tcPr>
          <w:p w14:paraId="71F3E395"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96" w14:textId="77777777" w:rsidR="00510CAA" w:rsidRDefault="003A4815">
            <w:pPr>
              <w:jc w:val="center"/>
              <w:rPr>
                <w:rFonts w:ascii="Arial" w:eastAsia="Arial" w:hAnsi="Arial" w:cs="Arial"/>
                <w:color w:val="000000"/>
                <w:sz w:val="16"/>
              </w:rPr>
            </w:pPr>
            <w:r>
              <w:rPr>
                <w:rFonts w:ascii="Arial" w:eastAsia="Arial" w:hAnsi="Arial" w:cs="Arial"/>
                <w:color w:val="000000"/>
                <w:sz w:val="16"/>
              </w:rPr>
              <w:t>Nippon Yusen Kabushiki Kaisha, Tokyo</w:t>
            </w:r>
          </w:p>
        </w:tc>
        <w:tc>
          <w:tcPr>
            <w:tcW w:w="1410" w:type="dxa"/>
            <w:tcBorders>
              <w:top w:val="dotted" w:sz="2" w:space="0" w:color="000000"/>
              <w:left w:val="nil"/>
              <w:bottom w:val="nil"/>
              <w:right w:val="nil"/>
              <w:tl2br w:val="nil"/>
              <w:tr2bl w:val="nil"/>
            </w:tcBorders>
            <w:noWrap/>
            <w:tcMar>
              <w:left w:w="40" w:type="dxa"/>
              <w:right w:w="40" w:type="dxa"/>
            </w:tcMar>
          </w:tcPr>
          <w:p w14:paraId="71F3E397" w14:textId="77777777" w:rsidR="00510CAA" w:rsidRDefault="003A4815">
            <w:pPr>
              <w:jc w:val="center"/>
              <w:rPr>
                <w:rFonts w:ascii="Arial" w:eastAsia="Arial" w:hAnsi="Arial" w:cs="Arial"/>
                <w:color w:val="000000"/>
                <w:sz w:val="16"/>
              </w:rPr>
            </w:pPr>
            <w:r>
              <w:rPr>
                <w:rFonts w:ascii="Arial" w:eastAsia="Arial" w:hAnsi="Arial" w:cs="Arial"/>
                <w:color w:val="000000"/>
                <w:sz w:val="16"/>
              </w:rPr>
              <w:t>16-Sep-24</w:t>
            </w:r>
          </w:p>
        </w:tc>
        <w:tc>
          <w:tcPr>
            <w:tcW w:w="2100" w:type="dxa"/>
            <w:tcBorders>
              <w:top w:val="dotted" w:sz="2" w:space="0" w:color="000000"/>
              <w:left w:val="nil"/>
              <w:bottom w:val="nil"/>
              <w:right w:val="nil"/>
              <w:tl2br w:val="nil"/>
              <w:tr2bl w:val="nil"/>
            </w:tcBorders>
            <w:noWrap/>
            <w:tcMar>
              <w:left w:w="40" w:type="dxa"/>
              <w:right w:w="40" w:type="dxa"/>
            </w:tcMar>
          </w:tcPr>
          <w:p w14:paraId="71F3E398" w14:textId="77777777" w:rsidR="00510CAA" w:rsidRDefault="003A4815">
            <w:pPr>
              <w:jc w:val="center"/>
              <w:rPr>
                <w:rFonts w:ascii="Arial" w:eastAsia="Arial" w:hAnsi="Arial" w:cs="Arial"/>
                <w:color w:val="000000"/>
                <w:sz w:val="16"/>
              </w:rPr>
            </w:pPr>
            <w:r>
              <w:rPr>
                <w:rFonts w:ascii="Arial" w:eastAsia="Arial" w:hAnsi="Arial" w:cs="Arial"/>
                <w:color w:val="000000"/>
                <w:sz w:val="16"/>
              </w:rPr>
              <w:t>16/Aug/2026 - 16/Nov/2026</w:t>
            </w:r>
          </w:p>
        </w:tc>
        <w:tc>
          <w:tcPr>
            <w:tcW w:w="660" w:type="dxa"/>
            <w:vMerge w:val="restart"/>
            <w:tcBorders>
              <w:top w:val="dotted" w:sz="2" w:space="0" w:color="000000"/>
              <w:left w:val="nil"/>
              <w:bottom w:val="nil"/>
              <w:right w:val="nil"/>
              <w:tl2br w:val="nil"/>
              <w:tr2bl w:val="nil"/>
            </w:tcBorders>
            <w:noWrap/>
            <w:tcMar>
              <w:left w:w="0" w:type="dxa"/>
              <w:right w:w="0" w:type="dxa"/>
            </w:tcMar>
            <w:vAlign w:val="center"/>
          </w:tcPr>
          <w:p w14:paraId="71F3E399" w14:textId="77777777" w:rsidR="00510CAA" w:rsidRDefault="00510CAA">
            <w:pPr>
              <w:jc w:val="center"/>
              <w:rPr>
                <w:rFonts w:ascii="Arial" w:eastAsia="Arial" w:hAnsi="Arial" w:cs="Arial"/>
                <w:color w:val="000000"/>
                <w:sz w:val="16"/>
              </w:rPr>
            </w:pPr>
          </w:p>
        </w:tc>
      </w:tr>
      <w:tr w:rsidR="00510CAA" w14:paraId="71F3E3A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39B"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9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2014 179,492</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9D"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9E"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9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A0"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A1"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A2"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A3" w14:textId="77777777" w:rsidR="00510CAA" w:rsidRDefault="00510CAA">
            <w:pPr>
              <w:jc w:val="center"/>
              <w:rPr>
                <w:rFonts w:ascii="Arial" w:eastAsia="Arial" w:hAnsi="Arial" w:cs="Arial"/>
                <w:color w:val="000000"/>
                <w:sz w:val="16"/>
              </w:rPr>
            </w:pPr>
          </w:p>
        </w:tc>
        <w:tc>
          <w:tcPr>
            <w:tcW w:w="660" w:type="dxa"/>
            <w:vMerge/>
            <w:tcBorders>
              <w:top w:val="nil"/>
              <w:left w:val="nil"/>
              <w:bottom w:val="dotted" w:sz="2" w:space="0" w:color="000000"/>
              <w:right w:val="nil"/>
              <w:tl2br w:val="nil"/>
              <w:tr2bl w:val="nil"/>
            </w:tcBorders>
            <w:noWrap/>
            <w:tcMar>
              <w:left w:w="0" w:type="dxa"/>
              <w:right w:w="0" w:type="dxa"/>
            </w:tcMar>
            <w:vAlign w:val="center"/>
          </w:tcPr>
          <w:p w14:paraId="71F3E3A4" w14:textId="77777777" w:rsidR="00510CAA" w:rsidRDefault="00510CAA">
            <w:pPr>
              <w:jc w:val="center"/>
              <w:rPr>
                <w:rFonts w:ascii="Arial" w:eastAsia="Arial" w:hAnsi="Arial" w:cs="Arial"/>
                <w:color w:val="000000"/>
                <w:sz w:val="16"/>
              </w:rPr>
            </w:pPr>
          </w:p>
        </w:tc>
      </w:tr>
      <w:tr w:rsidR="00510CAA" w14:paraId="71F3E3B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A6" w14:textId="77777777" w:rsidR="00510CAA" w:rsidRDefault="003A4815">
            <w:pPr>
              <w:jc w:val="center"/>
              <w:rPr>
                <w:rFonts w:ascii="Arial" w:eastAsia="Arial" w:hAnsi="Arial" w:cs="Arial"/>
                <w:color w:val="000000"/>
                <w:sz w:val="16"/>
              </w:rPr>
            </w:pPr>
            <w:r>
              <w:rPr>
                <w:rFonts w:ascii="Arial" w:eastAsia="Arial" w:hAnsi="Arial" w:cs="Arial"/>
                <w:color w:val="000000"/>
                <w:sz w:val="16"/>
              </w:rPr>
              <w:t>30</w:t>
            </w:r>
          </w:p>
        </w:tc>
        <w:tc>
          <w:tcPr>
            <w:tcW w:w="1425" w:type="dxa"/>
            <w:tcBorders>
              <w:top w:val="dotted" w:sz="2" w:space="0" w:color="000000"/>
              <w:left w:val="nil"/>
              <w:bottom w:val="nil"/>
              <w:right w:val="nil"/>
              <w:tl2br w:val="nil"/>
              <w:tr2bl w:val="nil"/>
            </w:tcBorders>
            <w:noWrap/>
            <w:tcMar>
              <w:left w:w="40" w:type="dxa"/>
              <w:right w:w="40" w:type="dxa"/>
            </w:tcMar>
            <w:vAlign w:val="center"/>
          </w:tcPr>
          <w:p w14:paraId="71F3E3A7" w14:textId="77777777" w:rsidR="00510CAA" w:rsidRDefault="003A4815">
            <w:pPr>
              <w:jc w:val="center"/>
              <w:rPr>
                <w:rFonts w:ascii="Arial" w:eastAsia="Arial" w:hAnsi="Arial" w:cs="Arial"/>
                <w:color w:val="000000"/>
                <w:sz w:val="16"/>
              </w:rPr>
            </w:pPr>
            <w:r>
              <w:rPr>
                <w:rFonts w:ascii="Arial" w:eastAsia="Arial" w:hAnsi="Arial" w:cs="Arial"/>
                <w:color w:val="000000"/>
                <w:sz w:val="16"/>
              </w:rPr>
              <w:t>SANTA BARBARA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A8"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3A9" w14:textId="77777777" w:rsidR="00510CAA" w:rsidRDefault="003A4815">
            <w:pPr>
              <w:jc w:val="center"/>
              <w:rPr>
                <w:rFonts w:ascii="Arial" w:eastAsia="Arial" w:hAnsi="Arial" w:cs="Arial"/>
                <w:color w:val="000000"/>
                <w:sz w:val="16"/>
              </w:rPr>
            </w:pPr>
            <w:r>
              <w:rPr>
                <w:rFonts w:ascii="Arial" w:eastAsia="Arial" w:hAnsi="Arial" w:cs="Arial"/>
                <w:color w:val="000000"/>
                <w:sz w:val="16"/>
              </w:rPr>
              <w:t>I</w:t>
            </w:r>
          </w:p>
        </w:tc>
        <w:tc>
          <w:tcPr>
            <w:tcW w:w="1290" w:type="dxa"/>
            <w:tcBorders>
              <w:top w:val="dotted" w:sz="2" w:space="0" w:color="000000"/>
              <w:left w:val="nil"/>
              <w:bottom w:val="nil"/>
              <w:right w:val="nil"/>
              <w:tl2br w:val="nil"/>
              <w:tr2bl w:val="nil"/>
            </w:tcBorders>
            <w:tcMar>
              <w:left w:w="40" w:type="dxa"/>
              <w:right w:w="40" w:type="dxa"/>
            </w:tcMar>
            <w:vAlign w:val="center"/>
          </w:tcPr>
          <w:p w14:paraId="71F3E3AA" w14:textId="77777777" w:rsidR="00510CAA" w:rsidRDefault="003A4815">
            <w:pPr>
              <w:jc w:val="center"/>
              <w:rPr>
                <w:rFonts w:ascii="Arial" w:eastAsia="Arial" w:hAnsi="Arial" w:cs="Arial"/>
                <w:color w:val="000000"/>
                <w:sz w:val="16"/>
              </w:rPr>
            </w:pPr>
            <w:r>
              <w:rPr>
                <w:rFonts w:ascii="Arial" w:eastAsia="Arial" w:hAnsi="Arial" w:cs="Arial"/>
                <w:color w:val="000000"/>
                <w:sz w:val="16"/>
              </w:rPr>
              <w:t>25,500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AB"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AC" w14:textId="77777777" w:rsidR="00510CAA" w:rsidRDefault="003A4815">
            <w:pPr>
              <w:jc w:val="center"/>
              <w:rPr>
                <w:rFonts w:ascii="Arial" w:eastAsia="Arial" w:hAnsi="Arial" w:cs="Arial"/>
                <w:color w:val="000000"/>
                <w:sz w:val="16"/>
              </w:rPr>
            </w:pPr>
            <w:r>
              <w:rPr>
                <w:rFonts w:ascii="Arial" w:eastAsia="Arial" w:hAnsi="Arial" w:cs="Arial"/>
                <w:color w:val="000000"/>
                <w:sz w:val="16"/>
              </w:rPr>
              <w:t>Dampskibsselskabet Norden A/S</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AD" w14:textId="77777777" w:rsidR="00510CAA" w:rsidRDefault="003A4815">
            <w:pPr>
              <w:jc w:val="center"/>
              <w:rPr>
                <w:rFonts w:ascii="Arial" w:eastAsia="Arial" w:hAnsi="Arial" w:cs="Arial"/>
                <w:color w:val="000000"/>
                <w:sz w:val="16"/>
              </w:rPr>
            </w:pPr>
            <w:r>
              <w:rPr>
                <w:rFonts w:ascii="Arial" w:eastAsia="Arial" w:hAnsi="Arial" w:cs="Arial"/>
                <w:color w:val="000000"/>
                <w:sz w:val="16"/>
              </w:rPr>
              <w:t>27-Nov-25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AE" w14:textId="77777777" w:rsidR="00510CAA" w:rsidRDefault="003A4815">
            <w:pPr>
              <w:jc w:val="center"/>
              <w:rPr>
                <w:rFonts w:ascii="Arial" w:eastAsia="Arial" w:hAnsi="Arial" w:cs="Arial"/>
                <w:color w:val="000000"/>
                <w:sz w:val="16"/>
              </w:rPr>
            </w:pPr>
            <w:r>
              <w:rPr>
                <w:rFonts w:ascii="Arial" w:eastAsia="Arial" w:hAnsi="Arial" w:cs="Arial"/>
                <w:color w:val="000000"/>
                <w:sz w:val="16"/>
              </w:rPr>
              <w:t>1/Mar/2027 - 30/Apr/2027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AF" w14:textId="77777777" w:rsidR="00510CAA" w:rsidRDefault="003A4815">
            <w:pPr>
              <w:jc w:val="center"/>
              <w:rPr>
                <w:rFonts w:ascii="Arial" w:eastAsia="Arial" w:hAnsi="Arial" w:cs="Arial"/>
                <w:color w:val="000000"/>
                <w:sz w:val="16"/>
              </w:rPr>
            </w:pPr>
            <w:r>
              <w:rPr>
                <w:rFonts w:ascii="Arial" w:eastAsia="Arial" w:hAnsi="Arial" w:cs="Arial"/>
                <w:color w:val="000000"/>
                <w:sz w:val="16"/>
              </w:rPr>
              <w:t>14</w:t>
            </w:r>
          </w:p>
        </w:tc>
      </w:tr>
      <w:tr w:rsidR="00510CAA" w14:paraId="71F3E3B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3B1"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B2" w14:textId="77777777" w:rsidR="00510CAA" w:rsidRDefault="003A4815">
            <w:pPr>
              <w:jc w:val="center"/>
              <w:rPr>
                <w:rFonts w:ascii="Arial" w:eastAsia="Arial" w:hAnsi="Arial" w:cs="Arial"/>
                <w:color w:val="000000"/>
                <w:sz w:val="16"/>
              </w:rPr>
            </w:pPr>
            <w:r>
              <w:rPr>
                <w:rFonts w:ascii="Arial" w:eastAsia="Arial" w:hAnsi="Arial" w:cs="Arial"/>
                <w:color w:val="000000"/>
                <w:sz w:val="16"/>
              </w:rPr>
              <w:t>2015 179,426</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B3"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B4"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B5"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B6"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B7"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B8"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B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BA" w14:textId="77777777" w:rsidR="00510CAA" w:rsidRDefault="00510CAA">
            <w:pPr>
              <w:jc w:val="center"/>
              <w:rPr>
                <w:rFonts w:ascii="Arial" w:eastAsia="Arial" w:hAnsi="Arial" w:cs="Arial"/>
                <w:color w:val="000000"/>
                <w:sz w:val="16"/>
              </w:rPr>
            </w:pPr>
          </w:p>
        </w:tc>
      </w:tr>
      <w:tr w:rsidR="00510CAA" w14:paraId="71F3E3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BC" w14:textId="77777777" w:rsidR="00510CAA" w:rsidRDefault="003A4815">
            <w:pPr>
              <w:jc w:val="center"/>
              <w:rPr>
                <w:rFonts w:ascii="Arial" w:eastAsia="Arial" w:hAnsi="Arial" w:cs="Arial"/>
                <w:color w:val="000000"/>
                <w:sz w:val="16"/>
              </w:rPr>
            </w:pPr>
            <w:r>
              <w:rPr>
                <w:rFonts w:ascii="Arial" w:eastAsia="Arial" w:hAnsi="Arial" w:cs="Arial"/>
                <w:color w:val="000000"/>
                <w:sz w:val="16"/>
              </w:rPr>
              <w:t>31</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BD" w14:textId="77777777" w:rsidR="00510CAA" w:rsidRDefault="003A4815">
            <w:pPr>
              <w:jc w:val="center"/>
              <w:rPr>
                <w:rFonts w:ascii="Arial" w:eastAsia="Arial" w:hAnsi="Arial" w:cs="Arial"/>
                <w:color w:val="000000"/>
                <w:sz w:val="16"/>
              </w:rPr>
            </w:pPr>
            <w:r>
              <w:rPr>
                <w:rFonts w:ascii="Arial" w:eastAsia="Arial" w:hAnsi="Arial" w:cs="Arial"/>
                <w:color w:val="000000"/>
                <w:sz w:val="16"/>
              </w:rPr>
              <w:t>NEW ORLEANS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BE"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0" w:type="dxa"/>
              <w:right w:w="0" w:type="dxa"/>
            </w:tcMar>
            <w:vAlign w:val="center"/>
          </w:tcPr>
          <w:p w14:paraId="71F3E3BF" w14:textId="77777777" w:rsidR="00510CAA" w:rsidRDefault="00510CAA">
            <w:pPr>
              <w:jc w:val="cente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3C0" w14:textId="77777777" w:rsidR="00510CAA" w:rsidRDefault="003A4815">
            <w:pPr>
              <w:jc w:val="center"/>
              <w:rPr>
                <w:rFonts w:ascii="Arial" w:eastAsia="Arial" w:hAnsi="Arial" w:cs="Arial"/>
                <w:color w:val="000000"/>
                <w:sz w:val="16"/>
              </w:rPr>
            </w:pPr>
            <w:r>
              <w:rPr>
                <w:rFonts w:ascii="Arial" w:eastAsia="Arial" w:hAnsi="Arial" w:cs="Arial"/>
                <w:color w:val="000000"/>
                <w:sz w:val="16"/>
              </w:rPr>
              <w:t>26,000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C1"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C2" w14:textId="77777777" w:rsidR="00510CAA" w:rsidRDefault="003A4815">
            <w:pPr>
              <w:jc w:val="cente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C3" w14:textId="77777777" w:rsidR="00510CAA" w:rsidRDefault="003A4815">
            <w:pPr>
              <w:jc w:val="center"/>
              <w:rPr>
                <w:rFonts w:ascii="Arial" w:eastAsia="Arial" w:hAnsi="Arial" w:cs="Arial"/>
                <w:color w:val="000000"/>
                <w:sz w:val="16"/>
              </w:rPr>
            </w:pPr>
            <w:r>
              <w:rPr>
                <w:rFonts w:ascii="Arial" w:eastAsia="Arial" w:hAnsi="Arial" w:cs="Arial"/>
                <w:color w:val="000000"/>
                <w:sz w:val="16"/>
              </w:rPr>
              <w:t>31-Oct-25</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C4" w14:textId="77777777" w:rsidR="00510CAA" w:rsidRDefault="003A4815">
            <w:pPr>
              <w:jc w:val="center"/>
              <w:rPr>
                <w:rFonts w:ascii="Arial" w:eastAsia="Arial" w:hAnsi="Arial" w:cs="Arial"/>
                <w:color w:val="000000"/>
                <w:sz w:val="16"/>
              </w:rPr>
            </w:pPr>
            <w:r>
              <w:rPr>
                <w:rFonts w:ascii="Arial" w:eastAsia="Arial" w:hAnsi="Arial" w:cs="Arial"/>
                <w:color w:val="000000"/>
                <w:sz w:val="16"/>
              </w:rPr>
              <w:t>1/Dec/2026 - 15/Feb/2027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C5" w14:textId="77777777" w:rsidR="00510CAA" w:rsidRDefault="003A4815">
            <w:pPr>
              <w:jc w:val="center"/>
              <w:rPr>
                <w:rFonts w:ascii="Arial" w:eastAsia="Arial" w:hAnsi="Arial" w:cs="Arial"/>
                <w:color w:val="000000"/>
                <w:sz w:val="16"/>
              </w:rPr>
            </w:pPr>
            <w:r>
              <w:rPr>
                <w:rFonts w:ascii="Arial" w:eastAsia="Arial" w:hAnsi="Arial" w:cs="Arial"/>
                <w:color w:val="000000"/>
                <w:sz w:val="16"/>
              </w:rPr>
              <w:t>14,15</w:t>
            </w:r>
          </w:p>
        </w:tc>
      </w:tr>
      <w:tr w:rsidR="00510CAA" w14:paraId="71F3E3D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3C7"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C8" w14:textId="77777777" w:rsidR="00510CAA" w:rsidRDefault="003A4815">
            <w:pPr>
              <w:jc w:val="center"/>
              <w:rPr>
                <w:rFonts w:ascii="Arial" w:eastAsia="Arial" w:hAnsi="Arial" w:cs="Arial"/>
                <w:color w:val="000000"/>
                <w:sz w:val="16"/>
              </w:rPr>
            </w:pPr>
            <w:r>
              <w:rPr>
                <w:rFonts w:ascii="Arial" w:eastAsia="Arial" w:hAnsi="Arial" w:cs="Arial"/>
                <w:color w:val="000000"/>
                <w:sz w:val="16"/>
              </w:rPr>
              <w:t>2015 180,960</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C9"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noWrap/>
            <w:tcMar>
              <w:left w:w="0" w:type="dxa"/>
              <w:right w:w="0" w:type="dxa"/>
            </w:tcMar>
            <w:vAlign w:val="center"/>
          </w:tcPr>
          <w:p w14:paraId="71F3E3CA" w14:textId="77777777" w:rsidR="00510CAA" w:rsidRDefault="00510CAA">
            <w:pP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CB"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CC"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CD"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CE"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C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D0" w14:textId="77777777" w:rsidR="00510CAA" w:rsidRDefault="00510CAA">
            <w:pPr>
              <w:rPr>
                <w:rFonts w:ascii="Arial" w:eastAsia="Arial" w:hAnsi="Arial" w:cs="Arial"/>
                <w:color w:val="000000"/>
                <w:sz w:val="16"/>
              </w:rPr>
            </w:pPr>
          </w:p>
        </w:tc>
      </w:tr>
      <w:tr w:rsidR="00510CAA" w14:paraId="71F3E3D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3D2" w14:textId="77777777" w:rsidR="00510CAA" w:rsidRDefault="003A4815">
            <w:pPr>
              <w:jc w:val="center"/>
              <w:rPr>
                <w:rFonts w:ascii="Arial" w:eastAsia="Arial" w:hAnsi="Arial" w:cs="Arial"/>
                <w:color w:val="000000"/>
                <w:sz w:val="16"/>
              </w:rPr>
            </w:pPr>
            <w:r>
              <w:rPr>
                <w:rFonts w:ascii="Arial" w:eastAsia="Arial" w:hAnsi="Arial" w:cs="Arial"/>
                <w:color w:val="000000"/>
                <w:sz w:val="16"/>
              </w:rPr>
              <w:t>32</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3D3" w14:textId="77777777" w:rsidR="00510CAA" w:rsidRDefault="003A4815">
            <w:pPr>
              <w:jc w:val="center"/>
              <w:rPr>
                <w:rFonts w:ascii="Arial" w:eastAsia="Arial" w:hAnsi="Arial" w:cs="Arial"/>
                <w:color w:val="000000"/>
                <w:sz w:val="16"/>
              </w:rPr>
            </w:pPr>
            <w:r>
              <w:rPr>
                <w:rFonts w:ascii="Arial" w:eastAsia="Arial" w:hAnsi="Arial" w:cs="Arial"/>
                <w:color w:val="000000"/>
                <w:sz w:val="16"/>
              </w:rPr>
              <w:t>FLORIDA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3D4"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noWrap/>
            <w:tcMar>
              <w:left w:w="0" w:type="dxa"/>
              <w:right w:w="0" w:type="dxa"/>
            </w:tcMar>
            <w:vAlign w:val="center"/>
          </w:tcPr>
          <w:p w14:paraId="71F3E3D5" w14:textId="77777777" w:rsidR="00510CAA" w:rsidRDefault="00510CAA">
            <w:pP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tcMar>
              <w:left w:w="40" w:type="dxa"/>
              <w:right w:w="40" w:type="dxa"/>
            </w:tcMar>
            <w:vAlign w:val="center"/>
          </w:tcPr>
          <w:p w14:paraId="71F3E3D6" w14:textId="77777777" w:rsidR="00510CAA" w:rsidRDefault="003A4815">
            <w:pPr>
              <w:jc w:val="center"/>
              <w:rPr>
                <w:rFonts w:ascii="Arial" w:eastAsia="Arial" w:hAnsi="Arial" w:cs="Arial"/>
                <w:color w:val="000000"/>
                <w:sz w:val="16"/>
              </w:rPr>
            </w:pPr>
            <w:r>
              <w:rPr>
                <w:rFonts w:ascii="Arial" w:eastAsia="Arial" w:hAnsi="Arial" w:cs="Arial"/>
                <w:color w:val="000000"/>
                <w:sz w:val="16"/>
              </w:rPr>
              <w:t>25,900</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D7"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3D8" w14:textId="77777777" w:rsidR="00510CAA" w:rsidRDefault="003A4815">
            <w:pPr>
              <w:jc w:val="center"/>
              <w:rPr>
                <w:rFonts w:ascii="Arial" w:eastAsia="Arial" w:hAnsi="Arial" w:cs="Arial"/>
                <w:color w:val="000000"/>
                <w:sz w:val="16"/>
              </w:rPr>
            </w:pPr>
            <w:r>
              <w:rPr>
                <w:rFonts w:ascii="Arial" w:eastAsia="Arial" w:hAnsi="Arial" w:cs="Arial"/>
                <w:color w:val="000000"/>
                <w:sz w:val="16"/>
              </w:rPr>
              <w:t>Bunge S.A., Geneva</w:t>
            </w:r>
          </w:p>
        </w:tc>
        <w:tc>
          <w:tcPr>
            <w:tcW w:w="1410" w:type="dxa"/>
            <w:tcBorders>
              <w:top w:val="dotted" w:sz="2" w:space="0" w:color="000000"/>
              <w:left w:val="nil"/>
              <w:bottom w:val="nil"/>
              <w:right w:val="nil"/>
              <w:tl2br w:val="nil"/>
              <w:tr2bl w:val="nil"/>
            </w:tcBorders>
            <w:tcMar>
              <w:left w:w="40" w:type="dxa"/>
              <w:right w:w="40" w:type="dxa"/>
            </w:tcMar>
            <w:vAlign w:val="center"/>
          </w:tcPr>
          <w:p w14:paraId="71F3E3D9" w14:textId="77777777" w:rsidR="00510CAA" w:rsidRDefault="003A4815">
            <w:pPr>
              <w:jc w:val="center"/>
              <w:rPr>
                <w:rFonts w:ascii="Arial" w:eastAsia="Arial" w:hAnsi="Arial" w:cs="Arial"/>
                <w:color w:val="000000"/>
                <w:sz w:val="16"/>
              </w:rPr>
            </w:pPr>
            <w:r>
              <w:rPr>
                <w:rFonts w:ascii="Arial" w:eastAsia="Arial" w:hAnsi="Arial" w:cs="Arial"/>
                <w:color w:val="000000"/>
                <w:sz w:val="16"/>
              </w:rPr>
              <w:t>29-Mar-22</w:t>
            </w:r>
          </w:p>
        </w:tc>
        <w:tc>
          <w:tcPr>
            <w:tcW w:w="2100" w:type="dxa"/>
            <w:tcBorders>
              <w:top w:val="dotted" w:sz="2" w:space="0" w:color="000000"/>
              <w:left w:val="nil"/>
              <w:bottom w:val="nil"/>
              <w:right w:val="nil"/>
              <w:tl2br w:val="nil"/>
              <w:tr2bl w:val="nil"/>
            </w:tcBorders>
            <w:tcMar>
              <w:left w:w="40" w:type="dxa"/>
              <w:right w:w="40" w:type="dxa"/>
            </w:tcMar>
            <w:vAlign w:val="center"/>
          </w:tcPr>
          <w:p w14:paraId="71F3E3DA" w14:textId="77777777" w:rsidR="00510CAA" w:rsidRDefault="003A4815">
            <w:pPr>
              <w:jc w:val="center"/>
              <w:rPr>
                <w:rFonts w:ascii="Arial" w:eastAsia="Arial" w:hAnsi="Arial" w:cs="Arial"/>
                <w:color w:val="000000"/>
                <w:sz w:val="16"/>
              </w:rPr>
            </w:pPr>
            <w:r>
              <w:rPr>
                <w:rFonts w:ascii="Arial" w:eastAsia="Arial" w:hAnsi="Arial" w:cs="Arial"/>
                <w:color w:val="000000"/>
                <w:sz w:val="16"/>
              </w:rPr>
              <w:t>29/Jan/2027 - 29/May/2027</w:t>
            </w:r>
          </w:p>
        </w:tc>
        <w:tc>
          <w:tcPr>
            <w:tcW w:w="660" w:type="dxa"/>
            <w:tcBorders>
              <w:top w:val="dotted" w:sz="2" w:space="0" w:color="000000"/>
              <w:left w:val="nil"/>
              <w:bottom w:val="nil"/>
              <w:right w:val="nil"/>
              <w:tl2br w:val="nil"/>
              <w:tr2bl w:val="nil"/>
            </w:tcBorders>
            <w:noWrap/>
            <w:tcMar>
              <w:left w:w="40" w:type="dxa"/>
              <w:right w:w="40" w:type="dxa"/>
            </w:tcMar>
            <w:vAlign w:val="center"/>
          </w:tcPr>
          <w:p w14:paraId="71F3E3DB" w14:textId="77777777" w:rsidR="00510CAA" w:rsidRDefault="003A4815">
            <w:pPr>
              <w:jc w:val="center"/>
              <w:rPr>
                <w:rFonts w:ascii="Arial" w:eastAsia="Arial" w:hAnsi="Arial" w:cs="Arial"/>
                <w:color w:val="000000"/>
                <w:sz w:val="16"/>
              </w:rPr>
            </w:pPr>
            <w:r>
              <w:rPr>
                <w:rFonts w:ascii="Arial" w:eastAsia="Arial" w:hAnsi="Arial" w:cs="Arial"/>
                <w:color w:val="000000"/>
                <w:sz w:val="16"/>
              </w:rPr>
              <w:t>4</w:t>
            </w:r>
          </w:p>
        </w:tc>
      </w:tr>
      <w:tr w:rsidR="00510CAA" w14:paraId="71F3E3E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single" w:sz="4" w:space="0" w:color="000000"/>
              <w:right w:val="nil"/>
              <w:tl2br w:val="nil"/>
              <w:tr2bl w:val="nil"/>
            </w:tcBorders>
            <w:noWrap/>
            <w:tcMar>
              <w:left w:w="0" w:type="dxa"/>
              <w:right w:w="0" w:type="dxa"/>
            </w:tcMar>
            <w:vAlign w:val="center"/>
          </w:tcPr>
          <w:p w14:paraId="71F3E3DD" w14:textId="77777777" w:rsidR="00510CAA" w:rsidRDefault="00510CAA">
            <w:pPr>
              <w:rPr>
                <w:rFonts w:ascii="Arial" w:eastAsia="Arial" w:hAnsi="Arial" w:cs="Arial"/>
                <w:color w:val="000000"/>
                <w:sz w:val="16"/>
              </w:rPr>
            </w:pPr>
          </w:p>
        </w:tc>
        <w:tc>
          <w:tcPr>
            <w:tcW w:w="1425" w:type="dxa"/>
            <w:tcBorders>
              <w:top w:val="nil"/>
              <w:left w:val="nil"/>
              <w:bottom w:val="single" w:sz="4" w:space="0" w:color="000000"/>
              <w:right w:val="nil"/>
              <w:tl2br w:val="nil"/>
              <w:tr2bl w:val="nil"/>
            </w:tcBorders>
            <w:tcMar>
              <w:left w:w="40" w:type="dxa"/>
              <w:right w:w="40" w:type="dxa"/>
            </w:tcMar>
            <w:vAlign w:val="center"/>
          </w:tcPr>
          <w:p w14:paraId="71F3E3DE" w14:textId="77777777" w:rsidR="00510CAA" w:rsidRDefault="003A4815">
            <w:pPr>
              <w:jc w:val="center"/>
              <w:rPr>
                <w:rFonts w:ascii="Arial" w:eastAsia="Arial" w:hAnsi="Arial" w:cs="Arial"/>
                <w:color w:val="000000"/>
                <w:sz w:val="16"/>
              </w:rPr>
            </w:pPr>
            <w:r>
              <w:rPr>
                <w:rFonts w:ascii="Arial" w:eastAsia="Arial" w:hAnsi="Arial" w:cs="Arial"/>
                <w:color w:val="000000"/>
                <w:sz w:val="16"/>
              </w:rPr>
              <w:t>2022 182,063</w:t>
            </w:r>
          </w:p>
        </w:tc>
        <w:tc>
          <w:tcPr>
            <w:tcW w:w="75" w:type="dxa"/>
            <w:tcBorders>
              <w:top w:val="nil"/>
              <w:left w:val="nil"/>
              <w:bottom w:val="single" w:sz="4" w:space="0" w:color="000000"/>
              <w:right w:val="nil"/>
              <w:tl2br w:val="nil"/>
              <w:tr2bl w:val="nil"/>
            </w:tcBorders>
            <w:noWrap/>
            <w:tcMar>
              <w:left w:w="0" w:type="dxa"/>
              <w:right w:w="0" w:type="dxa"/>
            </w:tcMar>
            <w:vAlign w:val="center"/>
          </w:tcPr>
          <w:p w14:paraId="71F3E3DF" w14:textId="77777777" w:rsidR="00510CAA" w:rsidRDefault="00510CAA">
            <w:pPr>
              <w:rPr>
                <w:rFonts w:ascii="Arial" w:eastAsia="Arial" w:hAnsi="Arial" w:cs="Arial"/>
                <w:color w:val="000000"/>
                <w:sz w:val="16"/>
              </w:rPr>
            </w:pPr>
          </w:p>
        </w:tc>
        <w:tc>
          <w:tcPr>
            <w:tcW w:w="630" w:type="dxa"/>
            <w:tcBorders>
              <w:top w:val="nil"/>
              <w:left w:val="nil"/>
              <w:bottom w:val="single" w:sz="4" w:space="0" w:color="000000"/>
              <w:right w:val="nil"/>
              <w:tl2br w:val="nil"/>
              <w:tr2bl w:val="nil"/>
            </w:tcBorders>
            <w:noWrap/>
            <w:tcMar>
              <w:left w:w="0" w:type="dxa"/>
              <w:right w:w="0" w:type="dxa"/>
            </w:tcMar>
            <w:vAlign w:val="center"/>
          </w:tcPr>
          <w:p w14:paraId="71F3E3E0" w14:textId="77777777" w:rsidR="00510CAA" w:rsidRDefault="00510CAA">
            <w:pPr>
              <w:rPr>
                <w:rFonts w:ascii="Arial" w:eastAsia="Arial" w:hAnsi="Arial" w:cs="Arial"/>
                <w:color w:val="000000"/>
                <w:sz w:val="16"/>
              </w:rPr>
            </w:pPr>
          </w:p>
        </w:tc>
        <w:tc>
          <w:tcPr>
            <w:tcW w:w="1290" w:type="dxa"/>
            <w:tcBorders>
              <w:top w:val="nil"/>
              <w:left w:val="nil"/>
              <w:bottom w:val="single" w:sz="4" w:space="0" w:color="000000"/>
              <w:right w:val="nil"/>
              <w:tl2br w:val="nil"/>
              <w:tr2bl w:val="nil"/>
            </w:tcBorders>
            <w:noWrap/>
            <w:tcMar>
              <w:left w:w="0" w:type="dxa"/>
              <w:right w:w="0" w:type="dxa"/>
            </w:tcMar>
            <w:vAlign w:val="center"/>
          </w:tcPr>
          <w:p w14:paraId="71F3E3E1" w14:textId="77777777" w:rsidR="00510CAA" w:rsidRDefault="00510CAA">
            <w:pP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3E2" w14:textId="77777777" w:rsidR="00510CAA" w:rsidRDefault="00510CAA">
            <w:pPr>
              <w:rPr>
                <w:rFonts w:ascii="Arial" w:eastAsia="Arial" w:hAnsi="Arial" w:cs="Arial"/>
                <w:color w:val="000000"/>
                <w:sz w:val="16"/>
              </w:rPr>
            </w:pPr>
          </w:p>
        </w:tc>
        <w:tc>
          <w:tcPr>
            <w:tcW w:w="2595" w:type="dxa"/>
            <w:vMerge/>
            <w:tcBorders>
              <w:top w:val="nil"/>
              <w:left w:val="nil"/>
              <w:bottom w:val="single" w:sz="4" w:space="0" w:color="000000"/>
              <w:right w:val="nil"/>
              <w:tl2br w:val="nil"/>
              <w:tr2bl w:val="nil"/>
            </w:tcBorders>
            <w:tcMar>
              <w:left w:w="0" w:type="dxa"/>
              <w:right w:w="0" w:type="dxa"/>
            </w:tcMar>
          </w:tcPr>
          <w:p w14:paraId="71F3E3E3" w14:textId="77777777" w:rsidR="00510CAA" w:rsidRDefault="00510CAA">
            <w:pPr>
              <w:jc w:val="center"/>
              <w:rPr>
                <w:rFonts w:ascii="Arial" w:eastAsia="Arial" w:hAnsi="Arial" w:cs="Arial"/>
                <w:color w:val="000000"/>
                <w:sz w:val="16"/>
              </w:rPr>
            </w:pPr>
          </w:p>
        </w:tc>
        <w:tc>
          <w:tcPr>
            <w:tcW w:w="1410" w:type="dxa"/>
            <w:tcBorders>
              <w:top w:val="nil"/>
              <w:left w:val="nil"/>
              <w:bottom w:val="single" w:sz="4" w:space="0" w:color="000000"/>
              <w:right w:val="nil"/>
              <w:tl2br w:val="nil"/>
              <w:tr2bl w:val="nil"/>
            </w:tcBorders>
            <w:noWrap/>
            <w:tcMar>
              <w:left w:w="0" w:type="dxa"/>
              <w:right w:w="0" w:type="dxa"/>
            </w:tcMar>
            <w:vAlign w:val="center"/>
          </w:tcPr>
          <w:p w14:paraId="71F3E3E4" w14:textId="77777777" w:rsidR="00510CAA" w:rsidRDefault="00510CAA">
            <w:pPr>
              <w:rPr>
                <w:rFonts w:ascii="Arial" w:eastAsia="Arial" w:hAnsi="Arial" w:cs="Arial"/>
                <w:color w:val="000000"/>
                <w:sz w:val="16"/>
              </w:rPr>
            </w:pPr>
          </w:p>
        </w:tc>
        <w:tc>
          <w:tcPr>
            <w:tcW w:w="2100" w:type="dxa"/>
            <w:tcBorders>
              <w:top w:val="nil"/>
              <w:left w:val="nil"/>
              <w:bottom w:val="single" w:sz="4" w:space="0" w:color="000000"/>
              <w:right w:val="nil"/>
              <w:tl2br w:val="nil"/>
              <w:tr2bl w:val="nil"/>
            </w:tcBorders>
            <w:noWrap/>
            <w:tcMar>
              <w:left w:w="0" w:type="dxa"/>
              <w:right w:w="0" w:type="dxa"/>
            </w:tcMar>
            <w:vAlign w:val="center"/>
          </w:tcPr>
          <w:p w14:paraId="71F3E3E5" w14:textId="77777777" w:rsidR="00510CAA" w:rsidRDefault="00510CAA">
            <w:pPr>
              <w:rPr>
                <w:rFonts w:ascii="Arial" w:eastAsia="Arial" w:hAnsi="Arial" w:cs="Arial"/>
                <w:color w:val="000000"/>
                <w:sz w:val="16"/>
              </w:rPr>
            </w:pPr>
          </w:p>
        </w:tc>
        <w:tc>
          <w:tcPr>
            <w:tcW w:w="660" w:type="dxa"/>
            <w:tcBorders>
              <w:top w:val="nil"/>
              <w:left w:val="nil"/>
              <w:bottom w:val="single" w:sz="4" w:space="0" w:color="000000"/>
              <w:right w:val="nil"/>
              <w:tl2br w:val="nil"/>
              <w:tr2bl w:val="nil"/>
            </w:tcBorders>
            <w:noWrap/>
            <w:tcMar>
              <w:left w:w="0" w:type="dxa"/>
              <w:right w:w="0" w:type="dxa"/>
            </w:tcMar>
            <w:vAlign w:val="center"/>
          </w:tcPr>
          <w:p w14:paraId="71F3E3E6" w14:textId="77777777" w:rsidR="00510CAA" w:rsidRDefault="00510CAA">
            <w:pPr>
              <w:rPr>
                <w:rFonts w:ascii="Arial" w:eastAsia="Arial" w:hAnsi="Arial" w:cs="Arial"/>
                <w:color w:val="000000"/>
                <w:sz w:val="16"/>
              </w:rPr>
            </w:pPr>
          </w:p>
        </w:tc>
      </w:tr>
      <w:tr w:rsidR="00510CAA" w14:paraId="71F3E3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11295" w:type="dxa"/>
            <w:gridSpan w:val="10"/>
            <w:tcBorders>
              <w:top w:val="single" w:sz="4" w:space="0" w:color="000000"/>
              <w:left w:val="nil"/>
              <w:bottom w:val="single" w:sz="4" w:space="0" w:color="000000"/>
              <w:right w:val="nil"/>
              <w:tl2br w:val="nil"/>
              <w:tr2bl w:val="nil"/>
            </w:tcBorders>
            <w:tcMar>
              <w:left w:w="40" w:type="dxa"/>
              <w:right w:w="40" w:type="dxa"/>
            </w:tcMar>
            <w:vAlign w:val="center"/>
          </w:tcPr>
          <w:p w14:paraId="71F3E3E8" w14:textId="77777777" w:rsidR="00510CAA" w:rsidRDefault="003A4815">
            <w:pPr>
              <w:jc w:val="center"/>
              <w:rPr>
                <w:rFonts w:ascii="Arial" w:eastAsia="Arial" w:hAnsi="Arial" w:cs="Arial"/>
                <w:b/>
                <w:color w:val="000000"/>
                <w:sz w:val="18"/>
              </w:rPr>
            </w:pPr>
            <w:r>
              <w:rPr>
                <w:rFonts w:ascii="Arial" w:eastAsia="Arial" w:hAnsi="Arial" w:cs="Arial"/>
                <w:b/>
                <w:color w:val="000000"/>
                <w:sz w:val="18"/>
              </w:rPr>
              <w:t>4 Newcastlemax Bulk Carriers</w:t>
            </w:r>
          </w:p>
        </w:tc>
      </w:tr>
      <w:tr w:rsidR="00510CAA" w14:paraId="71F3E3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single" w:sz="4" w:space="0" w:color="000000"/>
              <w:left w:val="nil"/>
              <w:bottom w:val="nil"/>
              <w:right w:val="nil"/>
              <w:tl2br w:val="nil"/>
              <w:tr2bl w:val="nil"/>
            </w:tcBorders>
            <w:tcMar>
              <w:left w:w="40" w:type="dxa"/>
              <w:right w:w="40" w:type="dxa"/>
            </w:tcMar>
            <w:vAlign w:val="center"/>
          </w:tcPr>
          <w:p w14:paraId="71F3E3EA" w14:textId="77777777" w:rsidR="00510CAA" w:rsidRDefault="003A4815">
            <w:pPr>
              <w:jc w:val="center"/>
              <w:rPr>
                <w:rFonts w:ascii="Arial" w:eastAsia="Arial" w:hAnsi="Arial" w:cs="Arial"/>
                <w:color w:val="000000"/>
                <w:sz w:val="16"/>
              </w:rPr>
            </w:pPr>
            <w:r>
              <w:rPr>
                <w:rFonts w:ascii="Arial" w:eastAsia="Arial" w:hAnsi="Arial" w:cs="Arial"/>
                <w:color w:val="000000"/>
                <w:sz w:val="16"/>
              </w:rPr>
              <w:t>33</w:t>
            </w:r>
          </w:p>
        </w:tc>
        <w:tc>
          <w:tcPr>
            <w:tcW w:w="1425" w:type="dxa"/>
            <w:tcBorders>
              <w:top w:val="single" w:sz="4" w:space="0" w:color="000000"/>
              <w:left w:val="nil"/>
              <w:bottom w:val="nil"/>
              <w:right w:val="nil"/>
              <w:tl2br w:val="nil"/>
              <w:tr2bl w:val="nil"/>
            </w:tcBorders>
            <w:tcMar>
              <w:left w:w="40" w:type="dxa"/>
              <w:right w:w="40" w:type="dxa"/>
            </w:tcMar>
            <w:vAlign w:val="center"/>
          </w:tcPr>
          <w:p w14:paraId="71F3E3EB" w14:textId="77777777" w:rsidR="00510CAA" w:rsidRDefault="003A4815">
            <w:pPr>
              <w:jc w:val="center"/>
              <w:rPr>
                <w:rFonts w:ascii="Arial" w:eastAsia="Arial" w:hAnsi="Arial" w:cs="Arial"/>
                <w:color w:val="000000"/>
                <w:sz w:val="16"/>
              </w:rPr>
            </w:pPr>
            <w:r>
              <w:rPr>
                <w:rFonts w:ascii="Arial" w:eastAsia="Arial" w:hAnsi="Arial" w:cs="Arial"/>
                <w:color w:val="000000"/>
                <w:sz w:val="16"/>
              </w:rPr>
              <w:t>LOS ANGELES</w:t>
            </w:r>
          </w:p>
        </w:tc>
        <w:tc>
          <w:tcPr>
            <w:tcW w:w="75" w:type="dxa"/>
            <w:tcBorders>
              <w:top w:val="single" w:sz="4" w:space="0" w:color="000000"/>
              <w:left w:val="nil"/>
              <w:bottom w:val="nil"/>
              <w:right w:val="nil"/>
              <w:tl2br w:val="nil"/>
              <w:tr2bl w:val="nil"/>
            </w:tcBorders>
            <w:noWrap/>
            <w:tcMar>
              <w:left w:w="0" w:type="dxa"/>
              <w:right w:w="0" w:type="dxa"/>
            </w:tcMar>
            <w:vAlign w:val="center"/>
          </w:tcPr>
          <w:p w14:paraId="71F3E3EC" w14:textId="77777777" w:rsidR="00510CAA" w:rsidRDefault="00510CAA">
            <w:pPr>
              <w:rPr>
                <w:rFonts w:ascii="Arial" w:eastAsia="Arial" w:hAnsi="Arial" w:cs="Arial"/>
                <w:color w:val="000000"/>
                <w:sz w:val="16"/>
              </w:rPr>
            </w:pPr>
          </w:p>
        </w:tc>
        <w:tc>
          <w:tcPr>
            <w:tcW w:w="630" w:type="dxa"/>
            <w:tcBorders>
              <w:top w:val="single" w:sz="4" w:space="0" w:color="000000"/>
              <w:left w:val="nil"/>
              <w:bottom w:val="nil"/>
              <w:right w:val="nil"/>
              <w:tl2br w:val="nil"/>
              <w:tr2bl w:val="nil"/>
            </w:tcBorders>
            <w:tcMar>
              <w:left w:w="40" w:type="dxa"/>
              <w:right w:w="40" w:type="dxa"/>
            </w:tcMar>
            <w:vAlign w:val="center"/>
          </w:tcPr>
          <w:p w14:paraId="71F3E3ED" w14:textId="77777777" w:rsidR="00510CAA" w:rsidRDefault="003A4815">
            <w:pPr>
              <w:jc w:val="center"/>
              <w:rPr>
                <w:rFonts w:ascii="Arial" w:eastAsia="Arial" w:hAnsi="Arial" w:cs="Arial"/>
                <w:color w:val="000000"/>
                <w:sz w:val="16"/>
              </w:rPr>
            </w:pPr>
            <w:r>
              <w:rPr>
                <w:rFonts w:ascii="Arial" w:eastAsia="Arial" w:hAnsi="Arial" w:cs="Arial"/>
                <w:color w:val="000000"/>
                <w:sz w:val="16"/>
              </w:rPr>
              <w:t>J</w:t>
            </w:r>
          </w:p>
        </w:tc>
        <w:tc>
          <w:tcPr>
            <w:tcW w:w="1290" w:type="dxa"/>
            <w:tcBorders>
              <w:top w:val="single" w:sz="4" w:space="0" w:color="000000"/>
              <w:left w:val="nil"/>
              <w:bottom w:val="nil"/>
              <w:right w:val="nil"/>
              <w:tl2br w:val="nil"/>
              <w:tr2bl w:val="nil"/>
            </w:tcBorders>
            <w:tcMar>
              <w:left w:w="40" w:type="dxa"/>
              <w:right w:w="40" w:type="dxa"/>
            </w:tcMar>
            <w:vAlign w:val="center"/>
          </w:tcPr>
          <w:p w14:paraId="71F3E3EE" w14:textId="77777777" w:rsidR="00510CAA" w:rsidRDefault="003A4815">
            <w:pPr>
              <w:jc w:val="center"/>
              <w:rPr>
                <w:rFonts w:ascii="Arial" w:eastAsia="Arial" w:hAnsi="Arial" w:cs="Arial"/>
                <w:color w:val="000000"/>
                <w:sz w:val="16"/>
              </w:rPr>
            </w:pPr>
            <w:r>
              <w:rPr>
                <w:rFonts w:ascii="Arial" w:eastAsia="Arial" w:hAnsi="Arial" w:cs="Arial"/>
                <w:color w:val="000000"/>
                <w:sz w:val="16"/>
              </w:rPr>
              <w:t>24,000</w:t>
            </w:r>
          </w:p>
        </w:tc>
        <w:tc>
          <w:tcPr>
            <w:tcW w:w="660" w:type="dxa"/>
            <w:tcBorders>
              <w:top w:val="single" w:sz="4" w:space="0" w:color="000000"/>
              <w:left w:val="nil"/>
              <w:bottom w:val="nil"/>
              <w:right w:val="nil"/>
              <w:tl2br w:val="nil"/>
              <w:tr2bl w:val="nil"/>
            </w:tcBorders>
            <w:noWrap/>
            <w:tcMar>
              <w:left w:w="40" w:type="dxa"/>
              <w:right w:w="40" w:type="dxa"/>
            </w:tcMar>
          </w:tcPr>
          <w:p w14:paraId="71F3E3EF"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single" w:sz="4" w:space="0" w:color="000000"/>
              <w:left w:val="nil"/>
              <w:bottom w:val="nil"/>
              <w:right w:val="nil"/>
              <w:tl2br w:val="nil"/>
              <w:tr2bl w:val="nil"/>
            </w:tcBorders>
            <w:tcMar>
              <w:left w:w="40" w:type="dxa"/>
              <w:right w:w="40" w:type="dxa"/>
            </w:tcMar>
          </w:tcPr>
          <w:p w14:paraId="71F3E3F0" w14:textId="77777777" w:rsidR="00510CAA" w:rsidRDefault="003A4815">
            <w:pPr>
              <w:jc w:val="center"/>
              <w:rPr>
                <w:rFonts w:ascii="Arial" w:eastAsia="Arial" w:hAnsi="Arial" w:cs="Arial"/>
                <w:color w:val="000000"/>
                <w:sz w:val="16"/>
              </w:rPr>
            </w:pPr>
            <w:r>
              <w:rPr>
                <w:rFonts w:ascii="Arial" w:eastAsia="Arial" w:hAnsi="Arial" w:cs="Arial"/>
                <w:color w:val="000000"/>
                <w:sz w:val="16"/>
              </w:rPr>
              <w:t>MOL Ocean Bulk Pte. Ltd., Singapore</w:t>
            </w:r>
          </w:p>
        </w:tc>
        <w:tc>
          <w:tcPr>
            <w:tcW w:w="1410" w:type="dxa"/>
            <w:tcBorders>
              <w:top w:val="single" w:sz="4" w:space="0" w:color="000000"/>
              <w:left w:val="nil"/>
              <w:bottom w:val="nil"/>
              <w:right w:val="nil"/>
              <w:tl2br w:val="nil"/>
              <w:tr2bl w:val="nil"/>
            </w:tcBorders>
            <w:tcMar>
              <w:left w:w="40" w:type="dxa"/>
              <w:right w:w="40" w:type="dxa"/>
            </w:tcMar>
          </w:tcPr>
          <w:p w14:paraId="71F3E3F1" w14:textId="77777777" w:rsidR="00510CAA" w:rsidRDefault="003A4815">
            <w:pPr>
              <w:jc w:val="center"/>
              <w:rPr>
                <w:rFonts w:ascii="Arial" w:eastAsia="Arial" w:hAnsi="Arial" w:cs="Arial"/>
                <w:color w:val="000000"/>
                <w:sz w:val="16"/>
              </w:rPr>
            </w:pPr>
            <w:r>
              <w:rPr>
                <w:rFonts w:ascii="Arial" w:eastAsia="Arial" w:hAnsi="Arial" w:cs="Arial"/>
                <w:color w:val="000000"/>
                <w:sz w:val="16"/>
              </w:rPr>
              <w:t>1-Nov-25</w:t>
            </w:r>
          </w:p>
        </w:tc>
        <w:tc>
          <w:tcPr>
            <w:tcW w:w="2100" w:type="dxa"/>
            <w:tcBorders>
              <w:top w:val="single" w:sz="4" w:space="0" w:color="000000"/>
              <w:left w:val="nil"/>
              <w:bottom w:val="nil"/>
              <w:right w:val="nil"/>
              <w:tl2br w:val="nil"/>
              <w:tr2bl w:val="nil"/>
            </w:tcBorders>
            <w:tcMar>
              <w:left w:w="40" w:type="dxa"/>
              <w:right w:w="40" w:type="dxa"/>
            </w:tcMar>
          </w:tcPr>
          <w:p w14:paraId="71F3E3F2" w14:textId="77777777" w:rsidR="00510CAA" w:rsidRDefault="003A4815">
            <w:pPr>
              <w:jc w:val="center"/>
              <w:rPr>
                <w:rFonts w:ascii="Arial" w:eastAsia="Arial" w:hAnsi="Arial" w:cs="Arial"/>
                <w:color w:val="000000"/>
                <w:sz w:val="16"/>
              </w:rPr>
            </w:pPr>
            <w:r>
              <w:rPr>
                <w:rFonts w:ascii="Arial" w:eastAsia="Arial" w:hAnsi="Arial" w:cs="Arial"/>
                <w:color w:val="000000"/>
                <w:sz w:val="16"/>
              </w:rPr>
              <w:t>10/Sep/2026 - 1/Nov/2026</w:t>
            </w:r>
          </w:p>
        </w:tc>
        <w:tc>
          <w:tcPr>
            <w:tcW w:w="660" w:type="dxa"/>
            <w:tcBorders>
              <w:top w:val="single" w:sz="4" w:space="0" w:color="000000"/>
              <w:left w:val="nil"/>
              <w:bottom w:val="nil"/>
              <w:right w:val="nil"/>
              <w:tl2br w:val="nil"/>
              <w:tr2bl w:val="nil"/>
            </w:tcBorders>
            <w:noWrap/>
            <w:tcMar>
              <w:left w:w="0" w:type="dxa"/>
              <w:right w:w="0" w:type="dxa"/>
            </w:tcMar>
            <w:vAlign w:val="center"/>
          </w:tcPr>
          <w:p w14:paraId="71F3E3F3" w14:textId="77777777" w:rsidR="00510CAA" w:rsidRDefault="00510CAA">
            <w:pPr>
              <w:jc w:val="center"/>
              <w:rPr>
                <w:rFonts w:ascii="Arial" w:eastAsia="Arial" w:hAnsi="Arial" w:cs="Arial"/>
                <w:color w:val="000000"/>
                <w:sz w:val="16"/>
              </w:rPr>
            </w:pPr>
          </w:p>
        </w:tc>
      </w:tr>
      <w:tr w:rsidR="00510CAA" w14:paraId="71F3E3F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nil"/>
              <w:left w:val="nil"/>
              <w:bottom w:val="dotted" w:sz="2" w:space="0" w:color="000000"/>
              <w:right w:val="nil"/>
              <w:tl2br w:val="nil"/>
              <w:tr2bl w:val="nil"/>
            </w:tcBorders>
            <w:tcMar>
              <w:left w:w="0" w:type="dxa"/>
              <w:right w:w="0" w:type="dxa"/>
            </w:tcMar>
            <w:vAlign w:val="center"/>
          </w:tcPr>
          <w:p w14:paraId="71F3E3F5"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3F6" w14:textId="77777777" w:rsidR="00510CAA" w:rsidRDefault="003A4815">
            <w:pPr>
              <w:jc w:val="center"/>
              <w:rPr>
                <w:rFonts w:ascii="Arial" w:eastAsia="Arial" w:hAnsi="Arial" w:cs="Arial"/>
                <w:color w:val="000000"/>
                <w:sz w:val="16"/>
              </w:rPr>
            </w:pPr>
            <w:r>
              <w:rPr>
                <w:rFonts w:ascii="Arial" w:eastAsia="Arial" w:hAnsi="Arial" w:cs="Arial"/>
                <w:color w:val="000000"/>
                <w:sz w:val="16"/>
              </w:rPr>
              <w:t>2012 206,104</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3F7"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3F8"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3F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FA"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3FB"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3FC"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3FD"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3FE" w14:textId="77777777" w:rsidR="00510CAA" w:rsidRDefault="00510CAA">
            <w:pPr>
              <w:jc w:val="center"/>
              <w:rPr>
                <w:rFonts w:ascii="Arial" w:eastAsia="Arial" w:hAnsi="Arial" w:cs="Arial"/>
                <w:color w:val="000000"/>
                <w:sz w:val="16"/>
              </w:rPr>
            </w:pPr>
          </w:p>
        </w:tc>
      </w:tr>
      <w:tr w:rsidR="00510CAA" w14:paraId="71F3E40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5"/>
        </w:trPr>
        <w:tc>
          <w:tcPr>
            <w:tcW w:w="450" w:type="dxa"/>
            <w:tcBorders>
              <w:top w:val="dotted" w:sz="2" w:space="0" w:color="000000"/>
              <w:left w:val="nil"/>
              <w:bottom w:val="nil"/>
              <w:right w:val="nil"/>
              <w:tl2br w:val="nil"/>
              <w:tr2bl w:val="nil"/>
            </w:tcBorders>
            <w:tcMar>
              <w:left w:w="40" w:type="dxa"/>
              <w:right w:w="40" w:type="dxa"/>
            </w:tcMar>
            <w:vAlign w:val="center"/>
          </w:tcPr>
          <w:p w14:paraId="71F3E400" w14:textId="77777777" w:rsidR="00510CAA" w:rsidRDefault="003A4815">
            <w:pPr>
              <w:jc w:val="center"/>
              <w:rPr>
                <w:rFonts w:ascii="Arial" w:eastAsia="Arial" w:hAnsi="Arial" w:cs="Arial"/>
                <w:color w:val="000000"/>
                <w:sz w:val="16"/>
              </w:rPr>
            </w:pPr>
            <w:r>
              <w:rPr>
                <w:rFonts w:ascii="Arial" w:eastAsia="Arial" w:hAnsi="Arial" w:cs="Arial"/>
                <w:color w:val="000000"/>
                <w:sz w:val="16"/>
              </w:rPr>
              <w:t>34</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401" w14:textId="77777777" w:rsidR="00510CAA" w:rsidRDefault="003A4815">
            <w:pPr>
              <w:jc w:val="center"/>
              <w:rPr>
                <w:rFonts w:ascii="Arial" w:eastAsia="Arial" w:hAnsi="Arial" w:cs="Arial"/>
                <w:color w:val="000000"/>
                <w:sz w:val="16"/>
              </w:rPr>
            </w:pPr>
            <w:r>
              <w:rPr>
                <w:rFonts w:ascii="Arial" w:eastAsia="Arial" w:hAnsi="Arial" w:cs="Arial"/>
                <w:color w:val="000000"/>
                <w:sz w:val="16"/>
              </w:rPr>
              <w:t>PHILADELPHIA</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402"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403" w14:textId="77777777" w:rsidR="00510CAA" w:rsidRDefault="003A4815">
            <w:pPr>
              <w:jc w:val="center"/>
              <w:rPr>
                <w:rFonts w:ascii="Arial" w:eastAsia="Arial" w:hAnsi="Arial" w:cs="Arial"/>
                <w:color w:val="000000"/>
                <w:sz w:val="16"/>
              </w:rPr>
            </w:pPr>
            <w:r>
              <w:rPr>
                <w:rFonts w:ascii="Arial" w:eastAsia="Arial" w:hAnsi="Arial" w:cs="Arial"/>
                <w:color w:val="000000"/>
                <w:sz w:val="16"/>
              </w:rPr>
              <w:t>J</w:t>
            </w:r>
          </w:p>
        </w:tc>
        <w:tc>
          <w:tcPr>
            <w:tcW w:w="1290" w:type="dxa"/>
            <w:tcBorders>
              <w:top w:val="dotted" w:sz="2" w:space="0" w:color="000000"/>
              <w:left w:val="nil"/>
              <w:bottom w:val="nil"/>
              <w:right w:val="nil"/>
              <w:tl2br w:val="nil"/>
              <w:tr2bl w:val="nil"/>
            </w:tcBorders>
            <w:tcMar>
              <w:left w:w="40" w:type="dxa"/>
              <w:right w:w="40" w:type="dxa"/>
            </w:tcMar>
          </w:tcPr>
          <w:p w14:paraId="71F3E404" w14:textId="77777777" w:rsidR="00510CAA" w:rsidRDefault="003A4815">
            <w:pPr>
              <w:jc w:val="center"/>
              <w:rPr>
                <w:rFonts w:ascii="Arial" w:eastAsia="Arial" w:hAnsi="Arial" w:cs="Arial"/>
                <w:color w:val="000000"/>
                <w:sz w:val="16"/>
              </w:rPr>
            </w:pPr>
            <w:r>
              <w:rPr>
                <w:rFonts w:ascii="Arial" w:eastAsia="Arial" w:hAnsi="Arial" w:cs="Arial"/>
                <w:color w:val="000000"/>
                <w:sz w:val="16"/>
              </w:rPr>
              <w:t>21,500</w:t>
            </w:r>
          </w:p>
        </w:tc>
        <w:tc>
          <w:tcPr>
            <w:tcW w:w="660" w:type="dxa"/>
            <w:tcBorders>
              <w:top w:val="dotted" w:sz="2" w:space="0" w:color="000000"/>
              <w:left w:val="nil"/>
              <w:bottom w:val="nil"/>
              <w:right w:val="nil"/>
              <w:tl2br w:val="nil"/>
              <w:tr2bl w:val="nil"/>
            </w:tcBorders>
            <w:noWrap/>
            <w:tcMar>
              <w:left w:w="40" w:type="dxa"/>
              <w:right w:w="40" w:type="dxa"/>
            </w:tcMar>
          </w:tcPr>
          <w:p w14:paraId="71F3E405"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406" w14:textId="77777777" w:rsidR="00510CAA" w:rsidRDefault="003A4815">
            <w:pPr>
              <w:jc w:val="center"/>
              <w:rPr>
                <w:rFonts w:ascii="Arial" w:eastAsia="Arial" w:hAnsi="Arial" w:cs="Arial"/>
                <w:color w:val="000000"/>
                <w:sz w:val="16"/>
              </w:rPr>
            </w:pPr>
            <w:r>
              <w:rPr>
                <w:rFonts w:ascii="Arial" w:eastAsia="Arial" w:hAnsi="Arial" w:cs="Arial"/>
                <w:color w:val="000000"/>
                <w:sz w:val="16"/>
              </w:rPr>
              <w:t>Refined Success Limited</w:t>
            </w:r>
          </w:p>
        </w:tc>
        <w:tc>
          <w:tcPr>
            <w:tcW w:w="1410" w:type="dxa"/>
            <w:tcBorders>
              <w:top w:val="dotted" w:sz="2" w:space="0" w:color="000000"/>
              <w:left w:val="nil"/>
              <w:bottom w:val="nil"/>
              <w:right w:val="nil"/>
              <w:tl2br w:val="nil"/>
              <w:tr2bl w:val="nil"/>
            </w:tcBorders>
            <w:tcMar>
              <w:left w:w="40" w:type="dxa"/>
              <w:right w:w="40" w:type="dxa"/>
            </w:tcMar>
          </w:tcPr>
          <w:p w14:paraId="71F3E407" w14:textId="77777777" w:rsidR="00510CAA" w:rsidRDefault="003A4815">
            <w:pPr>
              <w:jc w:val="center"/>
              <w:rPr>
                <w:rFonts w:ascii="Arial" w:eastAsia="Arial" w:hAnsi="Arial" w:cs="Arial"/>
                <w:color w:val="000000"/>
                <w:sz w:val="16"/>
              </w:rPr>
            </w:pPr>
            <w:r>
              <w:rPr>
                <w:rFonts w:ascii="Arial" w:eastAsia="Arial" w:hAnsi="Arial" w:cs="Arial"/>
                <w:color w:val="000000"/>
                <w:sz w:val="16"/>
              </w:rPr>
              <w:t>29-May-25</w:t>
            </w:r>
          </w:p>
        </w:tc>
        <w:tc>
          <w:tcPr>
            <w:tcW w:w="2100" w:type="dxa"/>
            <w:tcBorders>
              <w:top w:val="dotted" w:sz="2" w:space="0" w:color="000000"/>
              <w:left w:val="nil"/>
              <w:bottom w:val="nil"/>
              <w:right w:val="nil"/>
              <w:tl2br w:val="nil"/>
              <w:tr2bl w:val="nil"/>
            </w:tcBorders>
            <w:tcMar>
              <w:left w:w="40" w:type="dxa"/>
              <w:right w:w="40" w:type="dxa"/>
            </w:tcMar>
          </w:tcPr>
          <w:p w14:paraId="71F3E408" w14:textId="77777777" w:rsidR="00510CAA" w:rsidRDefault="003A4815">
            <w:pPr>
              <w:jc w:val="center"/>
              <w:rPr>
                <w:rFonts w:ascii="Arial" w:eastAsia="Arial" w:hAnsi="Arial" w:cs="Arial"/>
                <w:color w:val="000000"/>
                <w:sz w:val="16"/>
              </w:rPr>
            </w:pPr>
            <w:r>
              <w:rPr>
                <w:rFonts w:ascii="Arial" w:eastAsia="Arial" w:hAnsi="Arial" w:cs="Arial"/>
                <w:color w:val="000000"/>
                <w:sz w:val="16"/>
              </w:rPr>
              <w:t>9/Jun/2026 - 8/Aug/2026</w:t>
            </w:r>
          </w:p>
        </w:tc>
        <w:tc>
          <w:tcPr>
            <w:tcW w:w="660" w:type="dxa"/>
            <w:tcBorders>
              <w:top w:val="dotted" w:sz="2" w:space="0" w:color="000000"/>
              <w:left w:val="nil"/>
              <w:bottom w:val="nil"/>
              <w:right w:val="nil"/>
              <w:tl2br w:val="nil"/>
              <w:tr2bl w:val="nil"/>
            </w:tcBorders>
            <w:noWrap/>
            <w:tcMar>
              <w:left w:w="0" w:type="dxa"/>
              <w:right w:w="0" w:type="dxa"/>
            </w:tcMar>
          </w:tcPr>
          <w:p w14:paraId="71F3E409" w14:textId="77777777" w:rsidR="00510CAA" w:rsidRDefault="00510CAA">
            <w:pPr>
              <w:jc w:val="center"/>
              <w:rPr>
                <w:rFonts w:ascii="Arial" w:eastAsia="Arial" w:hAnsi="Arial" w:cs="Arial"/>
                <w:color w:val="000000"/>
                <w:sz w:val="16"/>
              </w:rPr>
            </w:pPr>
          </w:p>
        </w:tc>
      </w:tr>
      <w:tr w:rsidR="00510CAA" w14:paraId="71F3E41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0"/>
        </w:trPr>
        <w:tc>
          <w:tcPr>
            <w:tcW w:w="450" w:type="dxa"/>
            <w:tcBorders>
              <w:top w:val="nil"/>
              <w:left w:val="nil"/>
              <w:bottom w:val="dotted" w:sz="2" w:space="0" w:color="000000"/>
              <w:right w:val="nil"/>
              <w:tl2br w:val="nil"/>
              <w:tr2bl w:val="nil"/>
            </w:tcBorders>
            <w:tcMar>
              <w:left w:w="0" w:type="dxa"/>
              <w:right w:w="0" w:type="dxa"/>
            </w:tcMar>
            <w:vAlign w:val="center"/>
          </w:tcPr>
          <w:p w14:paraId="71F3E40B"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40C" w14:textId="77777777" w:rsidR="00510CAA" w:rsidRDefault="003A4815">
            <w:pPr>
              <w:jc w:val="center"/>
              <w:rPr>
                <w:rFonts w:ascii="Arial" w:eastAsia="Arial" w:hAnsi="Arial" w:cs="Arial"/>
                <w:color w:val="000000"/>
                <w:sz w:val="16"/>
              </w:rPr>
            </w:pPr>
            <w:r>
              <w:rPr>
                <w:rFonts w:ascii="Arial" w:eastAsia="Arial" w:hAnsi="Arial" w:cs="Arial"/>
                <w:color w:val="000000"/>
                <w:sz w:val="16"/>
              </w:rPr>
              <w:t>2012 206,040</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40D"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40E"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40F"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410"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411"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412"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413"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414" w14:textId="77777777" w:rsidR="00510CAA" w:rsidRDefault="00510CAA">
            <w:pPr>
              <w:jc w:val="center"/>
              <w:rPr>
                <w:rFonts w:ascii="Arial" w:eastAsia="Arial" w:hAnsi="Arial" w:cs="Arial"/>
                <w:color w:val="000000"/>
                <w:sz w:val="16"/>
              </w:rPr>
            </w:pPr>
          </w:p>
        </w:tc>
      </w:tr>
      <w:tr w:rsidR="00510CAA" w14:paraId="71F3E42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416" w14:textId="77777777" w:rsidR="00510CAA" w:rsidRDefault="003A4815">
            <w:pPr>
              <w:jc w:val="center"/>
              <w:rPr>
                <w:rFonts w:ascii="Arial" w:eastAsia="Arial" w:hAnsi="Arial" w:cs="Arial"/>
                <w:color w:val="000000"/>
                <w:sz w:val="16"/>
              </w:rPr>
            </w:pPr>
            <w:r>
              <w:rPr>
                <w:rFonts w:ascii="Arial" w:eastAsia="Arial" w:hAnsi="Arial" w:cs="Arial"/>
                <w:color w:val="000000"/>
                <w:sz w:val="16"/>
              </w:rPr>
              <w:t>35</w:t>
            </w:r>
          </w:p>
        </w:tc>
        <w:tc>
          <w:tcPr>
            <w:tcW w:w="1425" w:type="dxa"/>
            <w:tcBorders>
              <w:top w:val="dotted" w:sz="2" w:space="0" w:color="000000"/>
              <w:left w:val="nil"/>
              <w:bottom w:val="nil"/>
              <w:right w:val="nil"/>
              <w:tl2br w:val="nil"/>
              <w:tr2bl w:val="nil"/>
            </w:tcBorders>
            <w:noWrap/>
            <w:tcMar>
              <w:left w:w="40" w:type="dxa"/>
              <w:right w:w="40" w:type="dxa"/>
            </w:tcMar>
            <w:vAlign w:val="center"/>
          </w:tcPr>
          <w:p w14:paraId="71F3E417" w14:textId="77777777" w:rsidR="00510CAA" w:rsidRDefault="003A4815">
            <w:pPr>
              <w:jc w:val="center"/>
              <w:rPr>
                <w:rFonts w:ascii="Arial" w:eastAsia="Arial" w:hAnsi="Arial" w:cs="Arial"/>
                <w:color w:val="000000"/>
                <w:sz w:val="16"/>
              </w:rPr>
            </w:pPr>
            <w:r>
              <w:rPr>
                <w:rFonts w:ascii="Arial" w:eastAsia="Arial" w:hAnsi="Arial" w:cs="Arial"/>
                <w:color w:val="000000"/>
                <w:sz w:val="16"/>
              </w:rPr>
              <w:t>SAN FRANCISCO</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418"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tcMar>
              <w:left w:w="40" w:type="dxa"/>
              <w:right w:w="40" w:type="dxa"/>
            </w:tcMar>
            <w:vAlign w:val="center"/>
          </w:tcPr>
          <w:p w14:paraId="71F3E419" w14:textId="77777777" w:rsidR="00510CAA" w:rsidRDefault="003A4815">
            <w:pPr>
              <w:jc w:val="center"/>
              <w:rPr>
                <w:rFonts w:ascii="Arial" w:eastAsia="Arial" w:hAnsi="Arial" w:cs="Arial"/>
                <w:color w:val="000000"/>
                <w:sz w:val="16"/>
              </w:rPr>
            </w:pPr>
            <w:r>
              <w:rPr>
                <w:rFonts w:ascii="Arial" w:eastAsia="Arial" w:hAnsi="Arial" w:cs="Arial"/>
                <w:color w:val="000000"/>
                <w:sz w:val="16"/>
              </w:rPr>
              <w:t>K</w:t>
            </w:r>
          </w:p>
        </w:tc>
        <w:tc>
          <w:tcPr>
            <w:tcW w:w="1290" w:type="dxa"/>
            <w:tcBorders>
              <w:top w:val="dotted" w:sz="2" w:space="0" w:color="000000"/>
              <w:left w:val="nil"/>
              <w:bottom w:val="nil"/>
              <w:right w:val="nil"/>
              <w:tl2br w:val="nil"/>
              <w:tr2bl w:val="nil"/>
            </w:tcBorders>
            <w:tcMar>
              <w:left w:w="40" w:type="dxa"/>
              <w:right w:w="40" w:type="dxa"/>
            </w:tcMar>
          </w:tcPr>
          <w:p w14:paraId="71F3E41A" w14:textId="77777777" w:rsidR="00510CAA" w:rsidRDefault="003A4815">
            <w:pPr>
              <w:jc w:val="center"/>
              <w:rPr>
                <w:rFonts w:ascii="Arial" w:eastAsia="Arial" w:hAnsi="Arial" w:cs="Arial"/>
                <w:color w:val="000000"/>
                <w:sz w:val="16"/>
              </w:rPr>
            </w:pPr>
            <w:r>
              <w:rPr>
                <w:rFonts w:ascii="Arial" w:eastAsia="Arial" w:hAnsi="Arial" w:cs="Arial"/>
                <w:color w:val="000000"/>
                <w:sz w:val="16"/>
              </w:rPr>
              <w:t>26,000</w:t>
            </w:r>
          </w:p>
        </w:tc>
        <w:tc>
          <w:tcPr>
            <w:tcW w:w="660" w:type="dxa"/>
            <w:tcBorders>
              <w:top w:val="dotted" w:sz="2" w:space="0" w:color="000000"/>
              <w:left w:val="nil"/>
              <w:bottom w:val="nil"/>
              <w:right w:val="nil"/>
              <w:tl2br w:val="nil"/>
              <w:tr2bl w:val="nil"/>
            </w:tcBorders>
            <w:noWrap/>
            <w:tcMar>
              <w:left w:w="40" w:type="dxa"/>
              <w:right w:w="40" w:type="dxa"/>
            </w:tcMar>
          </w:tcPr>
          <w:p w14:paraId="71F3E41B" w14:textId="77777777" w:rsidR="00510CAA" w:rsidRDefault="003A4815">
            <w:pPr>
              <w:jc w:val="right"/>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41C" w14:textId="77777777" w:rsidR="00510CAA" w:rsidRDefault="003A4815">
            <w:pPr>
              <w:jc w:val="center"/>
              <w:rPr>
                <w:rFonts w:ascii="Arial" w:eastAsia="Arial" w:hAnsi="Arial" w:cs="Arial"/>
                <w:color w:val="000000"/>
                <w:sz w:val="16"/>
              </w:rPr>
            </w:pPr>
            <w:r>
              <w:rPr>
                <w:rFonts w:ascii="Arial" w:eastAsia="Arial" w:hAnsi="Arial" w:cs="Arial"/>
                <w:color w:val="000000"/>
                <w:sz w:val="16"/>
              </w:rPr>
              <w:t>SwissMarine Pte. Ltd., Singapore</w:t>
            </w:r>
          </w:p>
        </w:tc>
        <w:tc>
          <w:tcPr>
            <w:tcW w:w="1410" w:type="dxa"/>
            <w:tcBorders>
              <w:top w:val="dotted" w:sz="2" w:space="0" w:color="000000"/>
              <w:left w:val="nil"/>
              <w:bottom w:val="nil"/>
              <w:right w:val="nil"/>
              <w:tl2br w:val="nil"/>
              <w:tr2bl w:val="nil"/>
            </w:tcBorders>
            <w:tcMar>
              <w:left w:w="40" w:type="dxa"/>
              <w:right w:w="40" w:type="dxa"/>
            </w:tcMar>
          </w:tcPr>
          <w:p w14:paraId="71F3E41D" w14:textId="77777777" w:rsidR="00510CAA" w:rsidRDefault="003A4815">
            <w:pPr>
              <w:jc w:val="center"/>
              <w:rPr>
                <w:rFonts w:ascii="Arial" w:eastAsia="Arial" w:hAnsi="Arial" w:cs="Arial"/>
                <w:color w:val="000000"/>
                <w:sz w:val="16"/>
              </w:rPr>
            </w:pPr>
            <w:r>
              <w:rPr>
                <w:rFonts w:ascii="Arial" w:eastAsia="Arial" w:hAnsi="Arial" w:cs="Arial"/>
                <w:color w:val="000000"/>
                <w:sz w:val="16"/>
              </w:rPr>
              <w:t>1-Mar-25</w:t>
            </w:r>
          </w:p>
        </w:tc>
        <w:tc>
          <w:tcPr>
            <w:tcW w:w="2100" w:type="dxa"/>
            <w:tcBorders>
              <w:top w:val="dotted" w:sz="2" w:space="0" w:color="000000"/>
              <w:left w:val="nil"/>
              <w:bottom w:val="nil"/>
              <w:right w:val="nil"/>
              <w:tl2br w:val="nil"/>
              <w:tr2bl w:val="nil"/>
            </w:tcBorders>
            <w:tcMar>
              <w:left w:w="40" w:type="dxa"/>
              <w:right w:w="40" w:type="dxa"/>
            </w:tcMar>
          </w:tcPr>
          <w:p w14:paraId="71F3E41E" w14:textId="77777777" w:rsidR="00510CAA" w:rsidRDefault="003A4815">
            <w:pPr>
              <w:jc w:val="center"/>
              <w:rPr>
                <w:rFonts w:ascii="Arial" w:eastAsia="Arial" w:hAnsi="Arial" w:cs="Arial"/>
                <w:color w:val="000000"/>
                <w:sz w:val="16"/>
              </w:rPr>
            </w:pPr>
            <w:r>
              <w:rPr>
                <w:rFonts w:ascii="Arial" w:eastAsia="Arial" w:hAnsi="Arial" w:cs="Arial"/>
                <w:color w:val="000000"/>
                <w:sz w:val="16"/>
              </w:rPr>
              <w:t>25/Oct/2026 - 25/Dec/2026</w:t>
            </w: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41F" w14:textId="77777777" w:rsidR="00510CAA" w:rsidRDefault="00510CAA">
            <w:pPr>
              <w:jc w:val="center"/>
              <w:rPr>
                <w:rFonts w:ascii="Arial" w:eastAsia="Arial" w:hAnsi="Arial" w:cs="Arial"/>
                <w:color w:val="000000"/>
                <w:sz w:val="16"/>
              </w:rPr>
            </w:pPr>
          </w:p>
        </w:tc>
      </w:tr>
      <w:tr w:rsidR="00510CAA" w14:paraId="71F3E42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tcMar>
              <w:left w:w="0" w:type="dxa"/>
              <w:right w:w="0" w:type="dxa"/>
            </w:tcMar>
            <w:vAlign w:val="center"/>
          </w:tcPr>
          <w:p w14:paraId="71F3E421" w14:textId="77777777" w:rsidR="00510CAA" w:rsidRDefault="00510CAA">
            <w:pPr>
              <w:jc w:val="cente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422" w14:textId="77777777" w:rsidR="00510CAA" w:rsidRDefault="003A4815">
            <w:pPr>
              <w:jc w:val="center"/>
              <w:rPr>
                <w:rFonts w:ascii="Arial" w:eastAsia="Arial" w:hAnsi="Arial" w:cs="Arial"/>
                <w:color w:val="000000"/>
                <w:sz w:val="16"/>
              </w:rPr>
            </w:pPr>
            <w:r>
              <w:rPr>
                <w:rFonts w:ascii="Arial" w:eastAsia="Arial" w:hAnsi="Arial" w:cs="Arial"/>
                <w:color w:val="000000"/>
                <w:sz w:val="16"/>
              </w:rPr>
              <w:t>2017 208,006</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423" w14:textId="77777777" w:rsidR="00510CAA" w:rsidRDefault="00510CAA">
            <w:pPr>
              <w:rPr>
                <w:rFonts w:ascii="Arial" w:eastAsia="Arial" w:hAnsi="Arial" w:cs="Arial"/>
                <w:color w:val="000000"/>
                <w:sz w:val="16"/>
              </w:rPr>
            </w:pPr>
          </w:p>
        </w:tc>
        <w:tc>
          <w:tcPr>
            <w:tcW w:w="630" w:type="dxa"/>
            <w:tcBorders>
              <w:top w:val="nil"/>
              <w:left w:val="nil"/>
              <w:bottom w:val="dotted" w:sz="2" w:space="0" w:color="000000"/>
              <w:right w:val="nil"/>
              <w:tl2br w:val="nil"/>
              <w:tr2bl w:val="nil"/>
            </w:tcBorders>
            <w:tcMar>
              <w:left w:w="0" w:type="dxa"/>
              <w:right w:w="0" w:type="dxa"/>
            </w:tcMar>
            <w:vAlign w:val="center"/>
          </w:tcPr>
          <w:p w14:paraId="71F3E424" w14:textId="77777777" w:rsidR="00510CAA" w:rsidRDefault="00510CAA">
            <w:pPr>
              <w:jc w:val="center"/>
              <w:rPr>
                <w:rFonts w:ascii="Arial" w:eastAsia="Arial" w:hAnsi="Arial" w:cs="Arial"/>
                <w:color w:val="000000"/>
                <w:sz w:val="16"/>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425"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426"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427"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428"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429"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42A" w14:textId="77777777" w:rsidR="00510CAA" w:rsidRDefault="00510CAA">
            <w:pPr>
              <w:jc w:val="center"/>
              <w:rPr>
                <w:rFonts w:ascii="Arial" w:eastAsia="Arial" w:hAnsi="Arial" w:cs="Arial"/>
                <w:color w:val="000000"/>
                <w:sz w:val="16"/>
              </w:rPr>
            </w:pPr>
          </w:p>
        </w:tc>
      </w:tr>
      <w:tr w:rsidR="00510CAA" w14:paraId="71F3E4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dotted" w:sz="2" w:space="0" w:color="000000"/>
              <w:left w:val="nil"/>
              <w:bottom w:val="nil"/>
              <w:right w:val="nil"/>
              <w:tl2br w:val="nil"/>
              <w:tr2bl w:val="nil"/>
            </w:tcBorders>
            <w:tcMar>
              <w:left w:w="40" w:type="dxa"/>
              <w:right w:w="40" w:type="dxa"/>
            </w:tcMar>
            <w:vAlign w:val="center"/>
          </w:tcPr>
          <w:p w14:paraId="71F3E42C" w14:textId="77777777" w:rsidR="00510CAA" w:rsidRDefault="003A4815">
            <w:pPr>
              <w:jc w:val="center"/>
              <w:rPr>
                <w:rFonts w:ascii="Arial" w:eastAsia="Arial" w:hAnsi="Arial" w:cs="Arial"/>
                <w:color w:val="000000"/>
                <w:sz w:val="16"/>
              </w:rPr>
            </w:pPr>
            <w:r>
              <w:rPr>
                <w:rFonts w:ascii="Arial" w:eastAsia="Arial" w:hAnsi="Arial" w:cs="Arial"/>
                <w:color w:val="000000"/>
                <w:sz w:val="16"/>
              </w:rPr>
              <w:t>36</w:t>
            </w:r>
          </w:p>
        </w:tc>
        <w:tc>
          <w:tcPr>
            <w:tcW w:w="1425" w:type="dxa"/>
            <w:tcBorders>
              <w:top w:val="dotted" w:sz="2" w:space="0" w:color="000000"/>
              <w:left w:val="nil"/>
              <w:bottom w:val="nil"/>
              <w:right w:val="nil"/>
              <w:tl2br w:val="nil"/>
              <w:tr2bl w:val="nil"/>
            </w:tcBorders>
            <w:tcMar>
              <w:left w:w="40" w:type="dxa"/>
              <w:right w:w="40" w:type="dxa"/>
            </w:tcMar>
            <w:vAlign w:val="center"/>
          </w:tcPr>
          <w:p w14:paraId="71F3E42D" w14:textId="77777777" w:rsidR="00510CAA" w:rsidRDefault="003A4815">
            <w:pPr>
              <w:jc w:val="center"/>
              <w:rPr>
                <w:rFonts w:ascii="Arial" w:eastAsia="Arial" w:hAnsi="Arial" w:cs="Arial"/>
                <w:color w:val="000000"/>
                <w:sz w:val="16"/>
              </w:rPr>
            </w:pPr>
            <w:r>
              <w:rPr>
                <w:rFonts w:ascii="Arial" w:eastAsia="Arial" w:hAnsi="Arial" w:cs="Arial"/>
                <w:color w:val="000000"/>
                <w:sz w:val="16"/>
              </w:rPr>
              <w:t>NEWPORT NEWS</w:t>
            </w: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42E" w14:textId="77777777" w:rsidR="00510CAA" w:rsidRDefault="00510CAA">
            <w:pPr>
              <w:rPr>
                <w:rFonts w:ascii="Arial" w:eastAsia="Arial" w:hAnsi="Arial" w:cs="Arial"/>
                <w:color w:val="000000"/>
                <w:sz w:val="16"/>
              </w:rPr>
            </w:pPr>
          </w:p>
        </w:tc>
        <w:tc>
          <w:tcPr>
            <w:tcW w:w="630" w:type="dxa"/>
            <w:vMerge w:val="restart"/>
            <w:tcBorders>
              <w:top w:val="dotted" w:sz="2" w:space="0" w:color="000000"/>
              <w:left w:val="nil"/>
              <w:bottom w:val="nil"/>
              <w:right w:val="nil"/>
              <w:tl2br w:val="nil"/>
              <w:tr2bl w:val="nil"/>
            </w:tcBorders>
            <w:tcMar>
              <w:left w:w="40" w:type="dxa"/>
              <w:right w:w="40" w:type="dxa"/>
            </w:tcMar>
            <w:vAlign w:val="center"/>
          </w:tcPr>
          <w:p w14:paraId="71F3E42F" w14:textId="77777777" w:rsidR="00510CAA" w:rsidRDefault="003A4815">
            <w:pPr>
              <w:jc w:val="center"/>
              <w:rPr>
                <w:rFonts w:ascii="Arial" w:eastAsia="Arial" w:hAnsi="Arial" w:cs="Arial"/>
                <w:color w:val="000000"/>
                <w:sz w:val="16"/>
              </w:rPr>
            </w:pPr>
            <w:r>
              <w:rPr>
                <w:rFonts w:ascii="Arial" w:eastAsia="Arial" w:hAnsi="Arial" w:cs="Arial"/>
                <w:color w:val="000000"/>
                <w:sz w:val="16"/>
              </w:rPr>
              <w:t>K</w:t>
            </w:r>
          </w:p>
        </w:tc>
        <w:tc>
          <w:tcPr>
            <w:tcW w:w="1290" w:type="dxa"/>
            <w:tcBorders>
              <w:top w:val="dotted" w:sz="2" w:space="0" w:color="000000"/>
              <w:left w:val="nil"/>
              <w:bottom w:val="nil"/>
              <w:right w:val="nil"/>
              <w:tl2br w:val="nil"/>
              <w:tr2bl w:val="nil"/>
            </w:tcBorders>
            <w:tcMar>
              <w:left w:w="40" w:type="dxa"/>
              <w:right w:w="40" w:type="dxa"/>
            </w:tcMar>
          </w:tcPr>
          <w:p w14:paraId="71F3E430" w14:textId="77777777" w:rsidR="00510CAA" w:rsidRDefault="003A4815">
            <w:pPr>
              <w:jc w:val="center"/>
              <w:rPr>
                <w:rFonts w:ascii="Arial" w:eastAsia="Arial" w:hAnsi="Arial" w:cs="Arial"/>
                <w:color w:val="000000"/>
                <w:sz w:val="16"/>
              </w:rPr>
            </w:pPr>
            <w:r>
              <w:rPr>
                <w:rFonts w:ascii="Arial" w:eastAsia="Arial" w:hAnsi="Arial" w:cs="Arial"/>
                <w:color w:val="000000"/>
                <w:sz w:val="16"/>
              </w:rPr>
              <w:t>25,000</w:t>
            </w:r>
          </w:p>
        </w:tc>
        <w:tc>
          <w:tcPr>
            <w:tcW w:w="660" w:type="dxa"/>
            <w:tcBorders>
              <w:top w:val="dotted" w:sz="2" w:space="0" w:color="000000"/>
              <w:left w:val="nil"/>
              <w:bottom w:val="nil"/>
              <w:right w:val="nil"/>
              <w:tl2br w:val="nil"/>
              <w:tr2bl w:val="nil"/>
            </w:tcBorders>
            <w:noWrap/>
            <w:tcMar>
              <w:left w:w="40" w:type="dxa"/>
              <w:right w:w="40" w:type="dxa"/>
            </w:tcMar>
          </w:tcPr>
          <w:p w14:paraId="71F3E431" w14:textId="77777777" w:rsidR="00510CAA" w:rsidRDefault="003A4815">
            <w:pPr>
              <w:jc w:val="center"/>
              <w:rPr>
                <w:rFonts w:ascii="Arial" w:eastAsia="Arial" w:hAnsi="Arial" w:cs="Arial"/>
                <w:color w:val="000000"/>
                <w:sz w:val="16"/>
              </w:rPr>
            </w:pPr>
            <w:r>
              <w:rPr>
                <w:rFonts w:ascii="Arial" w:eastAsia="Arial" w:hAnsi="Arial" w:cs="Arial"/>
                <w:color w:val="000000"/>
                <w:sz w:val="16"/>
              </w:rPr>
              <w:t>5.00%</w:t>
            </w:r>
          </w:p>
        </w:tc>
        <w:tc>
          <w:tcPr>
            <w:tcW w:w="2595" w:type="dxa"/>
            <w:vMerge w:val="restart"/>
            <w:tcBorders>
              <w:top w:val="dotted" w:sz="2" w:space="0" w:color="000000"/>
              <w:left w:val="nil"/>
              <w:bottom w:val="nil"/>
              <w:right w:val="nil"/>
              <w:tl2br w:val="nil"/>
              <w:tr2bl w:val="nil"/>
            </w:tcBorders>
            <w:tcMar>
              <w:left w:w="40" w:type="dxa"/>
              <w:right w:w="40" w:type="dxa"/>
            </w:tcMar>
          </w:tcPr>
          <w:p w14:paraId="71F3E432" w14:textId="77777777" w:rsidR="00510CAA" w:rsidRDefault="003A4815">
            <w:pPr>
              <w:jc w:val="center"/>
              <w:rPr>
                <w:rFonts w:ascii="Arial" w:eastAsia="Arial" w:hAnsi="Arial" w:cs="Arial"/>
                <w:color w:val="000000"/>
                <w:sz w:val="16"/>
              </w:rPr>
            </w:pPr>
            <w:r>
              <w:rPr>
                <w:rFonts w:ascii="Arial" w:eastAsia="Arial" w:hAnsi="Arial" w:cs="Arial"/>
                <w:color w:val="000000"/>
                <w:sz w:val="16"/>
              </w:rPr>
              <w:t>Bohai Ocean Shipping (Singapore) Holding Pte. Ltd.</w:t>
            </w:r>
          </w:p>
        </w:tc>
        <w:tc>
          <w:tcPr>
            <w:tcW w:w="1410" w:type="dxa"/>
            <w:tcBorders>
              <w:top w:val="dotted" w:sz="2" w:space="0" w:color="000000"/>
              <w:left w:val="nil"/>
              <w:bottom w:val="nil"/>
              <w:right w:val="nil"/>
              <w:tl2br w:val="nil"/>
              <w:tr2bl w:val="nil"/>
            </w:tcBorders>
            <w:tcMar>
              <w:left w:w="40" w:type="dxa"/>
              <w:right w:w="40" w:type="dxa"/>
            </w:tcMar>
          </w:tcPr>
          <w:p w14:paraId="71F3E433" w14:textId="77777777" w:rsidR="00510CAA" w:rsidRDefault="003A4815">
            <w:pPr>
              <w:jc w:val="center"/>
              <w:rPr>
                <w:rFonts w:ascii="Arial" w:eastAsia="Arial" w:hAnsi="Arial" w:cs="Arial"/>
                <w:color w:val="000000"/>
                <w:sz w:val="16"/>
              </w:rPr>
            </w:pPr>
            <w:r>
              <w:rPr>
                <w:rFonts w:ascii="Arial" w:eastAsia="Arial" w:hAnsi="Arial" w:cs="Arial"/>
                <w:color w:val="000000"/>
                <w:sz w:val="16"/>
              </w:rPr>
              <w:t>16-Jun-25</w:t>
            </w:r>
          </w:p>
        </w:tc>
        <w:tc>
          <w:tcPr>
            <w:tcW w:w="2100" w:type="dxa"/>
            <w:tcBorders>
              <w:top w:val="dotted" w:sz="2" w:space="0" w:color="000000"/>
              <w:left w:val="nil"/>
              <w:bottom w:val="nil"/>
              <w:right w:val="nil"/>
              <w:tl2br w:val="nil"/>
              <w:tr2bl w:val="nil"/>
            </w:tcBorders>
            <w:tcMar>
              <w:left w:w="40" w:type="dxa"/>
              <w:right w:w="40" w:type="dxa"/>
            </w:tcMar>
          </w:tcPr>
          <w:p w14:paraId="71F3E434" w14:textId="77777777" w:rsidR="00510CAA" w:rsidRDefault="003A4815">
            <w:pPr>
              <w:jc w:val="center"/>
              <w:rPr>
                <w:rFonts w:ascii="Arial" w:eastAsia="Arial" w:hAnsi="Arial" w:cs="Arial"/>
                <w:color w:val="000000"/>
                <w:sz w:val="16"/>
              </w:rPr>
            </w:pPr>
            <w:r>
              <w:rPr>
                <w:rFonts w:ascii="Arial" w:eastAsia="Arial" w:hAnsi="Arial" w:cs="Arial"/>
                <w:color w:val="000000"/>
                <w:sz w:val="16"/>
              </w:rPr>
              <w:t>1/Sep/2026 - 31/Oct/2026</w:t>
            </w:r>
          </w:p>
        </w:tc>
        <w:tc>
          <w:tcPr>
            <w:tcW w:w="660" w:type="dxa"/>
            <w:vMerge w:val="restart"/>
            <w:tcBorders>
              <w:top w:val="dotted" w:sz="2" w:space="0" w:color="000000"/>
              <w:left w:val="nil"/>
              <w:bottom w:val="nil"/>
              <w:right w:val="nil"/>
              <w:tl2br w:val="nil"/>
              <w:tr2bl w:val="nil"/>
            </w:tcBorders>
            <w:tcMar>
              <w:left w:w="0" w:type="dxa"/>
              <w:right w:w="0" w:type="dxa"/>
            </w:tcMar>
            <w:vAlign w:val="center"/>
          </w:tcPr>
          <w:p w14:paraId="71F3E435" w14:textId="77777777" w:rsidR="00510CAA" w:rsidRDefault="00510CAA">
            <w:pPr>
              <w:jc w:val="center"/>
              <w:rPr>
                <w:rFonts w:ascii="Arial" w:eastAsia="Arial" w:hAnsi="Arial" w:cs="Arial"/>
                <w:color w:val="000000"/>
                <w:sz w:val="16"/>
              </w:rPr>
            </w:pPr>
          </w:p>
        </w:tc>
      </w:tr>
      <w:tr w:rsidR="00510CAA" w14:paraId="71F3E44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5"/>
        </w:trPr>
        <w:tc>
          <w:tcPr>
            <w:tcW w:w="450" w:type="dxa"/>
            <w:tcBorders>
              <w:top w:val="nil"/>
              <w:left w:val="nil"/>
              <w:bottom w:val="dotted" w:sz="2" w:space="0" w:color="000000"/>
              <w:right w:val="nil"/>
              <w:tl2br w:val="nil"/>
              <w:tr2bl w:val="nil"/>
            </w:tcBorders>
            <w:noWrap/>
            <w:tcMar>
              <w:left w:w="0" w:type="dxa"/>
              <w:right w:w="0" w:type="dxa"/>
            </w:tcMar>
            <w:vAlign w:val="center"/>
          </w:tcPr>
          <w:p w14:paraId="71F3E437" w14:textId="77777777" w:rsidR="00510CAA" w:rsidRDefault="00510CAA">
            <w:pPr>
              <w:rPr>
                <w:rFonts w:ascii="Arial" w:eastAsia="Arial" w:hAnsi="Arial" w:cs="Arial"/>
                <w:color w:val="000000"/>
                <w:sz w:val="16"/>
              </w:rPr>
            </w:pPr>
          </w:p>
        </w:tc>
        <w:tc>
          <w:tcPr>
            <w:tcW w:w="1425" w:type="dxa"/>
            <w:tcBorders>
              <w:top w:val="nil"/>
              <w:left w:val="nil"/>
              <w:bottom w:val="dotted" w:sz="2" w:space="0" w:color="000000"/>
              <w:right w:val="nil"/>
              <w:tl2br w:val="nil"/>
              <w:tr2bl w:val="nil"/>
            </w:tcBorders>
            <w:tcMar>
              <w:left w:w="40" w:type="dxa"/>
              <w:right w:w="40" w:type="dxa"/>
            </w:tcMar>
            <w:vAlign w:val="center"/>
          </w:tcPr>
          <w:p w14:paraId="71F3E438" w14:textId="77777777" w:rsidR="00510CAA" w:rsidRDefault="003A4815">
            <w:pPr>
              <w:jc w:val="center"/>
              <w:rPr>
                <w:rFonts w:ascii="Arial" w:eastAsia="Arial" w:hAnsi="Arial" w:cs="Arial"/>
                <w:color w:val="000000"/>
                <w:sz w:val="16"/>
              </w:rPr>
            </w:pPr>
            <w:r>
              <w:rPr>
                <w:rFonts w:ascii="Arial" w:eastAsia="Arial" w:hAnsi="Arial" w:cs="Arial"/>
                <w:color w:val="000000"/>
                <w:sz w:val="16"/>
              </w:rPr>
              <w:t>2017 208,021</w:t>
            </w:r>
          </w:p>
        </w:tc>
        <w:tc>
          <w:tcPr>
            <w:tcW w:w="75" w:type="dxa"/>
            <w:tcBorders>
              <w:top w:val="nil"/>
              <w:left w:val="nil"/>
              <w:bottom w:val="dotted" w:sz="2" w:space="0" w:color="000000"/>
              <w:right w:val="nil"/>
              <w:tl2br w:val="nil"/>
              <w:tr2bl w:val="nil"/>
            </w:tcBorders>
            <w:noWrap/>
            <w:tcMar>
              <w:left w:w="0" w:type="dxa"/>
              <w:right w:w="0" w:type="dxa"/>
            </w:tcMar>
            <w:vAlign w:val="center"/>
          </w:tcPr>
          <w:p w14:paraId="71F3E439" w14:textId="77777777" w:rsidR="00510CAA" w:rsidRDefault="00510CAA">
            <w:pPr>
              <w:rPr>
                <w:rFonts w:ascii="Arial" w:eastAsia="Arial" w:hAnsi="Arial" w:cs="Arial"/>
                <w:color w:val="000000"/>
                <w:sz w:val="16"/>
              </w:rPr>
            </w:pPr>
          </w:p>
        </w:tc>
        <w:tc>
          <w:tcPr>
            <w:tcW w:w="630" w:type="dxa"/>
            <w:vMerge/>
            <w:tcBorders>
              <w:top w:val="nil"/>
              <w:left w:val="nil"/>
              <w:bottom w:val="dotted" w:sz="2" w:space="0" w:color="000000"/>
              <w:right w:val="nil"/>
              <w:tl2br w:val="nil"/>
              <w:tr2bl w:val="nil"/>
            </w:tcBorders>
            <w:tcMar>
              <w:left w:w="0" w:type="dxa"/>
              <w:right w:w="0" w:type="dxa"/>
            </w:tcMar>
            <w:vAlign w:val="center"/>
          </w:tcPr>
          <w:p w14:paraId="71F3E43A" w14:textId="77777777" w:rsidR="00510CAA" w:rsidRDefault="00510CAA">
            <w:pPr>
              <w:jc w:val="center"/>
              <w:rPr>
                <w:rFonts w:ascii="Arial" w:eastAsia="Arial" w:hAnsi="Arial" w:cs="Arial"/>
                <w:color w:val="000000"/>
              </w:rPr>
            </w:pPr>
          </w:p>
        </w:tc>
        <w:tc>
          <w:tcPr>
            <w:tcW w:w="1290" w:type="dxa"/>
            <w:tcBorders>
              <w:top w:val="nil"/>
              <w:left w:val="nil"/>
              <w:bottom w:val="dotted" w:sz="2" w:space="0" w:color="000000"/>
              <w:right w:val="nil"/>
              <w:tl2br w:val="nil"/>
              <w:tr2bl w:val="nil"/>
            </w:tcBorders>
            <w:tcMar>
              <w:left w:w="0" w:type="dxa"/>
              <w:right w:w="0" w:type="dxa"/>
            </w:tcMar>
            <w:vAlign w:val="center"/>
          </w:tcPr>
          <w:p w14:paraId="71F3E43B" w14:textId="77777777" w:rsidR="00510CAA" w:rsidRDefault="00510CAA">
            <w:pPr>
              <w:jc w:val="center"/>
              <w:rPr>
                <w:rFonts w:ascii="Arial" w:eastAsia="Arial" w:hAnsi="Arial" w:cs="Arial"/>
                <w:color w:val="000000"/>
                <w:sz w:val="16"/>
              </w:rPr>
            </w:pPr>
          </w:p>
        </w:tc>
        <w:tc>
          <w:tcPr>
            <w:tcW w:w="660" w:type="dxa"/>
            <w:tcBorders>
              <w:top w:val="nil"/>
              <w:left w:val="nil"/>
              <w:bottom w:val="dotted" w:sz="2" w:space="0" w:color="000000"/>
              <w:right w:val="nil"/>
              <w:tl2br w:val="nil"/>
              <w:tr2bl w:val="nil"/>
            </w:tcBorders>
            <w:noWrap/>
            <w:tcMar>
              <w:left w:w="0" w:type="dxa"/>
              <w:right w:w="0" w:type="dxa"/>
            </w:tcMar>
            <w:vAlign w:val="center"/>
          </w:tcPr>
          <w:p w14:paraId="71F3E43C" w14:textId="77777777" w:rsidR="00510CAA" w:rsidRDefault="00510CAA">
            <w:pPr>
              <w:rPr>
                <w:rFonts w:ascii="Arial" w:eastAsia="Arial" w:hAnsi="Arial" w:cs="Arial"/>
                <w:color w:val="000000"/>
                <w:sz w:val="16"/>
              </w:rPr>
            </w:pPr>
          </w:p>
        </w:tc>
        <w:tc>
          <w:tcPr>
            <w:tcW w:w="2595" w:type="dxa"/>
            <w:vMerge/>
            <w:tcBorders>
              <w:top w:val="nil"/>
              <w:left w:val="nil"/>
              <w:bottom w:val="dotted" w:sz="2" w:space="0" w:color="000000"/>
              <w:right w:val="nil"/>
              <w:tl2br w:val="nil"/>
              <w:tr2bl w:val="nil"/>
            </w:tcBorders>
            <w:tcMar>
              <w:left w:w="0" w:type="dxa"/>
              <w:right w:w="0" w:type="dxa"/>
            </w:tcMar>
          </w:tcPr>
          <w:p w14:paraId="71F3E43D" w14:textId="77777777" w:rsidR="00510CAA" w:rsidRDefault="00510CAA">
            <w:pPr>
              <w:jc w:val="center"/>
              <w:rPr>
                <w:rFonts w:ascii="Arial" w:eastAsia="Arial" w:hAnsi="Arial" w:cs="Arial"/>
                <w:color w:val="000000"/>
                <w:sz w:val="16"/>
              </w:rPr>
            </w:pPr>
          </w:p>
        </w:tc>
        <w:tc>
          <w:tcPr>
            <w:tcW w:w="1410" w:type="dxa"/>
            <w:tcBorders>
              <w:top w:val="nil"/>
              <w:left w:val="nil"/>
              <w:bottom w:val="dotted" w:sz="2" w:space="0" w:color="000000"/>
              <w:right w:val="nil"/>
              <w:tl2br w:val="nil"/>
              <w:tr2bl w:val="nil"/>
            </w:tcBorders>
            <w:tcMar>
              <w:left w:w="0" w:type="dxa"/>
              <w:right w:w="0" w:type="dxa"/>
            </w:tcMar>
            <w:vAlign w:val="center"/>
          </w:tcPr>
          <w:p w14:paraId="71F3E43E" w14:textId="77777777" w:rsidR="00510CAA" w:rsidRDefault="00510CAA">
            <w:pPr>
              <w:jc w:val="center"/>
              <w:rPr>
                <w:rFonts w:ascii="Arial" w:eastAsia="Arial" w:hAnsi="Arial" w:cs="Arial"/>
                <w:color w:val="000000"/>
                <w:sz w:val="16"/>
              </w:rPr>
            </w:pPr>
          </w:p>
        </w:tc>
        <w:tc>
          <w:tcPr>
            <w:tcW w:w="2100" w:type="dxa"/>
            <w:tcBorders>
              <w:top w:val="nil"/>
              <w:left w:val="nil"/>
              <w:bottom w:val="dotted" w:sz="2" w:space="0" w:color="000000"/>
              <w:right w:val="nil"/>
              <w:tl2br w:val="nil"/>
              <w:tr2bl w:val="nil"/>
            </w:tcBorders>
            <w:tcMar>
              <w:left w:w="0" w:type="dxa"/>
              <w:right w:w="0" w:type="dxa"/>
            </w:tcMar>
            <w:vAlign w:val="center"/>
          </w:tcPr>
          <w:p w14:paraId="71F3E43F" w14:textId="77777777" w:rsidR="00510CAA" w:rsidRDefault="00510CAA">
            <w:pPr>
              <w:jc w:val="center"/>
              <w:rPr>
                <w:rFonts w:ascii="Arial" w:eastAsia="Arial" w:hAnsi="Arial" w:cs="Arial"/>
                <w:color w:val="000000"/>
                <w:sz w:val="16"/>
              </w:rPr>
            </w:pPr>
          </w:p>
        </w:tc>
        <w:tc>
          <w:tcPr>
            <w:tcW w:w="660" w:type="dxa"/>
            <w:vMerge/>
            <w:tcBorders>
              <w:top w:val="nil"/>
              <w:left w:val="nil"/>
              <w:bottom w:val="dotted" w:sz="2" w:space="0" w:color="000000"/>
              <w:right w:val="nil"/>
              <w:tl2br w:val="nil"/>
              <w:tr2bl w:val="nil"/>
            </w:tcBorders>
            <w:tcMar>
              <w:left w:w="0" w:type="dxa"/>
              <w:right w:w="0" w:type="dxa"/>
            </w:tcMar>
            <w:vAlign w:val="center"/>
          </w:tcPr>
          <w:p w14:paraId="71F3E440" w14:textId="77777777" w:rsidR="00510CAA" w:rsidRDefault="00510CAA">
            <w:pPr>
              <w:jc w:val="center"/>
              <w:rPr>
                <w:rFonts w:ascii="Arial" w:eastAsia="Arial" w:hAnsi="Arial" w:cs="Arial"/>
                <w:color w:val="000000"/>
              </w:rPr>
            </w:pPr>
          </w:p>
        </w:tc>
      </w:tr>
      <w:tr w:rsidR="00510CAA" w14:paraId="71F3E44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450" w:type="dxa"/>
            <w:tcBorders>
              <w:top w:val="dotted" w:sz="2" w:space="0" w:color="000000"/>
              <w:left w:val="nil"/>
              <w:bottom w:val="nil"/>
              <w:right w:val="nil"/>
              <w:tl2br w:val="nil"/>
              <w:tr2bl w:val="nil"/>
            </w:tcBorders>
            <w:noWrap/>
            <w:tcMar>
              <w:left w:w="0" w:type="dxa"/>
              <w:right w:w="0" w:type="dxa"/>
            </w:tcMar>
            <w:vAlign w:val="center"/>
          </w:tcPr>
          <w:p w14:paraId="71F3E442" w14:textId="77777777" w:rsidR="00510CAA" w:rsidRDefault="00510CAA">
            <w:pPr>
              <w:rPr>
                <w:rFonts w:ascii="Arial" w:eastAsia="Arial" w:hAnsi="Arial" w:cs="Arial"/>
                <w:color w:val="000000"/>
                <w:sz w:val="16"/>
              </w:rPr>
            </w:pPr>
          </w:p>
        </w:tc>
        <w:tc>
          <w:tcPr>
            <w:tcW w:w="1425" w:type="dxa"/>
            <w:tcBorders>
              <w:top w:val="dotted" w:sz="2" w:space="0" w:color="000000"/>
              <w:left w:val="nil"/>
              <w:bottom w:val="nil"/>
              <w:right w:val="nil"/>
              <w:tl2br w:val="nil"/>
              <w:tr2bl w:val="nil"/>
            </w:tcBorders>
            <w:noWrap/>
            <w:tcMar>
              <w:left w:w="0" w:type="dxa"/>
              <w:right w:w="0" w:type="dxa"/>
            </w:tcMar>
            <w:vAlign w:val="center"/>
          </w:tcPr>
          <w:p w14:paraId="71F3E443" w14:textId="77777777" w:rsidR="00510CAA" w:rsidRDefault="00510CAA">
            <w:pPr>
              <w:rPr>
                <w:rFonts w:ascii="Arial" w:eastAsia="Arial" w:hAnsi="Arial" w:cs="Arial"/>
                <w:color w:val="000000"/>
                <w:sz w:val="16"/>
              </w:rPr>
            </w:pPr>
          </w:p>
        </w:tc>
        <w:tc>
          <w:tcPr>
            <w:tcW w:w="75" w:type="dxa"/>
            <w:tcBorders>
              <w:top w:val="dotted" w:sz="2" w:space="0" w:color="000000"/>
              <w:left w:val="nil"/>
              <w:bottom w:val="nil"/>
              <w:right w:val="nil"/>
              <w:tl2br w:val="nil"/>
              <w:tr2bl w:val="nil"/>
            </w:tcBorders>
            <w:noWrap/>
            <w:tcMar>
              <w:left w:w="0" w:type="dxa"/>
              <w:right w:w="0" w:type="dxa"/>
            </w:tcMar>
            <w:vAlign w:val="center"/>
          </w:tcPr>
          <w:p w14:paraId="71F3E444" w14:textId="77777777" w:rsidR="00510CAA" w:rsidRDefault="00510CAA">
            <w:pPr>
              <w:rPr>
                <w:rFonts w:ascii="Arial" w:eastAsia="Arial" w:hAnsi="Arial" w:cs="Arial"/>
                <w:color w:val="000000"/>
                <w:sz w:val="16"/>
              </w:rPr>
            </w:pPr>
          </w:p>
        </w:tc>
        <w:tc>
          <w:tcPr>
            <w:tcW w:w="630" w:type="dxa"/>
            <w:tcBorders>
              <w:top w:val="dotted" w:sz="2" w:space="0" w:color="000000"/>
              <w:left w:val="nil"/>
              <w:bottom w:val="nil"/>
              <w:right w:val="nil"/>
              <w:tl2br w:val="nil"/>
              <w:tr2bl w:val="nil"/>
            </w:tcBorders>
            <w:noWrap/>
            <w:tcMar>
              <w:left w:w="0" w:type="dxa"/>
              <w:right w:w="0" w:type="dxa"/>
            </w:tcMar>
            <w:vAlign w:val="center"/>
          </w:tcPr>
          <w:p w14:paraId="71F3E445" w14:textId="77777777" w:rsidR="00510CAA" w:rsidRDefault="00510CAA">
            <w:pPr>
              <w:rPr>
                <w:rFonts w:ascii="Arial" w:eastAsia="Arial" w:hAnsi="Arial" w:cs="Arial"/>
                <w:color w:val="000000"/>
                <w:sz w:val="16"/>
              </w:rPr>
            </w:pPr>
          </w:p>
        </w:tc>
        <w:tc>
          <w:tcPr>
            <w:tcW w:w="1290" w:type="dxa"/>
            <w:tcBorders>
              <w:top w:val="dotted" w:sz="2" w:space="0" w:color="000000"/>
              <w:left w:val="nil"/>
              <w:bottom w:val="nil"/>
              <w:right w:val="nil"/>
              <w:tl2br w:val="nil"/>
              <w:tr2bl w:val="nil"/>
            </w:tcBorders>
            <w:noWrap/>
            <w:tcMar>
              <w:left w:w="0" w:type="dxa"/>
              <w:right w:w="0" w:type="dxa"/>
            </w:tcMar>
            <w:vAlign w:val="bottom"/>
          </w:tcPr>
          <w:p w14:paraId="71F3E446" w14:textId="77777777" w:rsidR="00510CAA" w:rsidRDefault="00510CAA">
            <w:pPr>
              <w:rPr>
                <w:rFonts w:ascii="Arial" w:eastAsia="Arial" w:hAnsi="Arial" w:cs="Arial"/>
                <w:color w:val="000000"/>
              </w:rPr>
            </w:pPr>
          </w:p>
        </w:tc>
        <w:tc>
          <w:tcPr>
            <w:tcW w:w="660" w:type="dxa"/>
            <w:tcBorders>
              <w:top w:val="dotted" w:sz="2" w:space="0" w:color="000000"/>
              <w:left w:val="nil"/>
              <w:bottom w:val="nil"/>
              <w:right w:val="nil"/>
              <w:tl2br w:val="nil"/>
              <w:tr2bl w:val="nil"/>
            </w:tcBorders>
            <w:noWrap/>
            <w:tcMar>
              <w:left w:w="0" w:type="dxa"/>
              <w:right w:w="0" w:type="dxa"/>
            </w:tcMar>
            <w:vAlign w:val="bottom"/>
          </w:tcPr>
          <w:p w14:paraId="71F3E447" w14:textId="77777777" w:rsidR="00510CAA" w:rsidRDefault="00510CAA">
            <w:pPr>
              <w:rPr>
                <w:rFonts w:ascii="Arial" w:eastAsia="Arial" w:hAnsi="Arial" w:cs="Arial"/>
                <w:color w:val="000000"/>
              </w:rPr>
            </w:pPr>
          </w:p>
        </w:tc>
        <w:tc>
          <w:tcPr>
            <w:tcW w:w="2595" w:type="dxa"/>
            <w:tcBorders>
              <w:top w:val="dotted" w:sz="2" w:space="0" w:color="000000"/>
              <w:left w:val="nil"/>
              <w:bottom w:val="nil"/>
              <w:right w:val="nil"/>
              <w:tl2br w:val="nil"/>
              <w:tr2bl w:val="nil"/>
            </w:tcBorders>
            <w:noWrap/>
            <w:tcMar>
              <w:left w:w="0" w:type="dxa"/>
              <w:right w:w="0" w:type="dxa"/>
            </w:tcMar>
            <w:vAlign w:val="bottom"/>
          </w:tcPr>
          <w:p w14:paraId="71F3E448" w14:textId="77777777" w:rsidR="00510CAA" w:rsidRDefault="00510CAA">
            <w:pPr>
              <w:rPr>
                <w:rFonts w:ascii="Arial" w:eastAsia="Arial" w:hAnsi="Arial" w:cs="Arial"/>
                <w:color w:val="000000"/>
              </w:rPr>
            </w:pPr>
          </w:p>
        </w:tc>
        <w:tc>
          <w:tcPr>
            <w:tcW w:w="1410" w:type="dxa"/>
            <w:tcBorders>
              <w:top w:val="dotted" w:sz="2" w:space="0" w:color="000000"/>
              <w:left w:val="nil"/>
              <w:bottom w:val="nil"/>
              <w:right w:val="nil"/>
              <w:tl2br w:val="nil"/>
              <w:tr2bl w:val="nil"/>
            </w:tcBorders>
            <w:noWrap/>
            <w:tcMar>
              <w:left w:w="0" w:type="dxa"/>
              <w:right w:w="0" w:type="dxa"/>
            </w:tcMar>
            <w:vAlign w:val="bottom"/>
          </w:tcPr>
          <w:p w14:paraId="71F3E449" w14:textId="77777777" w:rsidR="00510CAA" w:rsidRDefault="00510CAA">
            <w:pPr>
              <w:rPr>
                <w:rFonts w:ascii="Arial" w:eastAsia="Arial" w:hAnsi="Arial" w:cs="Arial"/>
                <w:color w:val="000000"/>
              </w:rPr>
            </w:pPr>
          </w:p>
        </w:tc>
        <w:tc>
          <w:tcPr>
            <w:tcW w:w="2100" w:type="dxa"/>
            <w:tcBorders>
              <w:top w:val="dotted" w:sz="2" w:space="0" w:color="000000"/>
              <w:left w:val="nil"/>
              <w:bottom w:val="nil"/>
              <w:right w:val="nil"/>
              <w:tl2br w:val="nil"/>
              <w:tr2bl w:val="nil"/>
            </w:tcBorders>
            <w:noWrap/>
            <w:tcMar>
              <w:left w:w="0" w:type="dxa"/>
              <w:right w:w="0" w:type="dxa"/>
            </w:tcMar>
            <w:vAlign w:val="bottom"/>
          </w:tcPr>
          <w:p w14:paraId="71F3E44A" w14:textId="77777777" w:rsidR="00510CAA" w:rsidRDefault="00510CAA">
            <w:pPr>
              <w:rPr>
                <w:rFonts w:ascii="Arial" w:eastAsia="Arial" w:hAnsi="Arial" w:cs="Arial"/>
                <w:color w:val="000000"/>
              </w:rPr>
            </w:pPr>
          </w:p>
        </w:tc>
        <w:tc>
          <w:tcPr>
            <w:tcW w:w="660" w:type="dxa"/>
            <w:tcBorders>
              <w:top w:val="dotted" w:sz="2" w:space="0" w:color="000000"/>
              <w:left w:val="nil"/>
              <w:bottom w:val="nil"/>
              <w:right w:val="nil"/>
              <w:tl2br w:val="nil"/>
              <w:tr2bl w:val="nil"/>
            </w:tcBorders>
            <w:noWrap/>
            <w:tcMar>
              <w:left w:w="0" w:type="dxa"/>
              <w:right w:w="0" w:type="dxa"/>
            </w:tcMar>
            <w:vAlign w:val="center"/>
          </w:tcPr>
          <w:p w14:paraId="71F3E44B" w14:textId="77777777" w:rsidR="00510CAA" w:rsidRDefault="00510CAA">
            <w:pPr>
              <w:rPr>
                <w:rFonts w:ascii="Arial" w:eastAsia="Arial" w:hAnsi="Arial" w:cs="Arial"/>
                <w:color w:val="000000"/>
                <w:sz w:val="16"/>
              </w:rPr>
            </w:pPr>
          </w:p>
        </w:tc>
      </w:tr>
      <w:tr w:rsidR="00510CAA" w14:paraId="71F3E44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4D" w14:textId="77777777" w:rsidR="00510CAA" w:rsidRDefault="003A4815">
            <w:pPr>
              <w:rPr>
                <w:rFonts w:ascii="Arial" w:eastAsia="Arial" w:hAnsi="Arial" w:cs="Arial"/>
                <w:color w:val="000000"/>
                <w:sz w:val="16"/>
              </w:rPr>
            </w:pPr>
            <w:r>
              <w:rPr>
                <w:rFonts w:ascii="Arial" w:eastAsia="Arial" w:hAnsi="Arial" w:cs="Arial"/>
                <w:color w:val="000000"/>
                <w:sz w:val="16"/>
              </w:rPr>
              <w:t>* Each dry bulk carrier is a “sister ship”, or closely similar, to other dry bulk carriers that have the same letter.</w:t>
            </w:r>
          </w:p>
        </w:tc>
      </w:tr>
      <w:tr w:rsidR="00510CAA" w14:paraId="71F3E4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4F" w14:textId="77777777" w:rsidR="00510CAA" w:rsidRDefault="003A4815">
            <w:pPr>
              <w:rPr>
                <w:rFonts w:ascii="Arial" w:eastAsia="Arial" w:hAnsi="Arial" w:cs="Arial"/>
                <w:color w:val="000000"/>
                <w:sz w:val="16"/>
              </w:rPr>
            </w:pPr>
            <w:r>
              <w:rPr>
                <w:rFonts w:ascii="Arial" w:eastAsia="Arial" w:hAnsi="Arial" w:cs="Arial"/>
                <w:color w:val="000000"/>
                <w:sz w:val="16"/>
              </w:rPr>
              <w:t>** Total commission percentage paid to third parties.</w:t>
            </w:r>
          </w:p>
        </w:tc>
      </w:tr>
      <w:tr w:rsidR="00510CAA" w14:paraId="71F3E45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1" w14:textId="77777777" w:rsidR="00510CAA" w:rsidRDefault="003A4815">
            <w:pPr>
              <w:rPr>
                <w:rFonts w:ascii="Arial" w:eastAsia="Arial" w:hAnsi="Arial" w:cs="Arial"/>
                <w:color w:val="000000"/>
                <w:sz w:val="16"/>
              </w:rPr>
            </w:pPr>
            <w:r>
              <w:rPr>
                <w:rFonts w:ascii="Arial" w:eastAsia="Arial" w:hAnsi="Arial" w:cs="Arial"/>
                <w:color w:val="000000"/>
                <w:sz w:val="16"/>
              </w:rPr>
              <w:t>*** In case of newly acquired vessel with time charter attached, this date refers to the expected/actual date of delivery of the vessel to the Company.</w:t>
            </w:r>
          </w:p>
        </w:tc>
      </w:tr>
      <w:tr w:rsidR="00510CAA" w14:paraId="71F3E45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65"/>
        </w:trPr>
        <w:tc>
          <w:tcPr>
            <w:tcW w:w="11295" w:type="dxa"/>
            <w:gridSpan w:val="10"/>
            <w:tcBorders>
              <w:top w:val="nil"/>
              <w:left w:val="nil"/>
              <w:bottom w:val="nil"/>
              <w:right w:val="nil"/>
              <w:tl2br w:val="nil"/>
              <w:tr2bl w:val="nil"/>
            </w:tcBorders>
            <w:tcMar>
              <w:left w:w="40" w:type="dxa"/>
              <w:right w:w="40" w:type="dxa"/>
            </w:tcMar>
          </w:tcPr>
          <w:p w14:paraId="71F3E453" w14:textId="77777777" w:rsidR="00510CAA" w:rsidRDefault="003A4815">
            <w:pPr>
              <w:rPr>
                <w:rFonts w:ascii="Arial" w:eastAsia="Arial" w:hAnsi="Arial" w:cs="Arial"/>
                <w:color w:val="000000"/>
                <w:sz w:val="16"/>
              </w:rPr>
            </w:pPr>
            <w:r>
              <w:rPr>
                <w:rFonts w:ascii="Arial" w:eastAsia="Arial" w:hAnsi="Arial" w:cs="Arial"/>
                <w:color w:val="000000"/>
                <w:sz w:val="16"/>
              </w:rPr>
              <w:t>**** Range of redelivery dates, with the actual date of redelivery being at the Charterers’ option, but subject to the terms, conditions, and exceptions of the particular charterparty.</w:t>
            </w:r>
          </w:p>
        </w:tc>
      </w:tr>
      <w:tr w:rsidR="00510CAA" w14:paraId="71F3E45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0" w:type="dxa"/>
              <w:right w:w="0" w:type="dxa"/>
            </w:tcMar>
          </w:tcPr>
          <w:p w14:paraId="71F3E455" w14:textId="77777777" w:rsidR="00510CAA" w:rsidRDefault="00510CAA">
            <w:pPr>
              <w:rPr>
                <w:rFonts w:ascii="Arial" w:eastAsia="Arial" w:hAnsi="Arial" w:cs="Arial"/>
                <w:color w:val="000000"/>
                <w:sz w:val="16"/>
              </w:rPr>
            </w:pPr>
          </w:p>
        </w:tc>
      </w:tr>
      <w:tr w:rsidR="00510CAA" w14:paraId="71F3E45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7" w14:textId="77777777" w:rsidR="00510CAA" w:rsidRDefault="003A4815">
            <w:pPr>
              <w:rPr>
                <w:rFonts w:ascii="Arial" w:eastAsia="Arial" w:hAnsi="Arial" w:cs="Arial"/>
                <w:color w:val="000000"/>
                <w:sz w:val="16"/>
              </w:rPr>
            </w:pPr>
            <w:r>
              <w:rPr>
                <w:rFonts w:ascii="Arial" w:eastAsia="Arial" w:hAnsi="Arial" w:cs="Arial"/>
                <w:color w:val="000000"/>
                <w:sz w:val="16"/>
              </w:rPr>
              <w:t>1Based on latest information.</w:t>
            </w:r>
          </w:p>
        </w:tc>
      </w:tr>
      <w:tr w:rsidR="00510CAA" w14:paraId="71F3E45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9" w14:textId="77777777" w:rsidR="00510CAA" w:rsidRDefault="003A4815">
            <w:pPr>
              <w:rPr>
                <w:rFonts w:ascii="Arial" w:eastAsia="Arial" w:hAnsi="Arial" w:cs="Arial"/>
                <w:color w:val="000000"/>
                <w:sz w:val="16"/>
              </w:rPr>
            </w:pPr>
            <w:r>
              <w:rPr>
                <w:rFonts w:ascii="Arial" w:eastAsia="Arial" w:hAnsi="Arial" w:cs="Arial"/>
                <w:color w:val="000000"/>
                <w:sz w:val="16"/>
              </w:rPr>
              <w:t>2Vessel on scheduled drydocking from September 17, 2025 to October 12, 2025.</w:t>
            </w:r>
          </w:p>
        </w:tc>
      </w:tr>
      <w:tr w:rsidR="00510CAA" w14:paraId="71F3E45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B" w14:textId="77777777" w:rsidR="00510CAA" w:rsidRDefault="003A4815">
            <w:pPr>
              <w:rPr>
                <w:rFonts w:ascii="Arial" w:eastAsia="Arial" w:hAnsi="Arial" w:cs="Arial"/>
                <w:color w:val="000000"/>
                <w:sz w:val="16"/>
              </w:rPr>
            </w:pPr>
            <w:r>
              <w:rPr>
                <w:rFonts w:ascii="Arial" w:eastAsia="Arial" w:hAnsi="Arial" w:cs="Arial"/>
                <w:color w:val="000000"/>
                <w:sz w:val="16"/>
              </w:rPr>
              <w:t>3Vessel on scheduled drydocking from December 27, 2025 to January 19, 2026.</w:t>
            </w:r>
          </w:p>
        </w:tc>
      </w:tr>
      <w:tr w:rsidR="00510CAA" w14:paraId="71F3E45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D" w14:textId="77777777" w:rsidR="00510CAA" w:rsidRDefault="003A4815">
            <w:pPr>
              <w:rPr>
                <w:rFonts w:ascii="Arial" w:eastAsia="Arial" w:hAnsi="Arial" w:cs="Arial"/>
                <w:color w:val="000000"/>
                <w:sz w:val="16"/>
              </w:rPr>
            </w:pPr>
            <w:r>
              <w:rPr>
                <w:rFonts w:ascii="Arial" w:eastAsia="Arial" w:hAnsi="Arial" w:cs="Arial"/>
                <w:color w:val="000000"/>
                <w:sz w:val="16"/>
              </w:rPr>
              <w:t>4Bareboat chartered-in for a period of ten years.</w:t>
            </w:r>
          </w:p>
        </w:tc>
      </w:tr>
      <w:tr w:rsidR="00510CAA" w14:paraId="71F3E46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5F" w14:textId="77777777" w:rsidR="00510CAA" w:rsidRDefault="003A4815">
            <w:pPr>
              <w:rPr>
                <w:rFonts w:ascii="Arial" w:eastAsia="Arial" w:hAnsi="Arial" w:cs="Arial"/>
                <w:color w:val="000000"/>
                <w:sz w:val="16"/>
              </w:rPr>
            </w:pPr>
            <w:r>
              <w:rPr>
                <w:rFonts w:ascii="Arial" w:eastAsia="Arial" w:hAnsi="Arial" w:cs="Arial"/>
                <w:color w:val="000000"/>
                <w:sz w:val="16"/>
              </w:rPr>
              <w:t>5Estimated redelivery date from the charterers.</w:t>
            </w:r>
          </w:p>
        </w:tc>
      </w:tr>
      <w:tr w:rsidR="00510CAA" w14:paraId="71F3E46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1" w14:textId="77777777" w:rsidR="00510CAA" w:rsidRDefault="003A4815">
            <w:pPr>
              <w:rPr>
                <w:rFonts w:ascii="Arial" w:eastAsia="Arial" w:hAnsi="Arial" w:cs="Arial"/>
                <w:color w:val="000000"/>
                <w:sz w:val="16"/>
              </w:rPr>
            </w:pPr>
            <w:r>
              <w:rPr>
                <w:rFonts w:ascii="Arial" w:eastAsia="Arial" w:hAnsi="Arial" w:cs="Arial"/>
                <w:color w:val="000000"/>
                <w:sz w:val="16"/>
              </w:rPr>
              <w:t>6Estimated delivery date to the charterers.</w:t>
            </w:r>
          </w:p>
        </w:tc>
      </w:tr>
      <w:tr w:rsidR="00510CAA" w14:paraId="71F3E46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3" w14:textId="77777777" w:rsidR="00510CAA" w:rsidRDefault="003A4815">
            <w:pPr>
              <w:rPr>
                <w:rFonts w:ascii="Arial" w:eastAsia="Arial" w:hAnsi="Arial" w:cs="Arial"/>
                <w:color w:val="000000"/>
                <w:sz w:val="16"/>
              </w:rPr>
            </w:pPr>
            <w:r>
              <w:rPr>
                <w:rFonts w:ascii="Arial" w:eastAsia="Arial" w:hAnsi="Arial" w:cs="Arial"/>
                <w:color w:val="000000"/>
                <w:sz w:val="16"/>
              </w:rPr>
              <w:t>7The charter rate was US$9,000 per day for the first thirty-five (35) days of the charter period.</w:t>
            </w:r>
          </w:p>
        </w:tc>
      </w:tr>
      <w:tr w:rsidR="00510CAA" w14:paraId="71F3E46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80"/>
        </w:trPr>
        <w:tc>
          <w:tcPr>
            <w:tcW w:w="11295" w:type="dxa"/>
            <w:gridSpan w:val="10"/>
            <w:tcBorders>
              <w:top w:val="nil"/>
              <w:left w:val="nil"/>
              <w:bottom w:val="nil"/>
              <w:right w:val="nil"/>
              <w:tl2br w:val="nil"/>
              <w:tr2bl w:val="nil"/>
            </w:tcBorders>
            <w:tcMar>
              <w:left w:w="40" w:type="dxa"/>
              <w:right w:w="40" w:type="dxa"/>
            </w:tcMar>
          </w:tcPr>
          <w:p w14:paraId="71F3E465" w14:textId="77777777" w:rsidR="00510CAA" w:rsidRDefault="003A4815">
            <w:pPr>
              <w:rPr>
                <w:rFonts w:ascii="Arial" w:eastAsia="Arial" w:hAnsi="Arial" w:cs="Arial"/>
                <w:color w:val="000000"/>
                <w:sz w:val="16"/>
              </w:rPr>
            </w:pPr>
            <w:r>
              <w:rPr>
                <w:rFonts w:ascii="Arial" w:eastAsia="Arial" w:hAnsi="Arial" w:cs="Arial"/>
                <w:color w:val="000000"/>
                <w:sz w:val="16"/>
              </w:rPr>
              <w:t>8Charterers have agreed to compensate the Owners, for all the days over and above the maximum redelivery date (December 31, 2025), at a hire rate of 105% of the average of the Baltic Panamax Index 5TC or the vessel’s present charter party rate whichever of the two is higher.</w:t>
            </w:r>
          </w:p>
        </w:tc>
      </w:tr>
      <w:tr w:rsidR="00510CAA" w14:paraId="71F3E4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7" w14:textId="77777777" w:rsidR="00510CAA" w:rsidRDefault="003A4815">
            <w:pPr>
              <w:rPr>
                <w:rFonts w:ascii="Arial" w:eastAsia="Arial" w:hAnsi="Arial" w:cs="Arial"/>
                <w:color w:val="000000"/>
                <w:sz w:val="16"/>
              </w:rPr>
            </w:pPr>
            <w:r>
              <w:rPr>
                <w:rFonts w:ascii="Arial" w:eastAsia="Arial" w:hAnsi="Arial" w:cs="Arial"/>
                <w:color w:val="000000"/>
                <w:sz w:val="16"/>
              </w:rPr>
              <w:t>9The charter rate was US$8,750 per day for the first fifty (50) days of the charter period.</w:t>
            </w:r>
          </w:p>
        </w:tc>
      </w:tr>
      <w:tr w:rsidR="00510CAA" w14:paraId="71F3E46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9" w14:textId="77777777" w:rsidR="00510CAA" w:rsidRDefault="003A4815">
            <w:pPr>
              <w:rPr>
                <w:rFonts w:ascii="Arial" w:eastAsia="Arial" w:hAnsi="Arial" w:cs="Arial"/>
                <w:color w:val="000000"/>
                <w:sz w:val="16"/>
              </w:rPr>
            </w:pPr>
            <w:r>
              <w:rPr>
                <w:rFonts w:ascii="Arial" w:eastAsia="Arial" w:hAnsi="Arial" w:cs="Arial"/>
                <w:color w:val="000000"/>
                <w:sz w:val="16"/>
              </w:rPr>
              <w:t>10The charter rate will be US$13,000 per day for the first thirty (30) days of the charter period.</w:t>
            </w:r>
          </w:p>
        </w:tc>
      </w:tr>
      <w:tr w:rsidR="00510CAA" w14:paraId="71F3E46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B" w14:textId="77777777" w:rsidR="00510CAA" w:rsidRDefault="003A4815">
            <w:pPr>
              <w:rPr>
                <w:rFonts w:ascii="Arial" w:eastAsia="Arial" w:hAnsi="Arial" w:cs="Arial"/>
                <w:color w:val="000000"/>
                <w:sz w:val="16"/>
              </w:rPr>
            </w:pPr>
            <w:r>
              <w:rPr>
                <w:rFonts w:ascii="Arial" w:eastAsia="Arial" w:hAnsi="Arial" w:cs="Arial"/>
                <w:color w:val="000000"/>
                <w:sz w:val="16"/>
              </w:rPr>
              <w:t>11Vessel off hire for drydocking from September 8, 2025 to November 1, 2025.</w:t>
            </w:r>
          </w:p>
        </w:tc>
      </w:tr>
      <w:tr w:rsidR="00510CAA" w14:paraId="71F3E4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D" w14:textId="77777777" w:rsidR="00510CAA" w:rsidRDefault="003A4815">
            <w:pPr>
              <w:rPr>
                <w:rFonts w:ascii="Arial" w:eastAsia="Arial" w:hAnsi="Arial" w:cs="Arial"/>
                <w:color w:val="000000"/>
                <w:sz w:val="16"/>
              </w:rPr>
            </w:pPr>
            <w:r>
              <w:rPr>
                <w:rFonts w:ascii="Arial" w:eastAsia="Arial" w:hAnsi="Arial" w:cs="Arial"/>
                <w:color w:val="000000"/>
                <w:sz w:val="16"/>
              </w:rPr>
              <w:t>12Estimated date.</w:t>
            </w:r>
          </w:p>
        </w:tc>
      </w:tr>
      <w:tr w:rsidR="00510CAA" w14:paraId="71F3E47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6F" w14:textId="77777777" w:rsidR="00510CAA" w:rsidRDefault="003A4815">
            <w:pPr>
              <w:rPr>
                <w:rFonts w:ascii="Arial" w:eastAsia="Arial" w:hAnsi="Arial" w:cs="Arial"/>
                <w:color w:val="000000"/>
                <w:sz w:val="16"/>
              </w:rPr>
            </w:pPr>
            <w:r>
              <w:rPr>
                <w:rFonts w:ascii="Arial" w:eastAsia="Arial" w:hAnsi="Arial" w:cs="Arial"/>
                <w:color w:val="000000"/>
                <w:sz w:val="16"/>
              </w:rPr>
              <w:t>13The charter rate was US$6,300 per day for the first trip of the charter period.</w:t>
            </w:r>
          </w:p>
        </w:tc>
      </w:tr>
      <w:tr w:rsidR="00510CAA" w14:paraId="71F3E47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71" w14:textId="77777777" w:rsidR="00510CAA" w:rsidRDefault="003A4815">
            <w:pPr>
              <w:rPr>
                <w:rFonts w:ascii="Arial" w:eastAsia="Arial" w:hAnsi="Arial" w:cs="Arial"/>
                <w:color w:val="000000"/>
                <w:sz w:val="16"/>
              </w:rPr>
            </w:pPr>
            <w:r>
              <w:rPr>
                <w:rFonts w:ascii="Arial" w:eastAsia="Arial" w:hAnsi="Arial" w:cs="Arial"/>
                <w:color w:val="000000"/>
                <w:sz w:val="16"/>
              </w:rPr>
              <w:t>14Bareboat chartered-in for a period of eight years.</w:t>
            </w:r>
          </w:p>
        </w:tc>
      </w:tr>
      <w:tr w:rsidR="00510CAA" w14:paraId="71F3E47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5"/>
        </w:trPr>
        <w:tc>
          <w:tcPr>
            <w:tcW w:w="11295" w:type="dxa"/>
            <w:gridSpan w:val="10"/>
            <w:tcBorders>
              <w:top w:val="nil"/>
              <w:left w:val="nil"/>
              <w:bottom w:val="nil"/>
              <w:right w:val="nil"/>
              <w:tl2br w:val="nil"/>
              <w:tr2bl w:val="nil"/>
            </w:tcBorders>
            <w:tcMar>
              <w:left w:w="40" w:type="dxa"/>
              <w:right w:w="40" w:type="dxa"/>
            </w:tcMar>
          </w:tcPr>
          <w:p w14:paraId="71F3E473" w14:textId="77777777" w:rsidR="00510CAA" w:rsidRDefault="003A4815">
            <w:pPr>
              <w:rPr>
                <w:rFonts w:ascii="Arial" w:eastAsia="Arial" w:hAnsi="Arial" w:cs="Arial"/>
                <w:color w:val="000000"/>
                <w:sz w:val="16"/>
              </w:rPr>
            </w:pPr>
            <w:r>
              <w:rPr>
                <w:rFonts w:ascii="Arial" w:eastAsia="Arial" w:hAnsi="Arial" w:cs="Arial"/>
                <w:color w:val="000000"/>
                <w:sz w:val="16"/>
              </w:rPr>
              <w:t>15Vessel on scheduled drydocking from September 20, 2025 to October 31, 2025.</w:t>
            </w:r>
          </w:p>
        </w:tc>
      </w:tr>
    </w:tbl>
    <w:p w14:paraId="71F3E475"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476" w14:textId="77777777" w:rsidR="00E519EB" w:rsidRPr="00F435A2" w:rsidRDefault="003A4815" w:rsidP="007628F2">
      <w:pPr>
        <w:pStyle w:val="Heading3"/>
        <w:keepLines/>
        <w:pBdr>
          <w:top w:val="nil"/>
          <w:left w:val="nil"/>
          <w:bottom w:val="nil"/>
          <w:right w:val="nil"/>
          <w:between w:val="nil"/>
          <w:bar w:val="nil"/>
        </w:pBdr>
        <w:rPr>
          <w:rFonts w:eastAsia="Arial" w:cs="Arial"/>
          <w:i w:val="0"/>
          <w:sz w:val="24"/>
          <w:szCs w:val="22"/>
          <w:bdr w:val="nil"/>
          <w:lang w:val="en-GB" w:bidi="en-US"/>
        </w:rPr>
      </w:pPr>
      <w:bookmarkStart w:id="113" w:name="RG_MARKER_23052"/>
      <w:r w:rsidRPr="00F435A2">
        <w:rPr>
          <w:rFonts w:eastAsia="Arial" w:cs="Arial"/>
          <w:i w:val="0"/>
          <w:sz w:val="24"/>
          <w:szCs w:val="22"/>
          <w:lang w:val="en-GB" w:bidi="en-US"/>
        </w:rPr>
        <w:t>Our Customers</w:t>
      </w:r>
      <w:bookmarkEnd w:id="113"/>
    </w:p>
    <w:p w14:paraId="71F3E477" w14:textId="77777777" w:rsidR="00903594" w:rsidRPr="00F435A2" w:rsidRDefault="00903594" w:rsidP="007628F2">
      <w:pPr>
        <w:keepNext/>
        <w:keepLines/>
        <w:pBdr>
          <w:top w:val="nil"/>
          <w:left w:val="nil"/>
          <w:bottom w:val="nil"/>
          <w:right w:val="nil"/>
          <w:between w:val="nil"/>
          <w:bar w:val="nil"/>
        </w:pBdr>
        <w:jc w:val="both"/>
        <w:rPr>
          <w:rFonts w:ascii="Arial" w:eastAsia="Arial" w:hAnsi="Arial" w:cs="Arial"/>
          <w:bdr w:val="nil"/>
          <w:lang w:val="en-US"/>
        </w:rPr>
      </w:pPr>
    </w:p>
    <w:p w14:paraId="71F3E478" w14:textId="77777777" w:rsidR="00BF4AA6" w:rsidRPr="00F435A2" w:rsidRDefault="003A4815" w:rsidP="007628F2">
      <w:pPr>
        <w:keepNext/>
        <w:keepLines/>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Our customers include regional and international companies</w:t>
      </w:r>
      <w:r>
        <w:rPr>
          <w:rFonts w:ascii="Arial" w:eastAsia="Arial" w:hAnsi="Arial" w:cs="Arial"/>
          <w:color w:val="000000"/>
          <w:lang w:val="en-US" w:bidi="en-US"/>
        </w:rPr>
        <w:t>, mainly with concentrations below 10% of our gross revenues</w:t>
      </w:r>
      <w:r w:rsidRPr="00F435A2">
        <w:rPr>
          <w:rFonts w:ascii="Arial" w:eastAsia="Arial" w:hAnsi="Arial" w:cs="Arial"/>
          <w:color w:val="000000"/>
          <w:lang w:val="en-US" w:bidi="en-US"/>
        </w:rPr>
        <w:t xml:space="preserve">. During 2025, </w:t>
      </w:r>
      <w:r>
        <w:rPr>
          <w:rFonts w:ascii="Arial" w:eastAsia="Arial" w:hAnsi="Arial" w:cs="Arial"/>
          <w:color w:val="000000"/>
          <w:lang w:val="en-US" w:bidi="en-US"/>
        </w:rPr>
        <w:t xml:space="preserve">only </w:t>
      </w:r>
      <w:r w:rsidRPr="00F435A2">
        <w:rPr>
          <w:rFonts w:ascii="Arial" w:eastAsia="Arial" w:hAnsi="Arial" w:cs="Arial"/>
          <w:color w:val="000000"/>
          <w:lang w:val="en-US" w:bidi="en-US"/>
        </w:rPr>
        <w:t>two of our charterers accounted for 29% of our revenues</w:t>
      </w:r>
      <w:r w:rsidR="00BC74D2">
        <w:rPr>
          <w:rFonts w:ascii="Arial" w:eastAsia="Arial" w:hAnsi="Arial" w:cs="Arial"/>
          <w:color w:val="000000"/>
          <w:lang w:val="en-US" w:bidi="en-US"/>
        </w:rPr>
        <w:t>, in aggregate</w:t>
      </w:r>
      <w:r>
        <w:rPr>
          <w:rFonts w:ascii="Arial" w:eastAsia="Arial" w:hAnsi="Arial" w:cs="Arial"/>
          <w:color w:val="000000"/>
          <w:lang w:val="en-US" w:bidi="en-US"/>
        </w:rPr>
        <w:t xml:space="preserve">. </w:t>
      </w:r>
      <w:r w:rsidRPr="00F435A2">
        <w:rPr>
          <w:rFonts w:ascii="Arial" w:eastAsia="Arial" w:hAnsi="Arial" w:cs="Arial"/>
          <w:color w:val="000000"/>
          <w:lang w:val="en-US" w:bidi="en-US"/>
        </w:rPr>
        <w:t>During 2024, one of our charterers accounted for 11% of our revenues</w:t>
      </w:r>
      <w:r>
        <w:rPr>
          <w:rFonts w:ascii="Arial" w:eastAsia="Arial" w:hAnsi="Arial" w:cs="Arial"/>
          <w:color w:val="000000"/>
          <w:lang w:val="en-US" w:bidi="en-US"/>
        </w:rPr>
        <w:t xml:space="preserve"> and</w:t>
      </w:r>
      <w:r w:rsidRPr="00F435A2">
        <w:rPr>
          <w:rFonts w:ascii="Arial" w:eastAsia="Arial" w:hAnsi="Arial" w:cs="Arial"/>
          <w:color w:val="000000"/>
          <w:lang w:val="en-US" w:bidi="en-US"/>
        </w:rPr>
        <w:t xml:space="preserve"> </w:t>
      </w:r>
      <w:r>
        <w:rPr>
          <w:rFonts w:ascii="Arial" w:eastAsia="Arial" w:hAnsi="Arial" w:cs="Arial"/>
          <w:color w:val="000000"/>
          <w:lang w:val="en-US" w:bidi="en-US"/>
        </w:rPr>
        <w:t>d</w:t>
      </w:r>
      <w:r w:rsidRPr="00F435A2">
        <w:rPr>
          <w:rFonts w:ascii="Arial" w:eastAsia="Arial" w:hAnsi="Arial" w:cs="Arial"/>
          <w:color w:val="000000"/>
          <w:lang w:val="en-US" w:bidi="en-US"/>
        </w:rPr>
        <w:t>uring 2023, one of our charterers accounted for 13% of our revenues.</w:t>
      </w:r>
    </w:p>
    <w:p w14:paraId="71F3E479" w14:textId="77777777" w:rsidR="004E0E27" w:rsidRPr="00F435A2" w:rsidRDefault="003A4815" w:rsidP="00F25649">
      <w:pPr>
        <w:pBdr>
          <w:top w:val="nil"/>
          <w:left w:val="nil"/>
          <w:bottom w:val="nil"/>
          <w:right w:val="nil"/>
          <w:between w:val="nil"/>
          <w:bar w:val="nil"/>
        </w:pBdr>
        <w:tabs>
          <w:tab w:val="left" w:pos="6915"/>
        </w:tabs>
        <w:jc w:val="both"/>
        <w:rPr>
          <w:rFonts w:ascii="Arial" w:eastAsia="Arial" w:hAnsi="Arial" w:cs="Arial"/>
          <w:color w:val="000000"/>
          <w:bdr w:val="nil"/>
          <w:lang w:val="en-US"/>
        </w:rPr>
      </w:pPr>
      <w:r w:rsidRPr="00F435A2">
        <w:rPr>
          <w:rFonts w:ascii="Arial" w:eastAsia="Arial" w:hAnsi="Arial" w:cs="Arial"/>
          <w:color w:val="000000"/>
          <w:lang w:val="en-US" w:bidi="en-US"/>
        </w:rPr>
        <w:tab/>
      </w:r>
    </w:p>
    <w:p w14:paraId="71F3E47A" w14:textId="77777777" w:rsidR="00E519EB" w:rsidRPr="00F435A2" w:rsidRDefault="003A4815" w:rsidP="00F25649">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We charter our dry bulk carriers</w:t>
      </w:r>
      <w:r w:rsidR="000D0F0C" w:rsidRPr="00F435A2">
        <w:rPr>
          <w:rFonts w:ascii="Arial" w:eastAsia="Arial" w:hAnsi="Arial" w:cs="Arial"/>
          <w:color w:val="000000"/>
          <w:lang w:val="en-US" w:bidi="en-US"/>
        </w:rPr>
        <w:t xml:space="preserve">, owned and bareboat chartered-in, </w:t>
      </w:r>
      <w:r w:rsidRPr="00F435A2">
        <w:rPr>
          <w:rFonts w:ascii="Arial" w:eastAsia="Arial" w:hAnsi="Arial" w:cs="Arial"/>
          <w:color w:val="000000"/>
          <w:lang w:val="en-US" w:bidi="en-US"/>
        </w:rPr>
        <w:t xml:space="preserve">to customers pursuant to time charters. Under our time charters, the charterer typically pays us a fixed daily charter hire rate and bears all voyage expenses, including the cost of bunkers (fuel oil) and canal and port charges. We remain responsible for paying the chartered vessel's operating expenses, including the cost of crewing, insuring, repairing and maintaining the vessel. In 2025, we paid commissions that ranged from </w:t>
      </w:r>
      <w:r w:rsidR="005571DF" w:rsidRPr="00F435A2">
        <w:rPr>
          <w:rFonts w:ascii="Arial" w:eastAsia="Arial" w:hAnsi="Arial" w:cs="Arial"/>
          <w:color w:val="000000"/>
          <w:lang w:val="en-US" w:bidi="en-US"/>
        </w:rPr>
        <w:t>4</w:t>
      </w:r>
      <w:r w:rsidRPr="00F435A2">
        <w:rPr>
          <w:rFonts w:ascii="Arial" w:eastAsia="Arial" w:hAnsi="Arial" w:cs="Arial"/>
          <w:color w:val="000000"/>
          <w:lang w:val="en-US" w:bidi="en-US"/>
        </w:rPr>
        <w:t>.75% to 5.0% of the total daily charter hire rate of each charter to unaffiliated ship brokers and to in-house brokers associated with the charterer, depending on the number of brokers involved with arranging the charter.</w:t>
      </w:r>
    </w:p>
    <w:p w14:paraId="71F3E47B" w14:textId="77777777" w:rsidR="00AA37A3" w:rsidRPr="00F435A2" w:rsidRDefault="00AA37A3" w:rsidP="00F25649">
      <w:pPr>
        <w:pBdr>
          <w:top w:val="nil"/>
          <w:left w:val="nil"/>
          <w:bottom w:val="nil"/>
          <w:right w:val="nil"/>
          <w:between w:val="nil"/>
          <w:bar w:val="nil"/>
        </w:pBdr>
        <w:jc w:val="both"/>
        <w:rPr>
          <w:rFonts w:ascii="Arial" w:eastAsia="Arial" w:hAnsi="Arial" w:cs="Arial"/>
          <w:color w:val="000000"/>
          <w:bdr w:val="nil"/>
          <w:lang w:val="en-US"/>
        </w:rPr>
      </w:pPr>
    </w:p>
    <w:p w14:paraId="71F3E47C" w14:textId="77777777" w:rsidR="00E519EB" w:rsidRPr="00F435A2" w:rsidRDefault="003A4815" w:rsidP="00F25649">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 xml:space="preserve">We strategically monitor developments in the dry bulk shipping industry on a regular basis and, subject to market demand, seek to adjust the charter hire periods for our vessels according to prevailing market conditions. In order to take advantage of relatively stable cash flow and high utilization rates, we fix some of our vessels on long-term time charters. Currently, </w:t>
      </w:r>
      <w:r w:rsidR="006B1533">
        <w:rPr>
          <w:rFonts w:ascii="Arial" w:eastAsia="Arial" w:hAnsi="Arial" w:cs="Arial"/>
          <w:color w:val="000000"/>
          <w:lang w:val="en-US" w:bidi="en-US"/>
        </w:rPr>
        <w:t>most</w:t>
      </w:r>
      <w:r w:rsidRPr="00F435A2">
        <w:rPr>
          <w:rFonts w:ascii="Arial" w:eastAsia="Arial" w:hAnsi="Arial" w:cs="Arial"/>
          <w:color w:val="000000"/>
          <w:lang w:val="en-US" w:bidi="en-US"/>
        </w:rPr>
        <w:t xml:space="preserve"> of our vessels are employed on short</w:t>
      </w:r>
      <w:r w:rsidR="006B1533">
        <w:rPr>
          <w:rFonts w:ascii="Arial" w:eastAsia="Arial" w:hAnsi="Arial" w:cs="Arial"/>
          <w:color w:val="000000"/>
          <w:lang w:val="en-US" w:bidi="en-US"/>
        </w:rPr>
        <w:t xml:space="preserve">- </w:t>
      </w:r>
      <w:r w:rsidRPr="00F435A2">
        <w:rPr>
          <w:rFonts w:ascii="Arial" w:eastAsia="Arial" w:hAnsi="Arial" w:cs="Arial"/>
          <w:color w:val="000000"/>
          <w:lang w:val="en-US" w:bidi="en-US"/>
        </w:rPr>
        <w:t>to</w:t>
      </w:r>
      <w:r w:rsidR="006B1533">
        <w:rPr>
          <w:rFonts w:ascii="Arial" w:eastAsia="Arial" w:hAnsi="Arial" w:cs="Arial"/>
          <w:color w:val="000000"/>
          <w:lang w:val="en-US" w:bidi="en-US"/>
        </w:rPr>
        <w:t xml:space="preserve"> </w:t>
      </w:r>
      <w:r w:rsidRPr="00F435A2">
        <w:rPr>
          <w:rFonts w:ascii="Arial" w:eastAsia="Arial" w:hAnsi="Arial" w:cs="Arial"/>
          <w:color w:val="000000"/>
          <w:lang w:val="en-US" w:bidi="en-US"/>
        </w:rPr>
        <w:t>medium-</w:t>
      </w:r>
      <w:r w:rsidR="006B1533" w:rsidRPr="00F435A2">
        <w:rPr>
          <w:rFonts w:ascii="Arial" w:eastAsia="Arial" w:hAnsi="Arial" w:cs="Arial"/>
          <w:color w:val="000000"/>
          <w:lang w:val="en-US" w:bidi="en-US"/>
        </w:rPr>
        <w:t>term</w:t>
      </w:r>
      <w:r w:rsidRPr="00F435A2">
        <w:rPr>
          <w:rFonts w:ascii="Arial" w:eastAsia="Arial" w:hAnsi="Arial" w:cs="Arial"/>
          <w:color w:val="000000"/>
          <w:lang w:val="en-US" w:bidi="en-US"/>
        </w:rPr>
        <w:t xml:space="preserve"> </w:t>
      </w:r>
      <w:r w:rsidR="006B1533">
        <w:rPr>
          <w:rFonts w:ascii="Arial" w:eastAsia="Arial" w:hAnsi="Arial" w:cs="Arial"/>
          <w:color w:val="000000"/>
          <w:lang w:val="en-US" w:bidi="en-US"/>
        </w:rPr>
        <w:t xml:space="preserve">time </w:t>
      </w:r>
      <w:r w:rsidRPr="00F435A2">
        <w:rPr>
          <w:rFonts w:ascii="Arial" w:eastAsia="Arial" w:hAnsi="Arial" w:cs="Arial"/>
          <w:color w:val="000000"/>
          <w:lang w:val="en-US" w:bidi="en-US"/>
        </w:rPr>
        <w:t xml:space="preserve">charters, which </w:t>
      </w:r>
      <w:r w:rsidR="006B1533">
        <w:rPr>
          <w:rFonts w:ascii="Arial" w:eastAsia="Arial" w:hAnsi="Arial" w:cs="Arial"/>
          <w:color w:val="000000"/>
          <w:lang w:val="en-US" w:bidi="en-US"/>
        </w:rPr>
        <w:t>allows us greater</w:t>
      </w:r>
      <w:r w:rsidRPr="00F435A2">
        <w:rPr>
          <w:rFonts w:ascii="Arial" w:eastAsia="Arial" w:hAnsi="Arial" w:cs="Arial"/>
          <w:color w:val="000000"/>
          <w:lang w:val="en-US" w:bidi="en-US"/>
        </w:rPr>
        <w:t xml:space="preserve"> flexibility </w:t>
      </w:r>
      <w:r w:rsidR="006B1533">
        <w:rPr>
          <w:rFonts w:ascii="Arial" w:eastAsia="Arial" w:hAnsi="Arial" w:cs="Arial"/>
          <w:color w:val="000000"/>
          <w:lang w:val="en-US" w:bidi="en-US"/>
        </w:rPr>
        <w:t xml:space="preserve">to </w:t>
      </w:r>
      <w:r w:rsidRPr="00F435A2">
        <w:rPr>
          <w:rFonts w:ascii="Arial" w:eastAsia="Arial" w:hAnsi="Arial" w:cs="Arial"/>
          <w:color w:val="000000"/>
          <w:lang w:val="en-US" w:bidi="en-US"/>
        </w:rPr>
        <w:t xml:space="preserve">respond to market developments. We continuously evaluate our </w:t>
      </w:r>
      <w:r w:rsidR="006B1533">
        <w:rPr>
          <w:rFonts w:ascii="Arial" w:eastAsia="Arial" w:hAnsi="Arial" w:cs="Arial"/>
          <w:color w:val="000000"/>
          <w:lang w:val="en-US" w:bidi="en-US"/>
        </w:rPr>
        <w:t>mix</w:t>
      </w:r>
      <w:r w:rsidRPr="00F435A2">
        <w:rPr>
          <w:rFonts w:ascii="Arial" w:eastAsia="Arial" w:hAnsi="Arial" w:cs="Arial"/>
          <w:color w:val="000000"/>
          <w:lang w:val="en-US" w:bidi="en-US"/>
        </w:rPr>
        <w:t xml:space="preserve"> of short- and long-term charters and extend or reduce the charter hire periods of the vessels in our fleet according to the developments in the dry bulk shipping industry.</w:t>
      </w:r>
    </w:p>
    <w:p w14:paraId="71F3E47D" w14:textId="77777777" w:rsidR="00AF33B4" w:rsidRPr="00F435A2" w:rsidRDefault="00AF33B4" w:rsidP="00F25649">
      <w:pPr>
        <w:pBdr>
          <w:top w:val="nil"/>
          <w:left w:val="nil"/>
          <w:bottom w:val="nil"/>
          <w:right w:val="nil"/>
          <w:between w:val="nil"/>
          <w:bar w:val="nil"/>
        </w:pBdr>
        <w:jc w:val="both"/>
        <w:rPr>
          <w:rFonts w:ascii="Arial" w:eastAsia="Arial" w:hAnsi="Arial" w:cs="Arial"/>
          <w:color w:val="000000"/>
          <w:bdr w:val="nil"/>
          <w:lang w:val="en-US"/>
        </w:rPr>
      </w:pPr>
    </w:p>
    <w:p w14:paraId="71F3E47E" w14:textId="77777777" w:rsidR="000D0F0C" w:rsidRPr="00F435A2" w:rsidRDefault="003A4815" w:rsidP="000D0F0C">
      <w:pPr>
        <w:pStyle w:val="Heading3"/>
        <w:keepLines/>
        <w:pBdr>
          <w:top w:val="nil"/>
          <w:left w:val="nil"/>
          <w:bottom w:val="nil"/>
          <w:right w:val="nil"/>
          <w:between w:val="nil"/>
          <w:bar w:val="nil"/>
        </w:pBdr>
        <w:rPr>
          <w:rFonts w:eastAsia="Arial" w:cs="Arial"/>
          <w:i w:val="0"/>
          <w:sz w:val="24"/>
          <w:szCs w:val="22"/>
          <w:bdr w:val="nil"/>
          <w:lang w:val="en-GB" w:bidi="en-US"/>
        </w:rPr>
      </w:pPr>
      <w:r w:rsidRPr="00F435A2">
        <w:rPr>
          <w:rFonts w:eastAsia="Arial" w:cs="Arial"/>
          <w:i w:val="0"/>
          <w:sz w:val="24"/>
          <w:szCs w:val="22"/>
          <w:lang w:val="en-GB" w:bidi="en-US"/>
        </w:rPr>
        <w:t>Charter Hire Rates</w:t>
      </w:r>
    </w:p>
    <w:p w14:paraId="71F3E47F" w14:textId="77777777" w:rsidR="000D0F0C" w:rsidRPr="00F435A2" w:rsidRDefault="000D0F0C" w:rsidP="000D0F0C">
      <w:pPr>
        <w:keepNext/>
        <w:keepLines/>
        <w:pBdr>
          <w:top w:val="nil"/>
          <w:left w:val="nil"/>
          <w:bottom w:val="nil"/>
          <w:right w:val="nil"/>
          <w:between w:val="nil"/>
          <w:bar w:val="nil"/>
        </w:pBdr>
        <w:jc w:val="both"/>
        <w:rPr>
          <w:rFonts w:ascii="Arial" w:eastAsia="Arial" w:hAnsi="Arial" w:cs="Arial"/>
          <w:color w:val="000000"/>
          <w:bdr w:val="nil"/>
          <w:lang w:val="en-US"/>
        </w:rPr>
      </w:pPr>
    </w:p>
    <w:p w14:paraId="71F3E480" w14:textId="77777777" w:rsidR="000D0F0C" w:rsidRPr="00F435A2" w:rsidRDefault="003A4815" w:rsidP="000D0F0C">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Charter hire rates fluctuate by varying degrees among dry bulk carrier size categories. The volume and pattern of trade in a small number of commodities (major bulks) affect demand for larger vessels. Therefore, charter rates and vessel values of larger vessels often show greater volatility. Conversely, trade in a greater number of commodities (minor bulks) drives demand for smaller dry bulk carriers. Accordingly, charter rates and vessel values for those vessels are usually subject to less volatility.</w:t>
      </w:r>
    </w:p>
    <w:p w14:paraId="71F3E481" w14:textId="77777777" w:rsidR="000D0F0C" w:rsidRPr="00F435A2" w:rsidRDefault="000D0F0C" w:rsidP="000D0F0C">
      <w:pPr>
        <w:pBdr>
          <w:top w:val="nil"/>
          <w:left w:val="nil"/>
          <w:bottom w:val="nil"/>
          <w:right w:val="nil"/>
          <w:between w:val="nil"/>
          <w:bar w:val="nil"/>
        </w:pBdr>
        <w:jc w:val="both"/>
        <w:rPr>
          <w:rFonts w:ascii="Arial" w:eastAsia="Arial" w:hAnsi="Arial" w:cs="Arial"/>
          <w:color w:val="000000"/>
          <w:bdr w:val="nil"/>
          <w:lang w:val="en-US"/>
        </w:rPr>
      </w:pPr>
    </w:p>
    <w:p w14:paraId="71F3E482" w14:textId="77777777" w:rsidR="000D0F0C" w:rsidRPr="00F435A2" w:rsidRDefault="003A4815" w:rsidP="000D0F0C">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Charter hire rates paid for dry bulk carriers are primarily a function of the underlying balance between vessel supply and demand, although at times other factors may play a role. Furthermore, the pattern seen in charter rates is broadly mirrored across the different charter types and the different dry bulk carrier categories. In the time charter market, rates vary depending on the length of the charter period and vessel-specific factors such as age, speed and fuel consumption.</w:t>
      </w:r>
    </w:p>
    <w:p w14:paraId="71F3E483" w14:textId="77777777" w:rsidR="000D0F0C" w:rsidRPr="00F435A2" w:rsidRDefault="000D0F0C" w:rsidP="000D0F0C">
      <w:pPr>
        <w:pBdr>
          <w:top w:val="nil"/>
          <w:left w:val="nil"/>
          <w:bottom w:val="nil"/>
          <w:right w:val="nil"/>
          <w:between w:val="nil"/>
          <w:bar w:val="nil"/>
        </w:pBdr>
        <w:jc w:val="both"/>
        <w:rPr>
          <w:rFonts w:ascii="Arial" w:eastAsia="Arial" w:hAnsi="Arial" w:cs="Arial"/>
          <w:color w:val="000000"/>
          <w:bdr w:val="nil"/>
          <w:lang w:val="en-US"/>
        </w:rPr>
      </w:pPr>
    </w:p>
    <w:p w14:paraId="71F3E484" w14:textId="77777777" w:rsidR="000D0F0C" w:rsidRPr="00F435A2" w:rsidRDefault="003A4815" w:rsidP="000D0F0C">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 xml:space="preserve">In the voyage charter market, rates are, among other things, influenced by cargo size, </w:t>
      </w:r>
      <w:r w:rsidR="004D137A">
        <w:rPr>
          <w:rFonts w:ascii="Arial" w:eastAsia="Arial" w:hAnsi="Arial" w:cs="Arial"/>
          <w:color w:val="000000"/>
          <w:lang w:val="en-US" w:bidi="en-US"/>
        </w:rPr>
        <w:t>bunker prices</w:t>
      </w:r>
      <w:r w:rsidRPr="00F435A2">
        <w:rPr>
          <w:rFonts w:ascii="Arial" w:eastAsia="Arial" w:hAnsi="Arial" w:cs="Arial"/>
          <w:color w:val="000000"/>
          <w:lang w:val="en-US" w:bidi="en-US"/>
        </w:rPr>
        <w:t>, port dues and canal transit fees, as well as commencement and termination regions. In general, a larger cargo size is quoted at a lower rate per ton than a smaller cargo size. Routes with costly ports or canals generally command higher rates than routes with low port dues and no canals to transit. Voyages with a load port within a region that includes ports where vessels usually discharge cargo or a discharge port within a region with ports where vessels load cargo also are generally quoted at lower rates, because such voyages generally increase vessel utilization by reducing the unloaded portion (or ballast leg) that is included in the calculation of the return charter to a loading area.</w:t>
      </w:r>
    </w:p>
    <w:p w14:paraId="71F3E485" w14:textId="77777777" w:rsidR="000D0F0C" w:rsidRPr="00F435A2" w:rsidRDefault="000D0F0C" w:rsidP="000D0F0C">
      <w:pPr>
        <w:pBdr>
          <w:top w:val="nil"/>
          <w:left w:val="nil"/>
          <w:bottom w:val="nil"/>
          <w:right w:val="nil"/>
          <w:between w:val="nil"/>
          <w:bar w:val="nil"/>
        </w:pBdr>
        <w:jc w:val="both"/>
        <w:rPr>
          <w:rFonts w:ascii="Arial" w:eastAsia="Arial" w:hAnsi="Arial" w:cs="Arial"/>
          <w:color w:val="000000"/>
          <w:bdr w:val="nil"/>
          <w:lang w:val="en-US"/>
        </w:rPr>
      </w:pPr>
    </w:p>
    <w:p w14:paraId="71F3E486" w14:textId="77777777" w:rsidR="000D0F0C" w:rsidRPr="005C1DF4" w:rsidRDefault="003A4815" w:rsidP="000D0F0C">
      <w:pPr>
        <w:pStyle w:val="Normal19"/>
        <w:pBdr>
          <w:top w:val="nil"/>
          <w:left w:val="nil"/>
          <w:bottom w:val="nil"/>
          <w:right w:val="nil"/>
          <w:between w:val="nil"/>
          <w:bar w:val="nil"/>
        </w:pBdr>
        <w:rPr>
          <w:rFonts w:ascii="Arial" w:eastAsia="Arial" w:hAnsi="Arial" w:cs="Arial"/>
          <w:color w:val="000000"/>
          <w:szCs w:val="22"/>
          <w:bdr w:val="nil"/>
        </w:rPr>
      </w:pPr>
      <w:r w:rsidRPr="00F435A2">
        <w:rPr>
          <w:rFonts w:ascii="Arial" w:eastAsia="Arial" w:hAnsi="Arial" w:cs="Arial"/>
          <w:color w:val="000000"/>
          <w:szCs w:val="22"/>
        </w:rPr>
        <w:t xml:space="preserve">Within the dry bulk shipping industry, the charter hire rate references, most likely to be monitored, are the freight rate indices issued by the Baltic Exchange. These references are based on actual charter hire rates under charters entered into by market participants as well as daily assessments provided to the </w:t>
      </w:r>
      <w:r w:rsidRPr="005C1DF4">
        <w:rPr>
          <w:rFonts w:ascii="Arial" w:eastAsia="Arial" w:hAnsi="Arial" w:cs="Arial"/>
          <w:color w:val="000000"/>
          <w:szCs w:val="22"/>
        </w:rPr>
        <w:t>Baltic</w:t>
      </w:r>
      <w:bookmarkStart w:id="114" w:name="page_0_1_55"/>
      <w:bookmarkStart w:id="115" w:name="gmnh0page_di45302_1_51"/>
      <w:bookmarkEnd w:id="114"/>
      <w:bookmarkEnd w:id="115"/>
      <w:r w:rsidRPr="005C1DF4">
        <w:rPr>
          <w:rFonts w:ascii="Arial" w:eastAsia="Arial" w:hAnsi="Arial" w:cs="Arial"/>
          <w:color w:val="000000"/>
          <w:szCs w:val="22"/>
        </w:rPr>
        <w:t xml:space="preserve"> Exchange by a panel of major shipbrokers. The Baltic Panamax Index is the index with the longest history. The Baltic Capesize Index and Baltic Handymax Index are of more recent origin. </w:t>
      </w:r>
    </w:p>
    <w:p w14:paraId="71F3E487" w14:textId="77777777" w:rsidR="000D0F0C" w:rsidRPr="005C1DF4" w:rsidRDefault="000D0F0C" w:rsidP="000D0F0C">
      <w:pPr>
        <w:pStyle w:val="Normal19"/>
        <w:pBdr>
          <w:top w:val="nil"/>
          <w:left w:val="nil"/>
          <w:bottom w:val="nil"/>
          <w:right w:val="nil"/>
          <w:between w:val="nil"/>
          <w:bar w:val="nil"/>
        </w:pBdr>
        <w:rPr>
          <w:rFonts w:ascii="Arial" w:eastAsia="Arial" w:hAnsi="Arial" w:cs="Arial"/>
          <w:color w:val="000000"/>
          <w:szCs w:val="22"/>
          <w:bdr w:val="nil"/>
        </w:rPr>
      </w:pPr>
    </w:p>
    <w:p w14:paraId="71F3E488" w14:textId="77777777" w:rsidR="000D0F0C" w:rsidRPr="00F435A2" w:rsidRDefault="003A4815" w:rsidP="000D0F0C">
      <w:pPr>
        <w:pStyle w:val="Normal1900"/>
        <w:pBdr>
          <w:top w:val="nil"/>
          <w:left w:val="nil"/>
          <w:bottom w:val="nil"/>
          <w:right w:val="nil"/>
          <w:between w:val="nil"/>
          <w:bar w:val="nil"/>
        </w:pBdr>
        <w:rPr>
          <w:rFonts w:ascii="Arial" w:eastAsia="Arial" w:hAnsi="Arial" w:cs="Arial"/>
          <w:color w:val="000000"/>
          <w:szCs w:val="22"/>
          <w:bdr w:val="nil"/>
        </w:rPr>
      </w:pPr>
      <w:r w:rsidRPr="005C1DF4">
        <w:rPr>
          <w:rFonts w:ascii="Arial" w:eastAsia="Arial" w:hAnsi="Arial" w:cs="Arial"/>
          <w:color w:val="000000"/>
          <w:szCs w:val="22"/>
        </w:rPr>
        <w:t xml:space="preserve">The Baltic Dry Index, or BDI, is a daily average of charter rates in 20 shipping routes measured on a time charter and voyage basis and covering Capesize, Panamax, Supramax, and Handysize dry bulk carriers. </w:t>
      </w:r>
      <w:bookmarkStart w:id="116" w:name="_Hlk128647766"/>
      <w:r w:rsidRPr="005C1DF4">
        <w:rPr>
          <w:rFonts w:ascii="Arial" w:eastAsia="Arial" w:hAnsi="Arial" w:cs="Arial"/>
          <w:color w:val="000000"/>
          <w:bdr w:val="none" w:sz="0" w:space="0" w:color="auto" w:frame="1"/>
        </w:rPr>
        <w:t>In 2025, the BDI ranged from a low of 715 to a high of 2,845 and closed at 1,972 on March 12, 2026</w:t>
      </w:r>
      <w:r w:rsidR="00167A37" w:rsidRPr="005C1DF4">
        <w:rPr>
          <w:rFonts w:ascii="Arial" w:eastAsia="Arial" w:hAnsi="Arial" w:cs="Arial"/>
          <w:color w:val="000000"/>
          <w:bdr w:val="none" w:sz="0" w:space="0" w:color="auto" w:frame="1"/>
        </w:rPr>
        <w:t>.</w:t>
      </w:r>
      <w:bookmarkEnd w:id="116"/>
    </w:p>
    <w:p w14:paraId="71F3E489" w14:textId="77777777" w:rsidR="000D0F0C" w:rsidRPr="00F435A2" w:rsidRDefault="000D0F0C" w:rsidP="000D0F0C">
      <w:pPr>
        <w:pStyle w:val="Normal1900"/>
        <w:pBdr>
          <w:top w:val="nil"/>
          <w:left w:val="nil"/>
          <w:bottom w:val="nil"/>
          <w:right w:val="nil"/>
          <w:between w:val="nil"/>
          <w:bar w:val="nil"/>
        </w:pBdr>
        <w:rPr>
          <w:rFonts w:ascii="Arial" w:eastAsia="Arial" w:hAnsi="Arial" w:cs="Arial"/>
          <w:color w:val="000000"/>
          <w:szCs w:val="22"/>
          <w:bdr w:val="nil"/>
        </w:rPr>
      </w:pPr>
    </w:p>
    <w:p w14:paraId="71F3E48A" w14:textId="77777777" w:rsidR="00E519EB" w:rsidRPr="00F435A2" w:rsidRDefault="003A4815" w:rsidP="00314B69">
      <w:pPr>
        <w:pStyle w:val="Heading3"/>
        <w:keepLines/>
        <w:pBdr>
          <w:top w:val="nil"/>
          <w:left w:val="nil"/>
          <w:bottom w:val="nil"/>
          <w:right w:val="nil"/>
          <w:between w:val="nil"/>
          <w:bar w:val="nil"/>
        </w:pBdr>
        <w:rPr>
          <w:rFonts w:eastAsia="Arial" w:cs="Arial"/>
          <w:i w:val="0"/>
          <w:sz w:val="24"/>
          <w:szCs w:val="22"/>
          <w:bdr w:val="nil"/>
          <w:lang w:val="en-GB" w:bidi="en-US"/>
        </w:rPr>
      </w:pPr>
      <w:r w:rsidRPr="00F435A2">
        <w:rPr>
          <w:rFonts w:eastAsia="Arial" w:cs="Arial"/>
          <w:i w:val="0"/>
          <w:sz w:val="24"/>
          <w:szCs w:val="22"/>
          <w:lang w:val="en-GB" w:bidi="en-US"/>
        </w:rPr>
        <w:t>The Dry Bulk Shipping Industry</w:t>
      </w:r>
    </w:p>
    <w:p w14:paraId="71F3E48B" w14:textId="77777777" w:rsidR="00AA37A3" w:rsidRPr="00F435A2" w:rsidRDefault="00AA37A3" w:rsidP="00314B69">
      <w:pPr>
        <w:keepNext/>
        <w:keepLines/>
        <w:pBdr>
          <w:top w:val="nil"/>
          <w:left w:val="nil"/>
          <w:bottom w:val="nil"/>
          <w:right w:val="nil"/>
          <w:between w:val="nil"/>
          <w:bar w:val="nil"/>
        </w:pBdr>
        <w:jc w:val="both"/>
        <w:rPr>
          <w:rFonts w:ascii="Arial" w:eastAsia="Arial" w:hAnsi="Arial" w:cs="Arial"/>
          <w:color w:val="000000"/>
          <w:bdr w:val="nil"/>
          <w:lang w:val="en-US"/>
        </w:rPr>
      </w:pPr>
    </w:p>
    <w:p w14:paraId="71F3E48C" w14:textId="77777777" w:rsidR="00E519EB" w:rsidRPr="00F435A2" w:rsidRDefault="003A4815" w:rsidP="00314B69">
      <w:pPr>
        <w:keepNext/>
        <w:keepLines/>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The global dry bulk carrier fleet could be divided into seven categories based on a vessel's carrying capacity. These categories consist of:</w:t>
      </w:r>
    </w:p>
    <w:p w14:paraId="71F3E48D" w14:textId="77777777" w:rsidR="00AA37A3" w:rsidRPr="00F435A2" w:rsidRDefault="00AA37A3" w:rsidP="00314B69">
      <w:pPr>
        <w:keepNext/>
        <w:keepLines/>
        <w:pBdr>
          <w:top w:val="nil"/>
          <w:left w:val="nil"/>
          <w:bottom w:val="nil"/>
          <w:right w:val="nil"/>
          <w:between w:val="nil"/>
          <w:bar w:val="nil"/>
        </w:pBdr>
        <w:jc w:val="both"/>
        <w:rPr>
          <w:rFonts w:ascii="Arial" w:eastAsia="Arial" w:hAnsi="Arial" w:cs="Arial"/>
          <w:color w:val="000000"/>
          <w:bdr w:val="nil"/>
          <w:lang w:val="en-US"/>
        </w:rPr>
      </w:pPr>
    </w:p>
    <w:p w14:paraId="71F3E48E" w14:textId="77777777" w:rsidR="00E519EB" w:rsidRPr="00F435A2" w:rsidRDefault="003A4815" w:rsidP="00806BDD">
      <w:pPr>
        <w:pStyle w:val="ListBullet"/>
        <w:keepLines/>
        <w:widowControl/>
        <w:numPr>
          <w:ilvl w:val="0"/>
          <w:numId w:val="13"/>
        </w:numPr>
        <w:pBdr>
          <w:top w:val="nil"/>
          <w:left w:val="nil"/>
          <w:bottom w:val="nil"/>
          <w:right w:val="nil"/>
          <w:between w:val="nil"/>
          <w:bar w:val="nil"/>
        </w:pBdr>
        <w:rPr>
          <w:rFonts w:ascii="Arial" w:eastAsia="Arial" w:hAnsi="Arial" w:cs="Arial"/>
          <w:sz w:val="22"/>
          <w:szCs w:val="22"/>
          <w:bdr w:val="nil"/>
          <w:lang w:bidi="en-US"/>
        </w:rPr>
      </w:pPr>
      <w:r w:rsidRPr="00F435A2">
        <w:rPr>
          <w:rFonts w:ascii="Arial" w:eastAsia="Arial" w:hAnsi="Arial" w:cs="Arial"/>
          <w:b/>
          <w:bCs/>
          <w:i/>
          <w:iCs/>
          <w:sz w:val="22"/>
          <w:szCs w:val="22"/>
          <w:lang w:bidi="en-US"/>
        </w:rPr>
        <w:t>Very Large Ore Carriers</w:t>
      </w:r>
      <w:r w:rsidR="00947E40">
        <w:rPr>
          <w:rFonts w:ascii="Arial" w:eastAsia="Arial" w:hAnsi="Arial" w:cs="Arial"/>
          <w:b/>
          <w:bCs/>
          <w:i/>
          <w:iCs/>
          <w:sz w:val="22"/>
          <w:szCs w:val="22"/>
          <w:lang w:bidi="en-US"/>
        </w:rPr>
        <w:t>/ Newcastlemax</w:t>
      </w:r>
      <w:r w:rsidRPr="00F435A2">
        <w:rPr>
          <w:rFonts w:ascii="Arial" w:eastAsia="Arial" w:hAnsi="Arial" w:cs="Arial"/>
          <w:sz w:val="22"/>
          <w:szCs w:val="22"/>
          <w:lang w:bidi="en-US"/>
        </w:rPr>
        <w:t xml:space="preserve">. </w:t>
      </w:r>
      <w:r w:rsidR="00947E40">
        <w:rPr>
          <w:rFonts w:ascii="Arial" w:eastAsia="Arial" w:hAnsi="Arial" w:cs="Arial"/>
          <w:sz w:val="22"/>
          <w:szCs w:val="22"/>
          <w:lang w:bidi="en-US"/>
        </w:rPr>
        <w:t>V</w:t>
      </w:r>
      <w:r w:rsidR="00947E40" w:rsidRPr="00947E40">
        <w:rPr>
          <w:rFonts w:ascii="Arial" w:eastAsia="Arial" w:hAnsi="Arial" w:cs="Arial"/>
          <w:sz w:val="22"/>
          <w:szCs w:val="22"/>
          <w:lang w:bidi="en-US"/>
        </w:rPr>
        <w:t>essels with carrying capacities of between 200,000 and 220,000 dwt. These vessels carry both iron ore and coal and they represent the largest vessels able to enter the port of Newcastle in Australia. There are relatively few ports around the world with the infrastructure to accommodate vessels of this size</w:t>
      </w:r>
      <w:r w:rsidR="00BF4E3A">
        <w:rPr>
          <w:rFonts w:ascii="Arial" w:eastAsia="Arial" w:hAnsi="Arial" w:cs="Arial"/>
          <w:sz w:val="22"/>
          <w:szCs w:val="22"/>
          <w:lang w:bidi="en-US"/>
        </w:rPr>
        <w:t>.</w:t>
      </w:r>
    </w:p>
    <w:p w14:paraId="71F3E48F" w14:textId="77777777" w:rsidR="00E519EB" w:rsidRPr="00F435A2" w:rsidRDefault="00E519EB" w:rsidP="00806BDD">
      <w:pPr>
        <w:pBdr>
          <w:top w:val="nil"/>
          <w:left w:val="nil"/>
          <w:bottom w:val="nil"/>
          <w:right w:val="nil"/>
          <w:between w:val="nil"/>
          <w:bar w:val="nil"/>
        </w:pBdr>
        <w:jc w:val="both"/>
        <w:rPr>
          <w:rFonts w:ascii="Arial" w:eastAsia="Arial" w:hAnsi="Arial" w:cs="Arial"/>
          <w:bdr w:val="nil"/>
          <w:lang w:val="en-US"/>
        </w:rPr>
      </w:pPr>
    </w:p>
    <w:p w14:paraId="71F3E490" w14:textId="77777777" w:rsidR="00E519EB" w:rsidRPr="00F435A2" w:rsidRDefault="003A4815" w:rsidP="00806BDD">
      <w:pPr>
        <w:pStyle w:val="ListBullet"/>
        <w:keepLines/>
        <w:widowControl/>
        <w:numPr>
          <w:ilvl w:val="0"/>
          <w:numId w:val="13"/>
        </w:numPr>
        <w:pBdr>
          <w:top w:val="nil"/>
          <w:left w:val="nil"/>
          <w:bottom w:val="nil"/>
          <w:right w:val="nil"/>
          <w:between w:val="nil"/>
          <w:bar w:val="nil"/>
        </w:pBdr>
        <w:rPr>
          <w:rFonts w:ascii="Arial" w:eastAsia="Arial" w:hAnsi="Arial" w:cs="Arial"/>
          <w:sz w:val="22"/>
          <w:szCs w:val="22"/>
          <w:bdr w:val="nil"/>
          <w:lang w:bidi="en-US"/>
        </w:rPr>
      </w:pPr>
      <w:r w:rsidRPr="00F435A2">
        <w:rPr>
          <w:rFonts w:ascii="Arial" w:eastAsia="Arial" w:hAnsi="Arial" w:cs="Arial"/>
          <w:b/>
          <w:bCs/>
          <w:i/>
          <w:iCs/>
          <w:sz w:val="22"/>
          <w:szCs w:val="22"/>
          <w:lang w:bidi="en-US"/>
        </w:rPr>
        <w:t>Capesize</w:t>
      </w:r>
      <w:r w:rsidRPr="00F435A2">
        <w:rPr>
          <w:rFonts w:ascii="Arial" w:eastAsia="Arial" w:hAnsi="Arial" w:cs="Arial"/>
          <w:sz w:val="22"/>
          <w:szCs w:val="22"/>
          <w:lang w:bidi="en-US"/>
        </w:rPr>
        <w:t xml:space="preserve">. </w:t>
      </w:r>
      <w:r w:rsidR="00BF4E3A" w:rsidRPr="00BF4E3A">
        <w:rPr>
          <w:rFonts w:ascii="Arial" w:eastAsia="Arial" w:hAnsi="Arial" w:cs="Arial"/>
          <w:sz w:val="22"/>
          <w:szCs w:val="22"/>
          <w:lang w:bidi="en-US"/>
        </w:rPr>
        <w:t>Capesize vessels (including Baby Capes) have a carrying capacity of 100,000-120.000 dwt for Baby Capes, and 150</w:t>
      </w:r>
      <w:r w:rsidR="00BF4E3A">
        <w:rPr>
          <w:rFonts w:ascii="Arial" w:eastAsia="Arial" w:hAnsi="Arial" w:cs="Arial"/>
          <w:sz w:val="22"/>
          <w:szCs w:val="22"/>
          <w:lang w:bidi="en-US"/>
        </w:rPr>
        <w:t>,000</w:t>
      </w:r>
      <w:r w:rsidR="00BF4E3A" w:rsidRPr="00BF4E3A">
        <w:rPr>
          <w:rFonts w:ascii="Arial" w:eastAsia="Arial" w:hAnsi="Arial" w:cs="Arial"/>
          <w:sz w:val="22"/>
          <w:szCs w:val="22"/>
          <w:lang w:bidi="en-US"/>
        </w:rPr>
        <w:t>-199,999 dwt for conventional Capes. Only the largest ports around the world possess the infrastructure to accommodate vessels of this size. Capesize vessels are primarily used to transport iron ore or coal and, to a much lesser extent, grains, primarily on long-haul routes. </w:t>
      </w:r>
    </w:p>
    <w:p w14:paraId="71F3E491" w14:textId="77777777" w:rsidR="00E519EB" w:rsidRPr="00F435A2" w:rsidRDefault="00E519EB" w:rsidP="00806BDD">
      <w:pPr>
        <w:pBdr>
          <w:top w:val="nil"/>
          <w:left w:val="nil"/>
          <w:bottom w:val="nil"/>
          <w:right w:val="nil"/>
          <w:between w:val="nil"/>
          <w:bar w:val="nil"/>
        </w:pBdr>
        <w:jc w:val="both"/>
        <w:rPr>
          <w:rFonts w:ascii="Arial" w:eastAsia="Arial" w:hAnsi="Arial" w:cs="Arial"/>
          <w:bdr w:val="nil"/>
          <w:lang w:val="en-US"/>
        </w:rPr>
      </w:pPr>
    </w:p>
    <w:p w14:paraId="71F3E492" w14:textId="77777777" w:rsidR="00E519EB" w:rsidRPr="00F435A2" w:rsidRDefault="003A4815" w:rsidP="00806BDD">
      <w:pPr>
        <w:pStyle w:val="ListBullet"/>
        <w:keepLines/>
        <w:widowControl/>
        <w:numPr>
          <w:ilvl w:val="0"/>
          <w:numId w:val="13"/>
        </w:numPr>
        <w:pBdr>
          <w:top w:val="nil"/>
          <w:left w:val="nil"/>
          <w:bottom w:val="nil"/>
          <w:right w:val="nil"/>
          <w:between w:val="nil"/>
          <w:bar w:val="nil"/>
        </w:pBdr>
        <w:rPr>
          <w:rFonts w:ascii="Arial" w:eastAsia="Arial" w:hAnsi="Arial" w:cs="Arial"/>
          <w:sz w:val="22"/>
          <w:szCs w:val="22"/>
          <w:bdr w:val="nil"/>
          <w:lang w:bidi="en-US"/>
        </w:rPr>
      </w:pPr>
      <w:r w:rsidRPr="00F435A2">
        <w:rPr>
          <w:rFonts w:ascii="Arial" w:eastAsia="Arial" w:hAnsi="Arial" w:cs="Arial"/>
          <w:b/>
          <w:bCs/>
          <w:i/>
          <w:iCs/>
          <w:sz w:val="22"/>
          <w:szCs w:val="22"/>
          <w:lang w:bidi="en-US"/>
        </w:rPr>
        <w:t>Post-Panamax</w:t>
      </w:r>
      <w:r w:rsidRPr="00F435A2">
        <w:rPr>
          <w:rFonts w:ascii="Arial" w:eastAsia="Arial" w:hAnsi="Arial" w:cs="Arial"/>
          <w:sz w:val="22"/>
          <w:szCs w:val="22"/>
          <w:lang w:bidi="en-US"/>
        </w:rPr>
        <w:t xml:space="preserve">. </w:t>
      </w:r>
      <w:r w:rsidR="00BF4E3A" w:rsidRPr="00BF4E3A">
        <w:rPr>
          <w:rFonts w:ascii="Arial" w:eastAsia="Arial" w:hAnsi="Arial" w:cs="Arial"/>
          <w:sz w:val="22"/>
          <w:szCs w:val="22"/>
          <w:lang w:bidi="en-US"/>
        </w:rPr>
        <w:t>Post-Panamax vessels have a carrying capacity of 84,000-99,999 dwt. These vessels tend to have a shallower draft and larger beam than a standard Panamax vessel with a higher cargo capacity. These vessels have been designed specifically for loading high cubic cargoes from draught restricted ports. Post</w:t>
      </w:r>
      <w:r w:rsidR="00BF4E3A">
        <w:rPr>
          <w:rFonts w:ascii="Arial" w:eastAsia="Arial" w:hAnsi="Arial" w:cs="Arial"/>
          <w:sz w:val="22"/>
          <w:szCs w:val="22"/>
          <w:lang w:bidi="en-US"/>
        </w:rPr>
        <w:t>-</w:t>
      </w:r>
      <w:r w:rsidR="00BF4E3A" w:rsidRPr="00BF4E3A">
        <w:rPr>
          <w:rFonts w:ascii="Arial" w:eastAsia="Arial" w:hAnsi="Arial" w:cs="Arial"/>
          <w:sz w:val="22"/>
          <w:szCs w:val="22"/>
          <w:lang w:bidi="en-US"/>
        </w:rPr>
        <w:t>Panamaxes are used primarily in the coal trade, as well as grains from River Plate to Far East.</w:t>
      </w:r>
    </w:p>
    <w:p w14:paraId="71F3E493" w14:textId="77777777" w:rsidR="000874B8" w:rsidRPr="00806BDD" w:rsidRDefault="000874B8" w:rsidP="00806BDD">
      <w:pPr>
        <w:pBdr>
          <w:top w:val="nil"/>
          <w:left w:val="nil"/>
          <w:bottom w:val="nil"/>
          <w:right w:val="nil"/>
          <w:between w:val="nil"/>
          <w:bar w:val="nil"/>
        </w:pBdr>
        <w:jc w:val="both"/>
        <w:rPr>
          <w:rFonts w:ascii="Arial" w:eastAsia="Arial" w:hAnsi="Arial" w:cs="Arial"/>
          <w:bdr w:val="nil"/>
          <w:lang w:val="en-US"/>
        </w:rPr>
      </w:pPr>
    </w:p>
    <w:p w14:paraId="71F3E494" w14:textId="77777777" w:rsidR="00E92527" w:rsidRPr="00F435A2" w:rsidRDefault="003A4815" w:rsidP="00806BDD">
      <w:pPr>
        <w:pStyle w:val="ListBullet2"/>
        <w:keepLines/>
        <w:widowControl/>
        <w:numPr>
          <w:ilvl w:val="0"/>
          <w:numId w:val="13"/>
        </w:numPr>
        <w:pBdr>
          <w:top w:val="nil"/>
          <w:left w:val="nil"/>
          <w:bottom w:val="nil"/>
          <w:right w:val="nil"/>
          <w:between w:val="nil"/>
          <w:bar w:val="nil"/>
        </w:pBdr>
        <w:rPr>
          <w:rFonts w:ascii="Arial" w:eastAsia="Arial" w:hAnsi="Arial" w:cs="Arial"/>
          <w:szCs w:val="22"/>
          <w:bdr w:val="nil"/>
        </w:rPr>
      </w:pPr>
      <w:r w:rsidRPr="00F435A2">
        <w:rPr>
          <w:rFonts w:ascii="Arial" w:eastAsia="Arial" w:hAnsi="Arial" w:cs="Arial"/>
          <w:b/>
          <w:bCs/>
          <w:i/>
          <w:iCs/>
          <w:szCs w:val="22"/>
        </w:rPr>
        <w:t>Panamax</w:t>
      </w:r>
      <w:r w:rsidRPr="00F435A2">
        <w:rPr>
          <w:rFonts w:ascii="Arial" w:eastAsia="Arial" w:hAnsi="Arial" w:cs="Arial"/>
          <w:szCs w:val="22"/>
        </w:rPr>
        <w:t xml:space="preserve">.  </w:t>
      </w:r>
      <w:r w:rsidR="00BF4E3A" w:rsidRPr="00BF4E3A">
        <w:rPr>
          <w:rFonts w:ascii="Arial" w:eastAsia="Arial" w:hAnsi="Arial" w:cs="Arial"/>
          <w:szCs w:val="22"/>
          <w:lang w:bidi="en-US"/>
        </w:rPr>
        <w:t>Panamax vessels have a carrying capacity of 70,000-79,999, and a subset within this segment is the ‘</w:t>
      </w:r>
      <w:r w:rsidR="00BF4E3A">
        <w:rPr>
          <w:rFonts w:ascii="Arial" w:eastAsia="Arial" w:hAnsi="Arial" w:cs="Arial"/>
          <w:szCs w:val="22"/>
          <w:lang w:bidi="en-US"/>
        </w:rPr>
        <w:t>K</w:t>
      </w:r>
      <w:r w:rsidR="00BF4E3A" w:rsidRPr="00BF4E3A">
        <w:rPr>
          <w:rFonts w:ascii="Arial" w:eastAsia="Arial" w:hAnsi="Arial" w:cs="Arial"/>
          <w:szCs w:val="22"/>
          <w:lang w:bidi="en-US"/>
        </w:rPr>
        <w:t>amsarmax’ at 80,000 - 83,999 dwt. These vessels carry coal, iron ore, grains, and, to a lesser extent, minor bulks, including steel products, cement, and fertilizers. Panamax vessels are able to pass through the Panama Canal, making them more versatile than larger vessels with regard to accessing different trade routes. Most Panamax and Post-Panamax vessels are “gearless,” and therefore must be served by shore-based cargo handling equipment. However, there are a small number of geared vessels with onboard cranes, a feature that enhances trading flexibility and enables operation in ports which have poor infrastructure in terms of loading and unloading facilities.</w:t>
      </w:r>
    </w:p>
    <w:p w14:paraId="71F3E495" w14:textId="77777777" w:rsidR="00CA1592" w:rsidRPr="00F435A2" w:rsidRDefault="00CA1592" w:rsidP="00806BDD">
      <w:pPr>
        <w:pBdr>
          <w:top w:val="nil"/>
          <w:left w:val="nil"/>
          <w:bottom w:val="nil"/>
          <w:right w:val="nil"/>
          <w:between w:val="nil"/>
          <w:bar w:val="nil"/>
        </w:pBdr>
        <w:jc w:val="both"/>
        <w:rPr>
          <w:rFonts w:ascii="Arial" w:eastAsia="Arial" w:hAnsi="Arial" w:cs="Arial"/>
          <w:bdr w:val="nil"/>
          <w:lang w:val="en-US"/>
        </w:rPr>
      </w:pPr>
    </w:p>
    <w:p w14:paraId="71F3E496" w14:textId="77777777" w:rsidR="00CA1592" w:rsidRPr="00F435A2" w:rsidRDefault="003A4815" w:rsidP="00806BDD">
      <w:pPr>
        <w:pStyle w:val="ListBullet2"/>
        <w:keepLines/>
        <w:widowControl/>
        <w:numPr>
          <w:ilvl w:val="0"/>
          <w:numId w:val="13"/>
        </w:numPr>
        <w:pBdr>
          <w:top w:val="nil"/>
          <w:left w:val="nil"/>
          <w:bottom w:val="nil"/>
          <w:right w:val="nil"/>
          <w:between w:val="nil"/>
          <w:bar w:val="nil"/>
        </w:pBdr>
        <w:rPr>
          <w:rFonts w:ascii="Arial" w:eastAsia="Arial" w:hAnsi="Arial" w:cs="Arial"/>
          <w:szCs w:val="22"/>
          <w:bdr w:val="nil"/>
        </w:rPr>
      </w:pPr>
      <w:r w:rsidRPr="00F435A2">
        <w:rPr>
          <w:rFonts w:ascii="Arial" w:eastAsia="Arial" w:hAnsi="Arial" w:cs="Arial"/>
          <w:b/>
          <w:bCs/>
          <w:i/>
          <w:iCs/>
          <w:szCs w:val="22"/>
        </w:rPr>
        <w:t>Ultramax</w:t>
      </w:r>
      <w:r w:rsidRPr="00F435A2">
        <w:rPr>
          <w:rStyle w:val="ui-provider"/>
          <w:rFonts w:ascii="Arial" w:eastAsia="Arial" w:hAnsi="Arial" w:cs="Arial"/>
        </w:rPr>
        <w:t xml:space="preserve"> </w:t>
      </w:r>
      <w:r w:rsidRPr="00F435A2">
        <w:rPr>
          <w:rFonts w:ascii="Arial" w:eastAsia="Arial" w:hAnsi="Arial" w:cs="Arial"/>
          <w:szCs w:val="22"/>
        </w:rPr>
        <w:t xml:space="preserve">Ultramax is the largest class before Panamax and is the newer form of the smaller Supramax with a maximum length of 200 meters and capacity that ranges from 60,000 dwt </w:t>
      </w:r>
      <w:r w:rsidR="004F2AD0">
        <w:rPr>
          <w:rFonts w:ascii="Arial" w:eastAsia="Arial" w:hAnsi="Arial" w:cs="Arial"/>
          <w:szCs w:val="22"/>
        </w:rPr>
        <w:t>to</w:t>
      </w:r>
      <w:r w:rsidRPr="00F435A2">
        <w:rPr>
          <w:rFonts w:ascii="Arial" w:eastAsia="Arial" w:hAnsi="Arial" w:cs="Arial"/>
          <w:szCs w:val="22"/>
        </w:rPr>
        <w:t xml:space="preserve"> 66,000 dwt. This class is considered an upgrade to Supramax class as it offers a better all-around investment for Charterers and Shipowners due to its higher cargo carrying capacity and better bunker efficiency. Ultramax class bulk carriers have 5 cargo holds. are fitted with 4 cranes and usually are equipped with grabs allowing them to call more ports with no such facilities giving them more versatility.</w:t>
      </w:r>
      <w:r w:rsidR="00BF4E3A">
        <w:rPr>
          <w:rFonts w:ascii="Arial" w:eastAsia="Arial" w:hAnsi="Arial" w:cs="Arial"/>
          <w:szCs w:val="22"/>
        </w:rPr>
        <w:t xml:space="preserve"> </w:t>
      </w:r>
      <w:r w:rsidR="00BF4E3A" w:rsidRPr="00BF4E3A">
        <w:rPr>
          <w:rFonts w:ascii="Arial" w:eastAsia="Arial" w:hAnsi="Arial" w:cs="Arial"/>
          <w:szCs w:val="22"/>
          <w:lang w:bidi="en-US"/>
        </w:rPr>
        <w:t xml:space="preserve">Ultramaxes often compete with </w:t>
      </w:r>
      <w:r w:rsidR="00BF4E3A">
        <w:rPr>
          <w:rFonts w:ascii="Arial" w:eastAsia="Arial" w:hAnsi="Arial" w:cs="Arial"/>
          <w:szCs w:val="22"/>
          <w:lang w:bidi="en-US"/>
        </w:rPr>
        <w:t>P</w:t>
      </w:r>
      <w:r w:rsidR="00BF4E3A" w:rsidRPr="00BF4E3A">
        <w:rPr>
          <w:rFonts w:ascii="Arial" w:eastAsia="Arial" w:hAnsi="Arial" w:cs="Arial"/>
          <w:szCs w:val="22"/>
          <w:lang w:bidi="en-US"/>
        </w:rPr>
        <w:t>anamaxes on certain grain routes.</w:t>
      </w:r>
    </w:p>
    <w:p w14:paraId="71F3E497" w14:textId="77777777" w:rsidR="00E519EB" w:rsidRPr="00F435A2" w:rsidRDefault="00E519EB" w:rsidP="00806BDD">
      <w:pPr>
        <w:pBdr>
          <w:top w:val="nil"/>
          <w:left w:val="nil"/>
          <w:bottom w:val="nil"/>
          <w:right w:val="nil"/>
          <w:between w:val="nil"/>
          <w:bar w:val="nil"/>
        </w:pBdr>
        <w:jc w:val="both"/>
        <w:rPr>
          <w:rFonts w:ascii="Arial" w:eastAsia="Arial" w:hAnsi="Arial" w:cs="Arial"/>
          <w:bdr w:val="nil"/>
          <w:lang w:val="en-US"/>
        </w:rPr>
      </w:pPr>
    </w:p>
    <w:p w14:paraId="71F3E498" w14:textId="77777777" w:rsidR="00E519EB" w:rsidRPr="00F435A2" w:rsidRDefault="003A4815" w:rsidP="00806BDD">
      <w:pPr>
        <w:pStyle w:val="ListBullet"/>
        <w:keepLines/>
        <w:widowControl/>
        <w:numPr>
          <w:ilvl w:val="0"/>
          <w:numId w:val="13"/>
        </w:numPr>
        <w:pBdr>
          <w:top w:val="nil"/>
          <w:left w:val="nil"/>
          <w:bottom w:val="nil"/>
          <w:right w:val="nil"/>
          <w:between w:val="nil"/>
          <w:bar w:val="nil"/>
        </w:pBdr>
        <w:rPr>
          <w:rFonts w:ascii="Arial" w:eastAsia="Arial" w:hAnsi="Arial" w:cs="Arial"/>
          <w:sz w:val="22"/>
          <w:szCs w:val="22"/>
          <w:bdr w:val="nil"/>
          <w:lang w:bidi="en-US"/>
        </w:rPr>
      </w:pPr>
      <w:r w:rsidRPr="00F435A2">
        <w:rPr>
          <w:rFonts w:ascii="Arial" w:eastAsia="Arial" w:hAnsi="Arial" w:cs="Arial"/>
          <w:b/>
          <w:bCs/>
          <w:i/>
          <w:iCs/>
          <w:sz w:val="22"/>
          <w:szCs w:val="22"/>
          <w:lang w:bidi="en-US"/>
        </w:rPr>
        <w:t>Handymax/Supramax</w:t>
      </w:r>
      <w:r w:rsidRPr="00F435A2">
        <w:rPr>
          <w:rFonts w:ascii="Arial" w:eastAsia="Arial" w:hAnsi="Arial" w:cs="Arial"/>
          <w:sz w:val="22"/>
          <w:szCs w:val="22"/>
          <w:lang w:bidi="en-US"/>
        </w:rPr>
        <w:t xml:space="preserve">.  Handymax vessels have a carrying capacity of 40,000-59,999 dwt. These vessels operate in a large number of geographically dispersed global trade routes, carrying primarily grains and minor bulks. Within the Handymax category there is also a sub-sector known as Supramax. Supramax bulk carriers are ships between 50,000 to 59,999 dwt, normally offering cargo loading and unloading flexibility with on-board cranes, or “gear,” while at the same time possessing the cargo carrying capability approaching conventional Panamax bulk carriers. </w:t>
      </w:r>
    </w:p>
    <w:p w14:paraId="71F3E499" w14:textId="77777777" w:rsidR="00E519EB" w:rsidRPr="00F435A2" w:rsidRDefault="00E519EB" w:rsidP="00806BDD">
      <w:pPr>
        <w:pBdr>
          <w:top w:val="nil"/>
          <w:left w:val="nil"/>
          <w:bottom w:val="nil"/>
          <w:right w:val="nil"/>
          <w:between w:val="nil"/>
          <w:bar w:val="nil"/>
        </w:pBdr>
        <w:jc w:val="both"/>
        <w:rPr>
          <w:rFonts w:ascii="Arial" w:eastAsia="Arial" w:hAnsi="Arial" w:cs="Arial"/>
          <w:bdr w:val="nil"/>
          <w:lang w:val="en-US"/>
        </w:rPr>
      </w:pPr>
    </w:p>
    <w:p w14:paraId="71F3E49A" w14:textId="77777777" w:rsidR="00E519EB" w:rsidRPr="00F435A2" w:rsidRDefault="003A4815" w:rsidP="00806BDD">
      <w:pPr>
        <w:pStyle w:val="ListBullet"/>
        <w:widowControl/>
        <w:numPr>
          <w:ilvl w:val="0"/>
          <w:numId w:val="13"/>
        </w:numPr>
        <w:pBdr>
          <w:top w:val="nil"/>
          <w:left w:val="nil"/>
          <w:bottom w:val="nil"/>
          <w:right w:val="nil"/>
          <w:between w:val="nil"/>
          <w:bar w:val="nil"/>
        </w:pBdr>
        <w:rPr>
          <w:rFonts w:ascii="Arial" w:eastAsia="Arial" w:hAnsi="Arial" w:cs="Arial"/>
          <w:b/>
          <w:i/>
          <w:sz w:val="22"/>
          <w:szCs w:val="22"/>
          <w:bdr w:val="nil"/>
          <w:lang w:bidi="en-US"/>
        </w:rPr>
      </w:pPr>
      <w:r w:rsidRPr="00F435A2">
        <w:rPr>
          <w:rFonts w:ascii="Arial" w:eastAsia="Arial" w:hAnsi="Arial" w:cs="Arial"/>
          <w:b/>
          <w:i/>
          <w:sz w:val="22"/>
          <w:szCs w:val="22"/>
          <w:lang w:bidi="en-US"/>
        </w:rPr>
        <w:t>Handysize</w:t>
      </w:r>
      <w:r w:rsidRPr="00F435A2">
        <w:rPr>
          <w:rFonts w:ascii="Arial" w:eastAsia="Arial" w:hAnsi="Arial" w:cs="Arial"/>
          <w:i/>
          <w:sz w:val="22"/>
          <w:szCs w:val="22"/>
          <w:lang w:bidi="en-US"/>
        </w:rPr>
        <w:t>.</w:t>
      </w:r>
      <w:r w:rsidRPr="00F435A2">
        <w:rPr>
          <w:rFonts w:ascii="Arial" w:eastAsia="Arial" w:hAnsi="Arial" w:cs="Arial"/>
          <w:sz w:val="22"/>
          <w:szCs w:val="22"/>
          <w:lang w:bidi="en-US"/>
        </w:rPr>
        <w:t xml:space="preserve">  Handysize vessels have a carrying capacity of up to 39,999 dwt. These vessels are primarily involved in carrying minor bulk cargoes. Increasingly, ships of this type operate within regional trading routes, and may serve as trans-shipment feeders for larger vessels. Handysize vessels are well suited for small ports with length and draft restrictions. Their cargo gear enables them to service ports lacking the infrastructure for cargo loading and unloading. </w:t>
      </w:r>
    </w:p>
    <w:p w14:paraId="71F3E49B" w14:textId="77777777" w:rsidR="002433D3" w:rsidRPr="00F435A2" w:rsidRDefault="002433D3" w:rsidP="00314B69">
      <w:pPr>
        <w:pStyle w:val="Normal19"/>
        <w:pBdr>
          <w:top w:val="nil"/>
          <w:left w:val="nil"/>
          <w:bottom w:val="nil"/>
          <w:right w:val="nil"/>
          <w:between w:val="nil"/>
          <w:bar w:val="nil"/>
        </w:pBdr>
        <w:rPr>
          <w:rFonts w:ascii="Arial" w:eastAsia="Arial" w:hAnsi="Arial" w:cs="Arial"/>
          <w:color w:val="000000"/>
          <w:szCs w:val="22"/>
          <w:bdr w:val="nil"/>
        </w:rPr>
      </w:pPr>
    </w:p>
    <w:p w14:paraId="71F3E49C" w14:textId="77777777" w:rsidR="002433D3" w:rsidRPr="00F435A2" w:rsidRDefault="003A4815" w:rsidP="00314B69">
      <w:pPr>
        <w:pStyle w:val="Normal19"/>
        <w:pBdr>
          <w:top w:val="nil"/>
          <w:left w:val="nil"/>
          <w:bottom w:val="nil"/>
          <w:right w:val="nil"/>
          <w:between w:val="nil"/>
          <w:bar w:val="nil"/>
        </w:pBdr>
        <w:rPr>
          <w:rFonts w:ascii="Arial" w:eastAsia="Arial" w:hAnsi="Arial" w:cs="Arial"/>
          <w:color w:val="000000"/>
          <w:bdr w:val="nil"/>
        </w:rPr>
      </w:pPr>
      <w:r w:rsidRPr="00F435A2">
        <w:rPr>
          <w:rFonts w:ascii="Arial" w:eastAsia="Arial" w:hAnsi="Arial" w:cs="Arial"/>
          <w:color w:val="000000"/>
          <w:bdr w:val="none" w:sz="0" w:space="0" w:color="auto" w:frame="1"/>
        </w:rPr>
        <w:t>Other size categories occur in regional trade, such as Kamsarmax, with a maximum length of 229 meters, the maximum length that can load in the port of Kamsar in the Republic of Guinea. Other terms such as Seawaymax, Setouchmax</w:t>
      </w:r>
      <w:r w:rsidR="00E22EEB">
        <w:rPr>
          <w:rFonts w:ascii="Arial" w:eastAsia="Arial" w:hAnsi="Arial" w:cs="Arial"/>
          <w:color w:val="000000"/>
          <w:bdr w:val="none" w:sz="0" w:space="0" w:color="auto" w:frame="1"/>
        </w:rPr>
        <w:t xml:space="preserve"> and</w:t>
      </w:r>
      <w:r w:rsidRPr="00F435A2">
        <w:rPr>
          <w:rFonts w:ascii="Arial" w:eastAsia="Arial" w:hAnsi="Arial" w:cs="Arial"/>
          <w:color w:val="000000"/>
          <w:bdr w:val="none" w:sz="0" w:space="0" w:color="auto" w:frame="1"/>
        </w:rPr>
        <w:t xml:space="preserve"> Dunkirkmax also appear in regional trade.</w:t>
      </w:r>
    </w:p>
    <w:p w14:paraId="71F3E49D" w14:textId="77777777" w:rsidR="006D3CBF" w:rsidRPr="00F435A2" w:rsidRDefault="006D3CBF" w:rsidP="00314B69">
      <w:pPr>
        <w:pStyle w:val="Normal19"/>
        <w:pBdr>
          <w:top w:val="nil"/>
          <w:left w:val="nil"/>
          <w:bottom w:val="nil"/>
          <w:right w:val="nil"/>
          <w:between w:val="nil"/>
          <w:bar w:val="nil"/>
        </w:pBdr>
        <w:rPr>
          <w:rFonts w:ascii="Arial" w:eastAsia="Arial" w:hAnsi="Arial" w:cs="Arial"/>
          <w:color w:val="000000"/>
          <w:szCs w:val="22"/>
          <w:bdr w:val="nil"/>
        </w:rPr>
      </w:pPr>
    </w:p>
    <w:p w14:paraId="71F3E49E" w14:textId="77777777" w:rsidR="00C03F2B" w:rsidRPr="00F435A2" w:rsidRDefault="003A4815" w:rsidP="00314B69">
      <w:pPr>
        <w:pStyle w:val="Normal19"/>
        <w:pBdr>
          <w:top w:val="nil"/>
          <w:left w:val="nil"/>
          <w:bottom w:val="nil"/>
          <w:right w:val="nil"/>
          <w:between w:val="nil"/>
          <w:bar w:val="nil"/>
        </w:pBdr>
        <w:rPr>
          <w:rFonts w:ascii="Arial" w:eastAsia="Arial" w:hAnsi="Arial" w:cs="Arial"/>
          <w:color w:val="000000"/>
          <w:szCs w:val="22"/>
          <w:bdr w:val="nil"/>
        </w:rPr>
      </w:pPr>
      <w:r w:rsidRPr="00F435A2">
        <w:rPr>
          <w:rFonts w:ascii="Arial" w:eastAsia="Arial" w:hAnsi="Arial" w:cs="Arial"/>
          <w:color w:val="000000"/>
          <w:szCs w:val="22"/>
        </w:rPr>
        <w:t xml:space="preserve">The supply of dry bulk carriers is dependent on the delivery of new vessels and the removal of vessels from the global fleet, either through scrapping or loss. The level of scrapping activity is generally a function of scrapping prices in relation to current and prospective charter market conditions, as well as operating, repair and survey costs. </w:t>
      </w:r>
      <w:r w:rsidRPr="00E809F8">
        <w:rPr>
          <w:rFonts w:ascii="Arial" w:eastAsia="Arial" w:hAnsi="Arial" w:cs="Arial"/>
          <w:color w:val="000000"/>
          <w:szCs w:val="22"/>
          <w:lang w:bidi="en-US"/>
        </w:rPr>
        <w:t>The age range at which a vessel is scrapped is between 20 and 32 years</w:t>
      </w:r>
      <w:r w:rsidR="00304147">
        <w:rPr>
          <w:rFonts w:ascii="Arial" w:eastAsia="Arial" w:hAnsi="Arial" w:cs="Arial"/>
          <w:color w:val="000000"/>
          <w:szCs w:val="22"/>
        </w:rPr>
        <w:t>, depending on among others, the vessel type, the freight market conditions and regulatory requirements</w:t>
      </w:r>
      <w:r w:rsidRPr="00F435A2">
        <w:rPr>
          <w:rFonts w:ascii="Arial" w:eastAsia="Arial" w:hAnsi="Arial" w:cs="Arial"/>
          <w:color w:val="000000"/>
          <w:szCs w:val="22"/>
        </w:rPr>
        <w:t>.</w:t>
      </w:r>
    </w:p>
    <w:p w14:paraId="71F3E49F" w14:textId="77777777" w:rsidR="005F7EDF" w:rsidRPr="00F435A2" w:rsidRDefault="005F7EDF" w:rsidP="00314B69">
      <w:pPr>
        <w:pBdr>
          <w:top w:val="nil"/>
          <w:left w:val="nil"/>
          <w:bottom w:val="nil"/>
          <w:right w:val="nil"/>
          <w:between w:val="nil"/>
          <w:bar w:val="nil"/>
        </w:pBdr>
        <w:tabs>
          <w:tab w:val="left" w:pos="5715"/>
        </w:tabs>
        <w:jc w:val="both"/>
        <w:rPr>
          <w:rFonts w:ascii="Arial" w:eastAsia="Arial" w:hAnsi="Arial" w:cs="Arial"/>
          <w:color w:val="000000"/>
          <w:bdr w:val="nil"/>
          <w:lang w:val="en-US"/>
        </w:rPr>
      </w:pPr>
    </w:p>
    <w:p w14:paraId="71F3E4A0" w14:textId="77777777" w:rsidR="00E92527" w:rsidRPr="00F435A2" w:rsidRDefault="003A4815" w:rsidP="00314B69">
      <w:pPr>
        <w:pStyle w:val="Normal19"/>
        <w:pBdr>
          <w:top w:val="nil"/>
          <w:left w:val="nil"/>
          <w:bottom w:val="nil"/>
          <w:right w:val="nil"/>
          <w:between w:val="nil"/>
          <w:bar w:val="nil"/>
        </w:pBdr>
        <w:rPr>
          <w:rFonts w:ascii="Arial" w:eastAsia="Arial" w:hAnsi="Arial" w:cs="Arial"/>
          <w:color w:val="000000"/>
          <w:szCs w:val="22"/>
          <w:bdr w:val="nil"/>
        </w:rPr>
      </w:pPr>
      <w:r w:rsidRPr="00F435A2">
        <w:rPr>
          <w:rFonts w:ascii="Arial" w:eastAsia="Arial" w:hAnsi="Arial" w:cs="Arial"/>
          <w:color w:val="000000"/>
          <w:szCs w:val="22"/>
        </w:rPr>
        <w:t xml:space="preserve">The demand for dry bulk carrier capacity is determined by the underlying demand for commodities transported in dry bulk carriers, which in turn is influenced by trends in the global economy. Demand for dry bulk carrier capacity is also affected by the operating efficiency of the global fleet, along with port congestion, which has been a feature of the market since 2004, absorbing tonnage and therefore leading to a tighter balance between supply and demand. In evaluating demand factors for dry bulk carrier capacity, the Company believes that dry bulk carriers can be the most versatile element of the global shipping fleets in terms of employment alternatives. </w:t>
      </w:r>
    </w:p>
    <w:p w14:paraId="71F3E4A1" w14:textId="77777777" w:rsidR="00DF2AED" w:rsidRPr="00F435A2" w:rsidRDefault="00DF2AED" w:rsidP="00314B69">
      <w:pPr>
        <w:pBdr>
          <w:top w:val="nil"/>
          <w:left w:val="nil"/>
          <w:bottom w:val="nil"/>
          <w:right w:val="nil"/>
          <w:between w:val="nil"/>
          <w:bar w:val="nil"/>
        </w:pBdr>
        <w:jc w:val="both"/>
        <w:rPr>
          <w:rFonts w:ascii="Arial" w:eastAsia="Arial" w:hAnsi="Arial" w:cs="Arial"/>
          <w:color w:val="000000"/>
          <w:bdr w:val="nil"/>
          <w:lang w:val="en-US"/>
        </w:rPr>
      </w:pPr>
    </w:p>
    <w:p w14:paraId="71F3E4A2" w14:textId="77777777" w:rsidR="00E519EB" w:rsidRPr="00F435A2" w:rsidRDefault="003A4815" w:rsidP="00314B69">
      <w:pPr>
        <w:pStyle w:val="Heading3"/>
        <w:keepLines/>
        <w:pBdr>
          <w:top w:val="nil"/>
          <w:left w:val="nil"/>
          <w:bottom w:val="nil"/>
          <w:right w:val="nil"/>
          <w:between w:val="nil"/>
          <w:bar w:val="nil"/>
        </w:pBdr>
        <w:rPr>
          <w:rFonts w:eastAsia="Arial" w:cs="Arial"/>
          <w:i w:val="0"/>
          <w:sz w:val="24"/>
          <w:szCs w:val="22"/>
          <w:bdr w:val="nil"/>
          <w:lang w:val="en-GB" w:bidi="en-US"/>
        </w:rPr>
      </w:pPr>
      <w:r w:rsidRPr="000B0A44">
        <w:rPr>
          <w:rFonts w:eastAsia="Arial" w:cs="Arial"/>
          <w:i w:val="0"/>
          <w:sz w:val="24"/>
          <w:szCs w:val="22"/>
          <w:lang w:val="en-GB" w:bidi="en-US"/>
        </w:rPr>
        <w:t>Vessel Prices</w:t>
      </w:r>
      <w:r w:rsidRPr="00F435A2">
        <w:rPr>
          <w:rFonts w:eastAsia="Arial" w:cs="Arial"/>
          <w:i w:val="0"/>
          <w:sz w:val="24"/>
          <w:szCs w:val="22"/>
          <w:lang w:val="en-GB" w:bidi="en-US"/>
        </w:rPr>
        <w:t xml:space="preserve"> </w:t>
      </w:r>
    </w:p>
    <w:p w14:paraId="71F3E4A3" w14:textId="77777777" w:rsidR="00427F85" w:rsidRDefault="00427F85" w:rsidP="00314B69">
      <w:pPr>
        <w:pStyle w:val="Normal190"/>
        <w:pBdr>
          <w:top w:val="nil"/>
          <w:left w:val="nil"/>
          <w:bottom w:val="nil"/>
          <w:right w:val="nil"/>
          <w:between w:val="nil"/>
          <w:bar w:val="nil"/>
        </w:pBdr>
        <w:rPr>
          <w:rFonts w:ascii="Arial" w:eastAsia="Arial" w:hAnsi="Arial" w:cs="Arial"/>
          <w:color w:val="000000"/>
          <w:szCs w:val="22"/>
          <w:bdr w:val="nil"/>
        </w:rPr>
      </w:pPr>
    </w:p>
    <w:p w14:paraId="71F3E4A4" w14:textId="77777777" w:rsidR="00427F85" w:rsidRPr="00F435A2" w:rsidRDefault="003A4815" w:rsidP="00314B69">
      <w:pPr>
        <w:pStyle w:val="Normal190"/>
        <w:pBdr>
          <w:top w:val="nil"/>
          <w:left w:val="nil"/>
          <w:bottom w:val="nil"/>
          <w:right w:val="nil"/>
          <w:between w:val="nil"/>
          <w:bar w:val="nil"/>
        </w:pBdr>
        <w:rPr>
          <w:rFonts w:ascii="Arial" w:eastAsia="Arial" w:hAnsi="Arial" w:cs="Arial"/>
          <w:color w:val="000000"/>
          <w:szCs w:val="22"/>
          <w:bdr w:val="nil"/>
        </w:rPr>
      </w:pPr>
      <w:r w:rsidRPr="00427F85">
        <w:rPr>
          <w:rFonts w:ascii="Arial" w:eastAsia="Arial" w:hAnsi="Arial" w:cs="Arial"/>
          <w:color w:val="000000"/>
          <w:szCs w:val="22"/>
          <w:lang w:bidi="en-US"/>
        </w:rPr>
        <w:t xml:space="preserve">Dry bulk vessel values in </w:t>
      </w:r>
      <w:r w:rsidRPr="00F435A2">
        <w:rPr>
          <w:rFonts w:ascii="Arial" w:eastAsia="Arial" w:hAnsi="Arial" w:cs="Arial"/>
          <w:color w:val="000000"/>
          <w:szCs w:val="22"/>
        </w:rPr>
        <w:t>2025</w:t>
      </w:r>
      <w:r w:rsidRPr="00427F85">
        <w:rPr>
          <w:rFonts w:ascii="Arial" w:eastAsia="Arial" w:hAnsi="Arial" w:cs="Arial"/>
          <w:color w:val="000000"/>
          <w:szCs w:val="22"/>
          <w:lang w:bidi="en-US"/>
        </w:rPr>
        <w:t xml:space="preserve"> generally remained firm and in several segments increased compared to 2024, despite fluctuations in charter rates during the year. This resilience in secondhand asset values is largely supported by historically high newbuilding prices and a restricted availability of shipyard slots for near-term deliveries which limits near-term fleet growth. While </w:t>
      </w:r>
      <w:r w:rsidRPr="00F435A2">
        <w:rPr>
          <w:rFonts w:ascii="Arial" w:eastAsia="Arial" w:hAnsi="Arial" w:cs="Arial"/>
          <w:color w:val="000000"/>
          <w:szCs w:val="22"/>
        </w:rPr>
        <w:t>2025</w:t>
      </w:r>
      <w:r w:rsidRPr="00427F85">
        <w:rPr>
          <w:rFonts w:ascii="Arial" w:eastAsia="Arial" w:hAnsi="Arial" w:cs="Arial"/>
          <w:color w:val="000000"/>
          <w:szCs w:val="22"/>
          <w:lang w:bidi="en-US"/>
        </w:rPr>
        <w:t xml:space="preserve"> presented a mixed rate environment, charter rates have shown notable strength and an upward trajectory in early </w:t>
      </w:r>
      <w:r w:rsidRPr="00F435A2">
        <w:rPr>
          <w:rFonts w:ascii="Arial" w:eastAsia="Arial" w:hAnsi="Arial" w:cs="Arial"/>
          <w:color w:val="000000"/>
          <w:szCs w:val="22"/>
        </w:rPr>
        <w:t>2026</w:t>
      </w:r>
      <w:r w:rsidRPr="00427F85">
        <w:rPr>
          <w:rFonts w:ascii="Arial" w:eastAsia="Arial" w:hAnsi="Arial" w:cs="Arial"/>
          <w:color w:val="000000"/>
          <w:szCs w:val="22"/>
          <w:lang w:bidi="en-US"/>
        </w:rPr>
        <w:t>. However, given the cyclical nature of the industry, there can be no assurance as to how long vessel values and charter rates will remain at their current robust levels, or whether they will continue to improve or face adjustments in the near future</w:t>
      </w:r>
      <w:r w:rsidR="00775E25">
        <w:rPr>
          <w:rFonts w:ascii="Arial" w:eastAsia="Arial" w:hAnsi="Arial" w:cs="Arial"/>
          <w:color w:val="000000"/>
          <w:szCs w:val="22"/>
          <w:lang w:bidi="en-US"/>
        </w:rPr>
        <w:t>.</w:t>
      </w:r>
    </w:p>
    <w:p w14:paraId="71F3E4A5" w14:textId="77777777" w:rsidR="00D274AD" w:rsidRPr="00F435A2" w:rsidRDefault="00D274AD" w:rsidP="00314B69">
      <w:pPr>
        <w:pBdr>
          <w:top w:val="nil"/>
          <w:left w:val="nil"/>
          <w:bottom w:val="nil"/>
          <w:right w:val="nil"/>
          <w:between w:val="nil"/>
          <w:bar w:val="nil"/>
        </w:pBdr>
        <w:jc w:val="both"/>
        <w:rPr>
          <w:rFonts w:ascii="Arial" w:eastAsia="Arial" w:hAnsi="Arial" w:cs="Arial"/>
          <w:color w:val="000000"/>
          <w:bdr w:val="nil"/>
          <w:lang w:val="en-US"/>
        </w:rPr>
      </w:pPr>
    </w:p>
    <w:p w14:paraId="71F3E4A6" w14:textId="77777777" w:rsidR="00E519EB" w:rsidRPr="00F435A2" w:rsidRDefault="003A4815" w:rsidP="00314B69">
      <w:pPr>
        <w:pStyle w:val="Heading3"/>
        <w:keepLines/>
        <w:pBdr>
          <w:top w:val="nil"/>
          <w:left w:val="nil"/>
          <w:bottom w:val="nil"/>
          <w:right w:val="nil"/>
          <w:between w:val="nil"/>
          <w:bar w:val="nil"/>
        </w:pBdr>
        <w:rPr>
          <w:rFonts w:eastAsia="Arial" w:cs="Arial"/>
          <w:i w:val="0"/>
          <w:sz w:val="24"/>
          <w:szCs w:val="22"/>
          <w:bdr w:val="nil"/>
          <w:lang w:val="en-GB" w:bidi="en-US"/>
        </w:rPr>
      </w:pPr>
      <w:r w:rsidRPr="00F435A2">
        <w:rPr>
          <w:rFonts w:eastAsia="Arial" w:cs="Arial"/>
          <w:i w:val="0"/>
          <w:sz w:val="24"/>
          <w:szCs w:val="22"/>
          <w:lang w:val="en-GB" w:bidi="en-US"/>
        </w:rPr>
        <w:t xml:space="preserve">Competition  </w:t>
      </w:r>
    </w:p>
    <w:p w14:paraId="71F3E4A7" w14:textId="77777777" w:rsidR="00E52011" w:rsidRPr="00F435A2" w:rsidRDefault="00E52011" w:rsidP="00314B69">
      <w:pPr>
        <w:keepNext/>
        <w:keepLines/>
        <w:pBdr>
          <w:top w:val="nil"/>
          <w:left w:val="nil"/>
          <w:bottom w:val="nil"/>
          <w:right w:val="nil"/>
          <w:between w:val="nil"/>
          <w:bar w:val="nil"/>
        </w:pBdr>
        <w:jc w:val="both"/>
        <w:rPr>
          <w:rFonts w:ascii="Arial" w:eastAsia="Arial" w:hAnsi="Arial" w:cs="Arial"/>
          <w:color w:val="000000"/>
          <w:bdr w:val="nil"/>
          <w:lang w:val="en-US"/>
        </w:rPr>
      </w:pPr>
    </w:p>
    <w:p w14:paraId="71F3E4A8" w14:textId="77777777" w:rsidR="00E519EB" w:rsidRPr="00F435A2" w:rsidRDefault="003A4815" w:rsidP="00314B69">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Our business fluctuates in line with the main patterns of trade of the major dry bulk cargoes and varies according to changes in the supply and demand for these items. We operate in markets that are highly competitive and based primarily on supply and demand. We compete for charters on the basis of price, vessel location, size, age and condition of the vessel, as well as on our reputation as an owner and operator. We compete with other owners of dry bulk carriers in the Panamax, Post-Panamax and smaller class sectors and with owners of Capesize and Newcastlemax dry bulk carriers. Ownership of dry bulk carriers is highly fragmented.</w:t>
      </w:r>
    </w:p>
    <w:p w14:paraId="71F3E4A9" w14:textId="77777777" w:rsidR="00C074BD" w:rsidRPr="00F435A2" w:rsidRDefault="00C074BD" w:rsidP="00314B69">
      <w:pPr>
        <w:pBdr>
          <w:top w:val="nil"/>
          <w:left w:val="nil"/>
          <w:bottom w:val="nil"/>
          <w:right w:val="nil"/>
          <w:between w:val="nil"/>
          <w:bar w:val="nil"/>
        </w:pBdr>
        <w:jc w:val="both"/>
        <w:rPr>
          <w:rFonts w:ascii="Arial" w:eastAsia="Arial" w:hAnsi="Arial" w:cs="Arial"/>
          <w:color w:val="000000"/>
          <w:bdr w:val="nil"/>
          <w:lang w:val="en-US"/>
        </w:rPr>
      </w:pPr>
    </w:p>
    <w:p w14:paraId="71F3E4AA" w14:textId="77777777" w:rsidR="00E52011" w:rsidRPr="00F435A2" w:rsidRDefault="003A4815" w:rsidP="00314B69">
      <w:pPr>
        <w:keepNext/>
        <w:keepLines/>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We believe that we possess a number of strengths that provide us with a competitive advantage in the dry bulk shipping industry:</w:t>
      </w:r>
    </w:p>
    <w:p w14:paraId="71F3E4AB" w14:textId="77777777" w:rsidR="00D778A5" w:rsidRPr="00F435A2" w:rsidRDefault="003A4815" w:rsidP="00806BDD">
      <w:pPr>
        <w:pStyle w:val="NormalWeb"/>
        <w:keepLines/>
        <w:numPr>
          <w:ilvl w:val="0"/>
          <w:numId w:val="15"/>
        </w:numPr>
        <w:pBdr>
          <w:top w:val="nil"/>
          <w:left w:val="nil"/>
          <w:bottom w:val="nil"/>
          <w:right w:val="nil"/>
          <w:between w:val="nil"/>
          <w:bar w:val="nil"/>
        </w:pBdr>
        <w:shd w:val="clear" w:color="auto" w:fill="FFFFFF"/>
        <w:spacing w:before="163"/>
        <w:jc w:val="both"/>
        <w:rPr>
          <w:rFonts w:ascii="Arial" w:eastAsia="Arial" w:hAnsi="Arial" w:cs="Arial"/>
          <w:color w:val="000000"/>
          <w:szCs w:val="22"/>
          <w:bdr w:val="nil"/>
          <w:lang w:val="en-US" w:bidi="en-US"/>
        </w:rPr>
      </w:pPr>
      <w:r w:rsidRPr="00F435A2">
        <w:rPr>
          <w:rFonts w:ascii="Arial" w:eastAsia="Arial" w:hAnsi="Arial" w:cs="Arial"/>
          <w:i/>
          <w:color w:val="000000"/>
          <w:szCs w:val="22"/>
          <w:lang w:val="en-US" w:bidi="en-US"/>
        </w:rPr>
        <w:t>We own a modern, high quality fleet of dry bulk carriers</w:t>
      </w:r>
      <w:r w:rsidRPr="00F435A2">
        <w:rPr>
          <w:rFonts w:ascii="Arial" w:eastAsia="Arial" w:hAnsi="Arial" w:cs="Arial"/>
          <w:color w:val="000000"/>
          <w:szCs w:val="22"/>
          <w:lang w:val="en-US" w:bidi="en-US"/>
        </w:rPr>
        <w:t>.  We believe that owning a modern, high quality fleet reduces operating costs, improves safety and provides us with a competitive advantage in securing favorable time charters. We maintain the quality of our vessels by carrying out regular inspections, both while in port and at sea, and adopting a comprehensive maintenance program for each vessel.</w:t>
      </w:r>
    </w:p>
    <w:p w14:paraId="71F3E4AC" w14:textId="77777777" w:rsidR="00D778A5" w:rsidRPr="00F435A2" w:rsidRDefault="003A4815" w:rsidP="00806BDD">
      <w:pPr>
        <w:pStyle w:val="NormalWeb"/>
        <w:keepLines/>
        <w:numPr>
          <w:ilvl w:val="0"/>
          <w:numId w:val="15"/>
        </w:numPr>
        <w:pBdr>
          <w:top w:val="nil"/>
          <w:left w:val="nil"/>
          <w:bottom w:val="nil"/>
          <w:right w:val="nil"/>
          <w:between w:val="nil"/>
          <w:bar w:val="nil"/>
        </w:pBdr>
        <w:shd w:val="clear" w:color="auto" w:fill="FFFFFF"/>
        <w:spacing w:before="163"/>
        <w:jc w:val="both"/>
        <w:rPr>
          <w:rFonts w:ascii="Arial" w:eastAsia="Arial" w:hAnsi="Arial" w:cs="Arial"/>
          <w:color w:val="000000"/>
          <w:szCs w:val="22"/>
          <w:bdr w:val="nil"/>
          <w:lang w:val="en-US" w:bidi="en-US"/>
        </w:rPr>
      </w:pPr>
      <w:r w:rsidRPr="00F435A2">
        <w:rPr>
          <w:rFonts w:ascii="Arial" w:eastAsia="Arial" w:hAnsi="Arial" w:cs="Arial"/>
          <w:i/>
          <w:color w:val="000000"/>
          <w:szCs w:val="22"/>
          <w:lang w:val="en-US" w:bidi="en-US"/>
        </w:rPr>
        <w:t>Our fleet includes groups of sister ships.</w:t>
      </w:r>
      <w:r w:rsidRPr="00F435A2">
        <w:rPr>
          <w:rFonts w:ascii="Arial" w:eastAsia="Arial" w:hAnsi="Arial" w:cs="Arial"/>
          <w:color w:val="000000"/>
          <w:szCs w:val="22"/>
          <w:lang w:val="en-US" w:bidi="en-US"/>
        </w:rPr>
        <w:t xml:space="preserve">  We believe that maintaining a fleet that includes sister ships enhances the revenue generating potential of our fleet by providing us with operational and scheduling flexibility. The uniform nature of sister ships also improves our operating efficiency by allowing our fleet managers to apply the technical knowledge of one vessel to all vessels of the same series and create economies of scale that enable us to realize cost savings when maintaining, supplying and crewing our vessels.</w:t>
      </w:r>
    </w:p>
    <w:p w14:paraId="71F3E4AD" w14:textId="77777777" w:rsidR="00D778A5" w:rsidRPr="00F435A2" w:rsidRDefault="003A4815" w:rsidP="00806BDD">
      <w:pPr>
        <w:pStyle w:val="NormalWeb"/>
        <w:keepLines/>
        <w:numPr>
          <w:ilvl w:val="0"/>
          <w:numId w:val="15"/>
        </w:numPr>
        <w:pBdr>
          <w:top w:val="nil"/>
          <w:left w:val="nil"/>
          <w:bottom w:val="nil"/>
          <w:right w:val="nil"/>
          <w:between w:val="nil"/>
          <w:bar w:val="nil"/>
        </w:pBdr>
        <w:shd w:val="clear" w:color="auto" w:fill="FFFFFF"/>
        <w:spacing w:before="163"/>
        <w:jc w:val="both"/>
        <w:rPr>
          <w:rFonts w:ascii="Arial" w:eastAsia="Arial" w:hAnsi="Arial" w:cs="Arial"/>
          <w:i/>
          <w:color w:val="000000"/>
          <w:szCs w:val="22"/>
          <w:bdr w:val="nil"/>
          <w:lang w:val="en-US" w:bidi="en-US"/>
        </w:rPr>
      </w:pPr>
      <w:r w:rsidRPr="00F435A2">
        <w:rPr>
          <w:rFonts w:ascii="Arial" w:eastAsia="Arial" w:hAnsi="Arial" w:cs="Arial"/>
          <w:i/>
          <w:color w:val="000000"/>
          <w:szCs w:val="22"/>
          <w:lang w:val="en-US" w:bidi="en-US"/>
        </w:rPr>
        <w:t xml:space="preserve">We have an experienced management team.  </w:t>
      </w:r>
      <w:r w:rsidRPr="00F435A2">
        <w:rPr>
          <w:rFonts w:ascii="Arial" w:eastAsia="Arial" w:hAnsi="Arial" w:cs="Arial"/>
          <w:color w:val="000000"/>
          <w:szCs w:val="22"/>
          <w:lang w:val="en-US" w:bidi="en-US"/>
        </w:rPr>
        <w:t>Our management team consists of experienced executives who have, on average, more than 30 years of operating experience in the shipping industry and has demonstrated ability in managing the commercial, technical and financial areas of our business.</w:t>
      </w:r>
    </w:p>
    <w:p w14:paraId="71F3E4AE" w14:textId="77777777" w:rsidR="00CC47D8" w:rsidRPr="00F435A2" w:rsidRDefault="003A4815" w:rsidP="00806BDD">
      <w:pPr>
        <w:pStyle w:val="NormalWeb"/>
        <w:keepLines/>
        <w:numPr>
          <w:ilvl w:val="0"/>
          <w:numId w:val="15"/>
        </w:numPr>
        <w:pBdr>
          <w:top w:val="nil"/>
          <w:left w:val="nil"/>
          <w:bottom w:val="nil"/>
          <w:right w:val="nil"/>
          <w:between w:val="nil"/>
          <w:bar w:val="nil"/>
        </w:pBdr>
        <w:shd w:val="clear" w:color="auto" w:fill="FFFFFF"/>
        <w:spacing w:before="163"/>
        <w:jc w:val="both"/>
        <w:rPr>
          <w:rFonts w:ascii="Arial" w:eastAsia="Arial" w:hAnsi="Arial" w:cs="Arial"/>
          <w:color w:val="000000"/>
          <w:szCs w:val="22"/>
          <w:bdr w:val="nil"/>
          <w:lang w:val="en-US" w:bidi="en-US"/>
        </w:rPr>
      </w:pPr>
      <w:r w:rsidRPr="00F435A2">
        <w:rPr>
          <w:rFonts w:ascii="Arial" w:eastAsia="Arial" w:hAnsi="Arial" w:cs="Arial"/>
          <w:color w:val="000000"/>
          <w:szCs w:val="22"/>
          <w:lang w:val="en-US" w:bidi="en-US"/>
        </w:rPr>
        <w:t>We benefit from the experience and reputation of Diana Shipping Services S.A. and the relationship with Wilhelmsen Ship Management through the Diana Wilhelmsen Management Limited joint venture.</w:t>
      </w:r>
    </w:p>
    <w:p w14:paraId="71F3E4AF" w14:textId="77777777" w:rsidR="00D778A5" w:rsidRPr="00F435A2" w:rsidRDefault="003A4815" w:rsidP="00806BDD">
      <w:pPr>
        <w:pStyle w:val="NormalWeb"/>
        <w:numPr>
          <w:ilvl w:val="0"/>
          <w:numId w:val="15"/>
        </w:numPr>
        <w:pBdr>
          <w:top w:val="nil"/>
          <w:left w:val="nil"/>
          <w:bottom w:val="nil"/>
          <w:right w:val="nil"/>
          <w:between w:val="nil"/>
          <w:bar w:val="nil"/>
        </w:pBdr>
        <w:shd w:val="clear" w:color="auto" w:fill="FFFFFF"/>
        <w:spacing w:before="163"/>
        <w:jc w:val="both"/>
        <w:rPr>
          <w:rFonts w:ascii="Arial" w:eastAsia="Arial" w:hAnsi="Arial" w:cs="Arial"/>
          <w:color w:val="000000"/>
          <w:szCs w:val="22"/>
          <w:bdr w:val="nil"/>
          <w:lang w:val="en-US" w:bidi="en-US"/>
        </w:rPr>
      </w:pPr>
      <w:r w:rsidRPr="00F435A2">
        <w:rPr>
          <w:rFonts w:ascii="Arial" w:eastAsia="Arial" w:hAnsi="Arial" w:cs="Arial"/>
          <w:i/>
          <w:color w:val="000000"/>
          <w:szCs w:val="22"/>
          <w:lang w:val="en-US" w:bidi="en-US"/>
        </w:rPr>
        <w:t>We benefit from strong relationships with members of the shipping and financial industries.</w:t>
      </w:r>
      <w:r w:rsidRPr="00F435A2">
        <w:rPr>
          <w:rFonts w:ascii="Arial" w:eastAsia="Arial" w:hAnsi="Arial" w:cs="Arial"/>
          <w:color w:val="000000"/>
          <w:szCs w:val="22"/>
          <w:lang w:val="en-US" w:bidi="en-US"/>
        </w:rPr>
        <w:t xml:space="preserve">  We have developed strong relationships with major international charterers, shipbuilders and financial institutions that we believe are the result of the quality of our operations, the strength of our management team and our reputation for dependability.</w:t>
      </w:r>
    </w:p>
    <w:p w14:paraId="71F3E4B0" w14:textId="77777777" w:rsidR="00D778A5" w:rsidRPr="00F435A2" w:rsidRDefault="003A4815" w:rsidP="00806BDD">
      <w:pPr>
        <w:pStyle w:val="NormalWeb"/>
        <w:keepLines/>
        <w:numPr>
          <w:ilvl w:val="0"/>
          <w:numId w:val="15"/>
        </w:numPr>
        <w:pBdr>
          <w:top w:val="nil"/>
          <w:left w:val="nil"/>
          <w:bottom w:val="nil"/>
          <w:right w:val="nil"/>
          <w:between w:val="nil"/>
          <w:bar w:val="nil"/>
        </w:pBdr>
        <w:shd w:val="clear" w:color="auto" w:fill="FFFFFF"/>
        <w:spacing w:before="163"/>
        <w:jc w:val="both"/>
        <w:rPr>
          <w:rFonts w:ascii="Arial" w:eastAsia="Arial" w:hAnsi="Arial" w:cs="Arial"/>
          <w:color w:val="000000"/>
          <w:szCs w:val="22"/>
          <w:bdr w:val="nil"/>
          <w:lang w:val="en-US" w:bidi="en-US"/>
        </w:rPr>
      </w:pPr>
      <w:r w:rsidRPr="00F435A2">
        <w:rPr>
          <w:rFonts w:ascii="Arial" w:eastAsia="Arial" w:hAnsi="Arial" w:cs="Arial"/>
          <w:i/>
          <w:color w:val="000000"/>
          <w:szCs w:val="22"/>
          <w:lang w:val="en-US" w:bidi="en-US"/>
        </w:rPr>
        <w:t>We have a strong balance sheet and a relatively low level of indebtedness.</w:t>
      </w:r>
      <w:r w:rsidRPr="00F435A2">
        <w:rPr>
          <w:rFonts w:ascii="Arial" w:eastAsia="Arial" w:hAnsi="Arial" w:cs="Arial"/>
          <w:color w:val="000000"/>
          <w:szCs w:val="22"/>
          <w:lang w:val="en-US" w:bidi="en-US"/>
        </w:rPr>
        <w:t xml:space="preserve">  We believe that our strong balance sheet and relatively low level of indebtedness provide us with the flexibility to increase the amount of funds that we may draw under our loan facilities in connection with any future acquisitions or otherwise and enable us to use cash flow that would otherwise be dedicated to debt service for other purposes. </w:t>
      </w:r>
    </w:p>
    <w:p w14:paraId="71F3E4B1" w14:textId="77777777" w:rsidR="00EC52D7" w:rsidRPr="00F435A2" w:rsidRDefault="00EC52D7" w:rsidP="00314B69">
      <w:pPr>
        <w:pBdr>
          <w:top w:val="nil"/>
          <w:left w:val="nil"/>
          <w:bottom w:val="nil"/>
          <w:right w:val="nil"/>
          <w:between w:val="nil"/>
          <w:bar w:val="nil"/>
        </w:pBdr>
        <w:jc w:val="both"/>
        <w:rPr>
          <w:rFonts w:ascii="Arial" w:eastAsia="Arial" w:hAnsi="Arial" w:cs="Arial"/>
          <w:color w:val="000000"/>
          <w:bdr w:val="nil"/>
          <w:lang w:val="en-US"/>
        </w:rPr>
      </w:pPr>
    </w:p>
    <w:p w14:paraId="71F3E4B2" w14:textId="77777777" w:rsidR="00E519EB" w:rsidRPr="00F435A2" w:rsidRDefault="003A4815" w:rsidP="00314B69">
      <w:pPr>
        <w:pStyle w:val="Heading3"/>
        <w:keepLines/>
        <w:pBdr>
          <w:top w:val="nil"/>
          <w:left w:val="nil"/>
          <w:bottom w:val="nil"/>
          <w:right w:val="nil"/>
          <w:between w:val="nil"/>
          <w:bar w:val="nil"/>
        </w:pBdr>
        <w:rPr>
          <w:rFonts w:eastAsia="Arial" w:cs="Arial"/>
          <w:i w:val="0"/>
          <w:sz w:val="24"/>
          <w:szCs w:val="22"/>
          <w:bdr w:val="nil"/>
          <w:lang w:val="en-GB" w:bidi="en-US"/>
        </w:rPr>
      </w:pPr>
      <w:r w:rsidRPr="00F435A2">
        <w:rPr>
          <w:rFonts w:eastAsia="Arial" w:cs="Arial"/>
          <w:i w:val="0"/>
          <w:sz w:val="24"/>
          <w:szCs w:val="22"/>
          <w:lang w:val="en-GB" w:bidi="en-US"/>
        </w:rPr>
        <w:t>Permits and Authorizations</w:t>
      </w:r>
    </w:p>
    <w:p w14:paraId="71F3E4B3" w14:textId="77777777" w:rsidR="00E52011" w:rsidRPr="00F435A2" w:rsidRDefault="00E52011" w:rsidP="00314B69">
      <w:pPr>
        <w:keepNext/>
        <w:keepLines/>
        <w:pBdr>
          <w:top w:val="nil"/>
          <w:left w:val="nil"/>
          <w:bottom w:val="nil"/>
          <w:right w:val="nil"/>
          <w:between w:val="nil"/>
          <w:bar w:val="nil"/>
        </w:pBdr>
        <w:jc w:val="both"/>
        <w:rPr>
          <w:rFonts w:ascii="Arial" w:eastAsia="Arial" w:hAnsi="Arial" w:cs="Arial"/>
          <w:color w:val="000000"/>
          <w:bdr w:val="nil"/>
          <w:lang w:val="en-US"/>
        </w:rPr>
      </w:pPr>
    </w:p>
    <w:p w14:paraId="71F3E4B4" w14:textId="77777777" w:rsidR="00797819" w:rsidRPr="00F435A2" w:rsidRDefault="003A4815" w:rsidP="00314B69">
      <w:pPr>
        <w:pBdr>
          <w:top w:val="nil"/>
          <w:left w:val="nil"/>
          <w:bottom w:val="nil"/>
          <w:right w:val="nil"/>
          <w:between w:val="nil"/>
          <w:bar w:val="nil"/>
        </w:pBdr>
        <w:jc w:val="both"/>
        <w:rPr>
          <w:rFonts w:ascii="Arial" w:eastAsia="Arial" w:hAnsi="Arial" w:cs="Arial"/>
          <w:color w:val="000000"/>
          <w:bdr w:val="nil"/>
          <w:lang w:val="en-US"/>
        </w:rPr>
      </w:pPr>
      <w:r w:rsidRPr="00F435A2">
        <w:rPr>
          <w:rFonts w:ascii="Arial" w:eastAsia="Arial" w:hAnsi="Arial" w:cs="Arial"/>
          <w:color w:val="000000"/>
          <w:lang w:val="en-US" w:bidi="en-US"/>
        </w:rPr>
        <w:t>We are required by various governmental and quasi-governmental agencies to obtain certain permits, licenses and certificates with respect to our vessels. The kinds of permits, licenses and certificates required depend upon several factors, including the commodity transported, the waters in which the vessel operates</w:t>
      </w:r>
      <w:r w:rsidR="001D11EC">
        <w:rPr>
          <w:rFonts w:ascii="Arial" w:eastAsia="Arial" w:hAnsi="Arial" w:cs="Arial"/>
          <w:color w:val="000000"/>
          <w:lang w:val="en-US" w:bidi="en-US"/>
        </w:rPr>
        <w:t>,</w:t>
      </w:r>
      <w:r w:rsidRPr="00F435A2">
        <w:rPr>
          <w:rFonts w:ascii="Arial" w:eastAsia="Arial" w:hAnsi="Arial" w:cs="Arial"/>
          <w:color w:val="000000"/>
          <w:lang w:val="en-US" w:bidi="en-US"/>
        </w:rPr>
        <w:t xml:space="preserve"> the nationality of the vessel's crew and the age of a vessel. We have been able to obtain all permits, licenses and certificates currently required to permit our vessels to operate. Additional laws and regulations, environmental or otherwise, may be adopted which could limit our ability to do business or increase the cost of us doing business.</w:t>
      </w:r>
    </w:p>
    <w:p w14:paraId="71F3E4B5" w14:textId="77777777" w:rsidR="00EB0A07" w:rsidRPr="00F435A2" w:rsidRDefault="00EB0A07" w:rsidP="00314B69">
      <w:pPr>
        <w:pBdr>
          <w:top w:val="nil"/>
          <w:left w:val="nil"/>
          <w:bottom w:val="nil"/>
          <w:right w:val="nil"/>
          <w:between w:val="nil"/>
          <w:bar w:val="nil"/>
        </w:pBdr>
        <w:autoSpaceDE w:val="0"/>
        <w:autoSpaceDN w:val="0"/>
        <w:adjustRightInd w:val="0"/>
        <w:jc w:val="both"/>
        <w:rPr>
          <w:rFonts w:ascii="Arial" w:eastAsia="Arial" w:hAnsi="Arial" w:cs="Arial"/>
          <w:b/>
          <w:bCs/>
          <w:sz w:val="20"/>
          <w:szCs w:val="20"/>
          <w:bdr w:val="nil"/>
          <w:lang w:val="en-US"/>
        </w:rPr>
      </w:pPr>
    </w:p>
    <w:p w14:paraId="71F3E4B6" w14:textId="77777777" w:rsidR="00EB0A07" w:rsidRPr="00F435A2" w:rsidRDefault="003A4815" w:rsidP="00314B69">
      <w:pPr>
        <w:pStyle w:val="Heading3"/>
        <w:keepLines/>
        <w:pBdr>
          <w:top w:val="nil"/>
          <w:left w:val="nil"/>
          <w:bottom w:val="nil"/>
          <w:right w:val="nil"/>
          <w:between w:val="nil"/>
          <w:bar w:val="nil"/>
        </w:pBdr>
        <w:rPr>
          <w:rFonts w:eastAsia="Arial" w:cs="Arial"/>
          <w:i w:val="0"/>
          <w:sz w:val="24"/>
          <w:szCs w:val="22"/>
          <w:bdr w:val="nil"/>
          <w:lang w:val="en-GB" w:bidi="en-US"/>
        </w:rPr>
      </w:pPr>
      <w:r w:rsidRPr="00F435A2">
        <w:rPr>
          <w:rFonts w:eastAsia="Arial" w:cs="Arial"/>
          <w:i w:val="0"/>
          <w:sz w:val="24"/>
          <w:szCs w:val="22"/>
          <w:lang w:val="en-GB" w:bidi="en-US"/>
        </w:rPr>
        <w:t>Disclosure Pursuant to Section 219 of the Iran Threat Reduction and Syrian Human Rights Act</w:t>
      </w:r>
    </w:p>
    <w:p w14:paraId="71F3E4B7" w14:textId="77777777" w:rsidR="00EB0A07" w:rsidRPr="00F435A2" w:rsidRDefault="00EB0A07" w:rsidP="00314B69">
      <w:pPr>
        <w:keepNext/>
        <w:keepLines/>
        <w:pBdr>
          <w:top w:val="nil"/>
          <w:left w:val="nil"/>
          <w:bottom w:val="nil"/>
          <w:right w:val="nil"/>
          <w:between w:val="nil"/>
          <w:bar w:val="nil"/>
        </w:pBdr>
        <w:autoSpaceDE w:val="0"/>
        <w:autoSpaceDN w:val="0"/>
        <w:adjustRightInd w:val="0"/>
        <w:jc w:val="both"/>
        <w:rPr>
          <w:rFonts w:ascii="Arial" w:eastAsia="Arial" w:hAnsi="Arial" w:cs="Arial"/>
          <w:b/>
          <w:bCs/>
          <w:sz w:val="20"/>
          <w:szCs w:val="20"/>
          <w:bdr w:val="nil"/>
          <w:lang w:val="en-US"/>
        </w:rPr>
      </w:pPr>
    </w:p>
    <w:p w14:paraId="71F3E4B8" w14:textId="77777777" w:rsidR="00F50C67" w:rsidRPr="00F435A2" w:rsidRDefault="003A4815" w:rsidP="00314B69">
      <w:pPr>
        <w:pStyle w:val="Normal21"/>
        <w:pBdr>
          <w:top w:val="nil"/>
          <w:left w:val="nil"/>
          <w:bottom w:val="nil"/>
          <w:right w:val="nil"/>
          <w:between w:val="nil"/>
          <w:bar w:val="nil"/>
        </w:pBdr>
        <w:rPr>
          <w:rFonts w:ascii="Arial" w:eastAsia="Arial" w:hAnsi="Arial" w:cs="Arial"/>
          <w:color w:val="000000"/>
          <w:szCs w:val="22"/>
          <w:bdr w:val="nil"/>
        </w:rPr>
      </w:pPr>
      <w:r w:rsidRPr="00F435A2">
        <w:rPr>
          <w:rFonts w:ascii="Arial" w:eastAsia="Arial" w:hAnsi="Arial" w:cs="Arial"/>
          <w:color w:val="000000"/>
          <w:szCs w:val="22"/>
        </w:rPr>
        <w:t xml:space="preserve">Section 219 of the U.S. Iran Threat Reduction and Syria Human Rights Act of 2012, or the ITRA, added new Section 13(r) to the U.S. Securities Exchange Act of 1934, as amended, or the Exchange Act, requiring each SEC reporting issuer to disclose in its annual and, if applicable, quarterly reports whether it or any of its affiliates have knowingly engaged in certain activities, transactions or dealings relating to Iran or with the Government of Iran or certain designated natural persons or entities involved in terrorism or the proliferation of weapons of mass destruction during the period covered by the report. </w:t>
      </w:r>
    </w:p>
    <w:p w14:paraId="71F3E4B9" w14:textId="77777777" w:rsidR="00F50C67" w:rsidRPr="00F435A2" w:rsidRDefault="00F50C67" w:rsidP="00314B69">
      <w:pPr>
        <w:pStyle w:val="Normal21"/>
        <w:pBdr>
          <w:top w:val="nil"/>
          <w:left w:val="nil"/>
          <w:bottom w:val="nil"/>
          <w:right w:val="nil"/>
          <w:between w:val="nil"/>
          <w:bar w:val="nil"/>
        </w:pBdr>
        <w:rPr>
          <w:rFonts w:ascii="Arial" w:eastAsia="Arial" w:hAnsi="Arial" w:cs="Arial"/>
          <w:color w:val="000000"/>
          <w:szCs w:val="22"/>
          <w:bdr w:val="nil"/>
        </w:rPr>
      </w:pPr>
    </w:p>
    <w:p w14:paraId="71F3E4BA" w14:textId="77777777" w:rsidR="00E82E32" w:rsidRPr="00F435A2" w:rsidRDefault="003A4815" w:rsidP="00314B69">
      <w:pPr>
        <w:pStyle w:val="Normal210"/>
        <w:pBdr>
          <w:top w:val="nil"/>
          <w:left w:val="nil"/>
          <w:bottom w:val="nil"/>
          <w:right w:val="nil"/>
          <w:between w:val="nil"/>
          <w:bar w:val="nil"/>
        </w:pBdr>
        <w:rPr>
          <w:rFonts w:ascii="Arial" w:eastAsia="Arial" w:hAnsi="Arial" w:cs="Arial"/>
          <w:color w:val="000000"/>
          <w:szCs w:val="22"/>
          <w:bdr w:val="nil"/>
        </w:rPr>
      </w:pPr>
      <w:r w:rsidRPr="00F435A2">
        <w:rPr>
          <w:rFonts w:ascii="Arial" w:eastAsia="Arial" w:hAnsi="Arial" w:cs="Arial"/>
          <w:color w:val="000000"/>
          <w:szCs w:val="22"/>
        </w:rPr>
        <w:t xml:space="preserve">Pursuant to Section 13(r) of the Exchange Act, we note that none of our vessels made port calls to Iran in 2025 and to the date of this annual report. </w:t>
      </w:r>
    </w:p>
    <w:p w14:paraId="71F3E4BB"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4BC" w14:textId="77777777" w:rsidR="00E82FBC" w:rsidRPr="00305AAA" w:rsidRDefault="003A4815" w:rsidP="00305AAA">
      <w:pPr>
        <w:pStyle w:val="Heading3"/>
        <w:keepLines/>
        <w:pBdr>
          <w:top w:val="nil"/>
          <w:left w:val="nil"/>
          <w:bottom w:val="nil"/>
          <w:right w:val="nil"/>
          <w:between w:val="nil"/>
          <w:bar w:val="nil"/>
        </w:pBdr>
        <w:jc w:val="left"/>
        <w:rPr>
          <w:rFonts w:eastAsia="Arial"/>
          <w:bCs w:val="0"/>
          <w:i w:val="0"/>
          <w:sz w:val="24"/>
          <w:szCs w:val="24"/>
          <w:bdr w:val="nil"/>
          <w:lang w:val="en-US"/>
        </w:rPr>
      </w:pPr>
      <w:bookmarkStart w:id="117" w:name="RG_MARKER_23053"/>
      <w:r w:rsidRPr="00305AAA">
        <w:rPr>
          <w:rFonts w:eastAsia="Arial" w:cs="Arial"/>
          <w:bCs w:val="0"/>
          <w:i w:val="0"/>
          <w:sz w:val="24"/>
          <w:szCs w:val="24"/>
          <w:bdr w:val="none" w:sz="0" w:space="0" w:color="auto" w:frame="1"/>
          <w:lang w:val="en-US"/>
        </w:rPr>
        <w:t>Environmental and Other Regulations in the Shipping Industry</w:t>
      </w:r>
      <w:bookmarkEnd w:id="117"/>
    </w:p>
    <w:p w14:paraId="71F3E4BD" w14:textId="77777777" w:rsidR="00446FFC" w:rsidRPr="00305AAA" w:rsidRDefault="00446FFC" w:rsidP="00305AAA">
      <w:pPr>
        <w:keepNext/>
        <w:keepLines/>
        <w:pBdr>
          <w:top w:val="nil"/>
          <w:left w:val="nil"/>
          <w:bottom w:val="nil"/>
          <w:right w:val="nil"/>
          <w:between w:val="nil"/>
          <w:bar w:val="nil"/>
        </w:pBdr>
        <w:rPr>
          <w:rFonts w:ascii="Arial" w:eastAsia="Arial" w:hAnsi="Arial" w:cs="Arial"/>
          <w:bdr w:val="nil"/>
          <w:lang w:val="en-US"/>
        </w:rPr>
      </w:pPr>
    </w:p>
    <w:p w14:paraId="71F3E4BE"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Government regulation and laws significantly affect the ownership and operation of our fleet. We are subject to international conventions and treaties, national, state and local laws and regulations in force in the countries in which our vessels may operate or are registered relating to safety and health and environmental protection including the storage, handling, emission, transportation and discharge of hazardous and non-hazardous materials, and the remediation of contamination and liability for damage to natural resources. Compliance with such laws, regulations and other requirements entails significant expense, including vessel modifications and implementation of certain operating procedures.</w:t>
      </w:r>
    </w:p>
    <w:p w14:paraId="71F3E4BF"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C0"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A variety of government and private entities subject our vessels to both scheduled and unscheduled inspections. These entities include the local port authorities (applicable national authorities such as the United States Coast Guard (“USCG”), harbor master or equivalent), classification societies, flag state administrations (countries of registry) and charterers, particularly terminal operators. Certain of these entities require us to obtain permits, licenses, certificates and other authorizations for the operation of our vessels. Failure to maintain necessary permits or approvals could require us to incur substantial costs or result in the temporary suspension of the operation of one or more of our vessels.</w:t>
      </w:r>
    </w:p>
    <w:p w14:paraId="71F3E4C1"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C2"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Increasing environmental concerns have created a demand for vessels that conform to stricter environmental standards. We are required to maintain operating standards for all of our vessels that emphasize operational safety, quality maintenance, continuous training of our officers and crews and compliance with United States and international regulations. We believe that the operation of our vessels is in substantial compliance with applicable environmental laws and regulations and that our vessels have all material permits, licenses, certificates or other authorizations necessary for the conduct of our operations. However, because such laws and regulations frequently change and may impose increasingly stricter requirements, we cannot predict the ultimate cost of complying with these requirements, or the impact of these requirements on the resale value or useful lives of our vessels. In addition, a future serious marine incident that causes significant adverse environmental impact could result in additional legislation or regulation that could negatively affect our profitability.</w:t>
      </w:r>
    </w:p>
    <w:p w14:paraId="71F3E4C3"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C4"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International Maritime Organization</w:t>
      </w:r>
    </w:p>
    <w:p w14:paraId="71F3E4C5"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4C6"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 xml:space="preserve">The International Maritime Organization, the United Nations agency for maritime safety and the prevention of pollution by vessels (the “IMO”), has adopted the International Convention for the Prevention of Pollution from Ships, 1973, as modified by the Protocol of 1978 relating thereto, collectively referred to as MARPOL 73/78 and herein as “MARPOL,” the International Convention for the Safety of Life at Sea of 1974 (“SOLAS Convention”), and the International Convention on Load Lines of 1966 (the “LL Convention”). MARPOL establishes environmental standards relating to oil leakage or spilling, garbage management, sewage, air emissions, handling and disposal of noxious liquids and the handling of harmful substances in packaged forms. MARPOL is applicable to drybulk, tanker and LNG carriers, among other vessels, and is broken into six Annexes, each of which regulates a different source of pollution. Annex I </w:t>
      </w:r>
      <w:r w:rsidR="00713990">
        <w:rPr>
          <w:rFonts w:ascii="Arial" w:eastAsia="Arial" w:hAnsi="Arial" w:cs="Arial"/>
          <w:color w:val="000000"/>
          <w:szCs w:val="24"/>
          <w:lang w:val="en-US"/>
        </w:rPr>
        <w:t>relates to oil leakage or spilling</w:t>
      </w:r>
      <w:r w:rsidRPr="00305AAA">
        <w:rPr>
          <w:rFonts w:ascii="Arial" w:eastAsia="Arial" w:hAnsi="Arial" w:cs="Arial"/>
          <w:color w:val="000000"/>
          <w:bdr w:val="none" w:sz="0" w:space="0" w:color="auto" w:frame="1"/>
          <w:lang w:val="en-US"/>
        </w:rPr>
        <w:t>; Annexes II and III relate to harmful substances carried in bulk in liquid or in packaged form, respectively; Annexes IV and V relate to sewage and garbage management, respectively; and Annex VI, lastly, relates to air emissions. Annex VI was separately adopted by the IMO in September of 1997; new emissions standards, titled IMO-2020, took effect on January 1, 2020.</w:t>
      </w:r>
    </w:p>
    <w:p w14:paraId="71F3E4C7"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C8"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Air Emissions</w:t>
      </w:r>
    </w:p>
    <w:p w14:paraId="71F3E4C9"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4CA"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In September of 1997, the IMO adopted Annex VI to MARPOL to address air pollution from vessels. Effective May 2005, Annex VI sets limits on sulfur oxide and nitrogen oxide emissions from all commercial vessel exhausts and prohibits “deliberate emissions” of ozone depleting substances (such as halons and chlorofluorocarbons), emissions of volatile compounds from cargo tanks, and the shipboard incineration of specific substances. Annex VI also includes a global cap on the sulfur content of fuel oil and allows for special areas to be established with more stringent controls on sulfur emissions, as explained below.</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Emissions of “volatile organic compounds” from certain vessels, and the shipboard incineration (from incinerators installed after January 1, 2000) of certain substances (such as polychlorinated biphenyls, or “PCBs”) are also prohibited. We believe that all our vessels are currently compliant in all material respects with these regulations.</w:t>
      </w:r>
    </w:p>
    <w:p w14:paraId="71F3E4CB"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CC"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Marine Environment Protection Committee, or “MEPC”, adopted amendments to Annex VI regarding emissions of sulfur oxide, nitrogen oxide, particulate matter and ozone depleting substances, which entered into force on July 1, 2010.</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amended Annex VI seeks to further reduce air pollution by, among other things, implementing a progressive reduction of the amount of sulfur contained in any fuel oil used on board ships. On October 27, 2016, at its 70th session, the MEPC agreed to implement a global 0.5% m/m sulfur oxide emissions limit (reduced from 3.50%) starting from January 1, 2020.</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This limitation can be met by using low-sulfur compliant fuel oil, alternative fuels, or certain exhaust gas cleaning systems. Ships are now required to obtain bunker delivery notes and International Air Pollution Prevention (“IAPP”) Certificates from their flag states that specify sulfur content.</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Additionally, at MEPC 73, amendments to Annex VI to prohibit the carriage of bunkers above 0.5% sulfur on ships were adopted and took effect March 1, 2020, with the exception of vessels fitted with exhaust gas cleaning equipment (“scrubbers”) which can carry fuel of higher sulfur content.</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These regulations subject ocean-going vessels to stringent emissions controls and may cause us to incur substantial costs.</w:t>
      </w:r>
    </w:p>
    <w:p w14:paraId="71F3E4CD"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CE"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Sulfur content standards are even stricter within certain “Emission Control Areas,” or (“ECAs”). As of January 1, 2015, ships operating within an ECA were not permitted to use fuel with sulfur content in excess of 0.1% m/m. Currently, the IMO has designated five ECAs, including specified portions of the Baltic Sea area, Mediterranean Sea area, North Sea area, North American area and United States Caribbean area. Ocean-going vessels in these areas will be subject to stringent emission controls and may cause us to incur additional costs. Other areas in China are subject to local regulations that impose stricter emission controls. In July 2023, MEPC 80 announced three new ECA proposals, including the Canadian Arctic waters and the Norwegian Sea, which should take effect in March 2027.</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MEPC 83 also approved the Northeast Atlantic Ocean as an ECA and is expected to take effect in 2028. If other ECAs are approved by the IMO, or other new or more stringent requirements relating to emissions from marine diesel engines or port operations by vessels are adopted by the U.S. Environmental Protection Agency (“EPA”) or the states where we operate, compliance with these regulations could entail significant capital expenditures or otherwise increase the costs of our operations.</w:t>
      </w:r>
    </w:p>
    <w:p w14:paraId="71F3E4CF"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D0"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 xml:space="preserve">Amended Annex VI also established new tiers of stringent nitrogen oxide emissions standards for marine diesel engines, depending on their date of installation. Tier III NOx standards were designed for the control of NOx produced by vessels and apply to ships that operate in the North American and U.S. Caribbean Sea ECAs with a marine diesel engine installed and constructed on or after January 1, 2016. At MEPC 70 and MEPC 71, the MEPC approved the North Sea and Baltic Sea as ECAs for nitrogen oxide for ships built on or after January 1, 2021. </w:t>
      </w:r>
      <w:bookmarkStart w:id="118" w:name="_cp_change_120"/>
      <w:r w:rsidRPr="0095309A">
        <w:rPr>
          <w:rFonts w:ascii="Arial" w:eastAsia="Arial" w:hAnsi="Arial" w:cs="Arial"/>
          <w:color w:val="000000"/>
          <w:bdr w:val="none" w:sz="0" w:space="0" w:color="auto" w:frame="1"/>
          <w:lang w:val="en-US"/>
        </w:rPr>
        <w:t>T</w:t>
      </w:r>
      <w:bookmarkEnd w:id="118"/>
      <w:r w:rsidRPr="0095309A">
        <w:rPr>
          <w:rFonts w:ascii="Arial" w:eastAsia="Arial" w:hAnsi="Arial" w:cs="Arial"/>
          <w:color w:val="000000"/>
          <w:bdr w:val="none" w:sz="0" w:space="0" w:color="auto" w:frame="1"/>
          <w:lang w:val="en-US"/>
        </w:rPr>
        <w:t>he Canadian-Arctic ECA for NOx will also be effective starting from March 1, 2026 for ships built on or after January 1, 2025. For the Norwegian Sea ECA, the NOx Tier III engine certification requirement will apply to ships (i) with building contracts placed on or after March 1, 2026, (ii) in the absence of a building contract, constructed on or after September 1, 2026, or (iii) delivered on or after March 1, 2030. For the North-East Atlantic ECA, the requirement is expected to apply to ships (i) contracted on or after January 1, 2027, (ii) in the absence of a building contract, constructed on or after July 1, 2027, or (iii) delivered on or after January 1, 2031. The EPA promulgated equivalent (and in some senses stricter) emissions standards in 2010. Tier III requirements could apply to additional areas designated for Tier III NOx in the future.</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In April 2025, MEPC 83 also adopted amendments (expected to enter into force late 2026 and early 2027) to the NOx Technical Code 2008, which allows ships to optimize fuel consumption based on their operational profile, thus improving energy efficiency, while ensuring compliance with NOx emission requirements. As a result of these designations or similar future designations, we may be required to incur additional operating or other costs.</w:t>
      </w:r>
    </w:p>
    <w:p w14:paraId="71F3E4D1"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D2"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At the MEPC 70, Regulation 22A of MARPOL Annex VI became effective as of March 1, 2018 and requires ships above 5,000 gross tonnage to collect and report annual data on fuel oil consumption to an IMO database, with the first year of data collection having commenced on January 1, 2019.</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The IMO used such data as part of its initial roadmap (through 2023) for developing its strategy to reduce greenhouse gas emissions from ships, as discussed further below. MEPC 83 approved draft amendments to make the IMO’s data collection system more accessible to the public through an anonymized database.</w:t>
      </w:r>
    </w:p>
    <w:p w14:paraId="71F3E4D3"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D4"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As of January 1, 2013, MARPOL made mandatory certain measures relating to energy efficiency for ships. All ships are now required to develop and implement a Ship Energy Efficiency Management Plans (“SEEMPs”), and new ships must be designed in compliance with minimum energy efficiency levels per capacity mile as defined by the Energy Efficiency Design Index (“EEDI”).</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Additionally, MEPC 75 adopted amendments to MARPOL Annex VI which brought forward the effective date of the EEDI’s “phase 3” requirements from April 1, 2022 to January 1, 2025 for several ship types, including gas carriers, general cargo ships, and LNG carriers.</w:t>
      </w:r>
    </w:p>
    <w:p w14:paraId="71F3E4D5"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D6" w14:textId="77777777" w:rsidR="0095309A" w:rsidRDefault="003A4815" w:rsidP="003D1224">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 xml:space="preserve">Additionally, </w:t>
      </w:r>
      <w:r w:rsidR="00C30168">
        <w:rPr>
          <w:rFonts w:ascii="Arial" w:eastAsia="Arial" w:hAnsi="Arial" w:cs="Arial"/>
          <w:color w:val="000000"/>
          <w:bdr w:val="none" w:sz="0" w:space="0" w:color="auto" w:frame="1"/>
          <w:lang w:val="en-US"/>
        </w:rPr>
        <w:t xml:space="preserve">in 2022, </w:t>
      </w:r>
      <w:r w:rsidRPr="00305AAA">
        <w:rPr>
          <w:rFonts w:ascii="Arial" w:eastAsia="Arial" w:hAnsi="Arial" w:cs="Arial"/>
          <w:color w:val="000000"/>
          <w:bdr w:val="none" w:sz="0" w:space="0" w:color="auto" w:frame="1"/>
          <w:lang w:val="en-US"/>
        </w:rPr>
        <w:t xml:space="preserve">MEPC 75 </w:t>
      </w:r>
      <w:r w:rsidR="00C30168">
        <w:rPr>
          <w:rFonts w:ascii="Arial" w:eastAsia="Arial" w:hAnsi="Arial" w:cs="Arial"/>
          <w:color w:val="000000"/>
          <w:bdr w:val="none" w:sz="0" w:space="0" w:color="auto" w:frame="1"/>
          <w:lang w:val="en-US"/>
        </w:rPr>
        <w:t>amended</w:t>
      </w:r>
      <w:r w:rsidRPr="00305AAA">
        <w:rPr>
          <w:rFonts w:ascii="Arial" w:eastAsia="Arial" w:hAnsi="Arial" w:cs="Arial"/>
          <w:color w:val="000000"/>
          <w:bdr w:val="none" w:sz="0" w:space="0" w:color="auto" w:frame="1"/>
          <w:lang w:val="en-US"/>
        </w:rPr>
        <w:t xml:space="preserve"> to Annex VI </w:t>
      </w:r>
      <w:r w:rsidR="00C30168">
        <w:rPr>
          <w:rFonts w:ascii="Arial" w:eastAsia="Arial" w:hAnsi="Arial" w:cs="Arial"/>
          <w:color w:val="000000"/>
          <w:bdr w:val="none" w:sz="0" w:space="0" w:color="auto" w:frame="1"/>
          <w:lang w:val="en-US"/>
        </w:rPr>
        <w:t>to</w:t>
      </w:r>
      <w:r w:rsidRPr="00305AAA">
        <w:rPr>
          <w:rFonts w:ascii="Arial" w:eastAsia="Arial" w:hAnsi="Arial" w:cs="Arial"/>
          <w:color w:val="000000"/>
          <w:bdr w:val="none" w:sz="0" w:space="0" w:color="auto" w:frame="1"/>
          <w:lang w:val="en-US"/>
        </w:rPr>
        <w:t xml:space="preserve"> impose new regulations to reduce greenhouse gas emissions from ships.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These amendments introduce requirements to assess and measure the energy efficiency of all ships and set the required attainment values, with the goal of reducing the carbon intensity of international shipping. The requirements include (1) a technical requirement to reduce carbon intensity based on a new Energy Efficiency Existing Ship Index (“EEXI”), and (2) operational carbon intensity reduction requirements, based on a new operational carbon intensity indicator (“CII”).</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attained EEXI is required to be calculated for ships of 400 gross tonnage and above, in accordance with different values set for ship types and categories.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With respect to the CII, the draft amendments would require ships of 5,000 gross tonnage to document and verify their actual annual operational CII achieved against a determined required annual operational CII.</w:t>
      </w:r>
      <w:r w:rsidR="003C0625">
        <w:rPr>
          <w:rFonts w:ascii="Arial" w:eastAsia="Arial" w:hAnsi="Arial" w:cs="Arial"/>
          <w:color w:val="000000"/>
          <w:bdr w:val="none" w:sz="0" w:space="0" w:color="auto" w:frame="1"/>
          <w:lang w:val="en-US"/>
        </w:rPr>
        <w:t xml:space="preserve"> </w:t>
      </w:r>
      <w:r w:rsidR="00C30168">
        <w:rPr>
          <w:rFonts w:ascii="Arial" w:eastAsia="Arial" w:hAnsi="Arial" w:cs="Arial"/>
          <w:color w:val="000000"/>
          <w:bdr w:val="none" w:sz="0" w:space="0" w:color="auto" w:frame="1"/>
          <w:lang w:val="en-US"/>
        </w:rPr>
        <w:t>A</w:t>
      </w:r>
      <w:r w:rsidRPr="00305AAA">
        <w:rPr>
          <w:rFonts w:ascii="Arial" w:eastAsia="Arial" w:hAnsi="Arial" w:cs="Arial"/>
          <w:color w:val="000000"/>
          <w:bdr w:val="none" w:sz="0" w:space="0" w:color="auto" w:frame="1"/>
          <w:lang w:val="en-US"/>
        </w:rPr>
        <w:t>ll ships above 400 gross tonnage must</w:t>
      </w:r>
      <w:r w:rsidR="00C30168">
        <w:rPr>
          <w:rFonts w:ascii="Arial" w:eastAsia="Arial" w:hAnsi="Arial" w:cs="Arial"/>
          <w:color w:val="000000"/>
          <w:bdr w:val="none" w:sz="0" w:space="0" w:color="auto" w:frame="1"/>
          <w:lang w:val="en-US"/>
        </w:rPr>
        <w:t xml:space="preserve"> also</w:t>
      </w:r>
      <w:r w:rsidRPr="00305AAA">
        <w:rPr>
          <w:rFonts w:ascii="Arial" w:eastAsia="Arial" w:hAnsi="Arial" w:cs="Arial"/>
          <w:color w:val="000000"/>
          <w:bdr w:val="none" w:sz="0" w:space="0" w:color="auto" w:frame="1"/>
          <w:lang w:val="en-US"/>
        </w:rPr>
        <w:t xml:space="preserve"> have an approved SEEMP on board.</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For ships above 5,000 gross tonnage, the SEEMP need</w:t>
      </w:r>
      <w:r w:rsidR="00C30168">
        <w:rPr>
          <w:rFonts w:ascii="Arial" w:eastAsia="Arial" w:hAnsi="Arial" w:cs="Arial"/>
          <w:color w:val="000000"/>
          <w:bdr w:val="none" w:sz="0" w:space="0" w:color="auto" w:frame="1"/>
          <w:lang w:val="en-US"/>
        </w:rPr>
        <w:t>s</w:t>
      </w:r>
      <w:r w:rsidRPr="00305AAA">
        <w:rPr>
          <w:rFonts w:ascii="Arial" w:eastAsia="Arial" w:hAnsi="Arial" w:cs="Arial"/>
          <w:color w:val="000000"/>
          <w:bdr w:val="none" w:sz="0" w:space="0" w:color="auto" w:frame="1"/>
          <w:lang w:val="en-US"/>
        </w:rPr>
        <w:t xml:space="preserve"> to include certain mandatory content.</w:t>
      </w:r>
      <w:r w:rsidR="003C0625">
        <w:rPr>
          <w:rFonts w:ascii="Arial" w:eastAsia="Arial" w:hAnsi="Arial" w:cs="Arial"/>
          <w:color w:val="000000"/>
          <w:bdr w:val="none" w:sz="0" w:space="0" w:color="auto" w:frame="1"/>
          <w:lang w:val="en-US"/>
        </w:rPr>
        <w:t xml:space="preserve"> </w:t>
      </w:r>
      <w:r w:rsidR="00C30168" w:rsidRPr="00C30168">
        <w:rPr>
          <w:rFonts w:ascii="Arial" w:eastAsia="Arial" w:hAnsi="Arial" w:cs="Arial"/>
          <w:color w:val="000000"/>
          <w:bdr w:val="none" w:sz="0" w:space="0" w:color="auto" w:frame="1"/>
          <w:lang w:val="en-US"/>
        </w:rPr>
        <w:t>That same year, MEPC amended</w:t>
      </w:r>
      <w:r w:rsidRPr="00305AAA">
        <w:rPr>
          <w:rFonts w:ascii="Arial" w:eastAsia="Arial" w:hAnsi="Arial" w:cs="Arial"/>
          <w:color w:val="000000"/>
          <w:bdr w:val="none" w:sz="0" w:space="0" w:color="auto" w:frame="1"/>
          <w:lang w:val="en-US"/>
        </w:rPr>
        <w:t xml:space="preserve"> MARPOL Annex I to prohibit the use and carriage for use as fuel of heavy fuel oil (“HFO”) by ships in Arctic waters on and after July 1, 2024. </w:t>
      </w:r>
    </w:p>
    <w:p w14:paraId="71F3E4D7" w14:textId="77777777" w:rsidR="0095309A" w:rsidRDefault="0095309A" w:rsidP="003D1224">
      <w:pPr>
        <w:pBdr>
          <w:top w:val="nil"/>
          <w:left w:val="nil"/>
          <w:bottom w:val="nil"/>
          <w:right w:val="nil"/>
          <w:between w:val="nil"/>
          <w:bar w:val="nil"/>
        </w:pBdr>
        <w:jc w:val="both"/>
        <w:rPr>
          <w:rFonts w:ascii="Arial" w:eastAsia="Arial" w:hAnsi="Arial" w:cs="Arial"/>
          <w:color w:val="000000"/>
          <w:bdr w:val="nil"/>
          <w:lang w:val="en-US"/>
        </w:rPr>
      </w:pPr>
    </w:p>
    <w:p w14:paraId="71F3E4D8"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 xml:space="preserve">In July 2021, MEPC 77 adopted a non-binding resolution which urges Member States and ship operators to voluntarily use distillate or other cleaner alternative fuels or methods of propulsion that are safe for ships and could contribute to the reduction of Black Carbon emissions from ships when operating in or near the Arctic. MEPC 79 adopted amendments to MARPOL Annex VI, Appendix IX to include the attained and required CII values, the CII rating and attained EEXI for existing ships in the required information to be submitted to the IMO Ship Fuel Oil Consumption Database. MEPC 79 also revised the EEDI calculation guidelines to include a CO2 conversion factor for ethane, a reference to the updated ITCC guidelines, and a clarification that in case of a ship with multiple load line certificates, the maximum certified summer draft should be used when determining the deadweight. These amendments entered into force on May 1, 2024. In July 2023, MEPC 80 approved the plan for reviewing CII regulations and guidelines, </w:t>
      </w:r>
      <w:bookmarkStart w:id="119" w:name="_cp_change_149"/>
      <w:r w:rsidRPr="0095309A">
        <w:rPr>
          <w:rFonts w:ascii="Arial" w:eastAsia="Arial" w:hAnsi="Arial" w:cs="Arial"/>
          <w:color w:val="000000"/>
          <w:bdr w:val="none" w:sz="0" w:space="0" w:color="auto" w:frame="1"/>
          <w:lang w:val="en-US"/>
        </w:rPr>
        <w:t>a</w:t>
      </w:r>
      <w:bookmarkEnd w:id="119"/>
      <w:r w:rsidRPr="0095309A">
        <w:rPr>
          <w:rFonts w:ascii="Arial" w:eastAsia="Arial" w:hAnsi="Arial" w:cs="Arial"/>
          <w:color w:val="000000"/>
          <w:bdr w:val="none" w:sz="0" w:space="0" w:color="auto" w:frame="1"/>
          <w:lang w:val="en-US"/>
        </w:rPr>
        <w:t>nd in April 2025, MEPC 83 adopted amendments to 2021 Guidelines on operational carbon intensity reduction factors, which outline methods for determining CII reduction factors from 2023 and now includes newly defined factors from 2027 to 2030.</w:t>
      </w:r>
    </w:p>
    <w:p w14:paraId="71F3E4D9" w14:textId="77777777" w:rsidR="00713990" w:rsidRDefault="00713990" w:rsidP="00305AAA">
      <w:pPr>
        <w:pBdr>
          <w:top w:val="nil"/>
          <w:left w:val="nil"/>
          <w:bottom w:val="nil"/>
          <w:right w:val="nil"/>
          <w:between w:val="nil"/>
          <w:bar w:val="nil"/>
        </w:pBdr>
        <w:jc w:val="both"/>
        <w:rPr>
          <w:rFonts w:ascii="Arial" w:eastAsia="Arial" w:hAnsi="Arial" w:cs="Arial"/>
          <w:bdr w:val="nil"/>
          <w:lang w:val="en-US"/>
        </w:rPr>
      </w:pPr>
    </w:p>
    <w:p w14:paraId="71F3E4DA"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We may incur costs to comply with these revised standards. Additional or new conventions, laws and regulations may be adopted that could require the installation of expensive emission control systems and could adversely affect our business, results of operations, cash flows and financial condition.</w:t>
      </w:r>
    </w:p>
    <w:p w14:paraId="71F3E4DB"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DC"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Safety Management System Requirements</w:t>
      </w:r>
    </w:p>
    <w:p w14:paraId="71F3E4DD"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4DE" w14:textId="77777777" w:rsidR="009C0A0E"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SOLAS Convention was amended to address the safe manning of vessels and emergency training drills.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Convention of Limitation of Liability for Maritime Claims (the “LLMC”) sets limitations of liability for a loss of life or personal injury claim or a property claim against ship owners. The ISM Certification provides validation that both company and ships are operating using a process-based system approach to manage risks and achieve continual improvement. The ISM code is meant to be a preventive tool and asks companies to assess all risks and then take measured to safeguard against them. Responsibilities and authorities are set out for the various entities includes in the ISM process.</w:t>
      </w:r>
      <w:r>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All of our vessels as well as our shore-based operations are fully certified under the ISM Code.</w:t>
      </w:r>
    </w:p>
    <w:p w14:paraId="71F3E4DF"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E0"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Under Chapter IX of the SOLAS Convention, or the International Safety Management Code for the Safe Operation of Ships and for Pollution Prevention (the “ISM Code”), our operations are also subject to environmental standards and requirements. The ISM Code requires the party with operational control of a vessel to develop an extensive safety management system that includes, among other things, the adoption of a safety and environmental protection policy setting forth instructions and procedures for operating its vessels safely and describing procedures for responding to emergencies. Through strong leadership and a disciplined, clearly documented management system, the Company promotes the concept of HSSE (Health, Safety, Security and Environmental) excellence at all levels in the organisation. This concept is achieved by consistent measurement and feedback of the Company’s Management System in order to generate continuous and sustainable improvement in Health, Safety, Security, and Quality and Environmental (including Energy Efficiency) (HSSQE) management processes. The failure of a vessel owner or bareboat charterer to comply with the ISM Code may subject such party to increased liability, may decrease available insurance coverage for the affected vessels and may result in a denial of access to, or detention in, certain ports.</w:t>
      </w:r>
    </w:p>
    <w:p w14:paraId="71F3E4E1"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2"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ISM Code requires that vessel operators obtain a safety management certificate for each vessel they operate. This certificate evidences compliance by a vessel’s management with the ISM Code requirements for a safety management system. No vessel can obtain a safety management certificate unless its manager has been awarded a document of compliance, issued by each flag state, under the ISM Code. We have obtained applicable documents of compliance for our offices and safety management certificates for all of our vessels for which the certificates are required by the IMO. The documents of compliance and safety management certificate are renewed as required.</w:t>
      </w:r>
    </w:p>
    <w:p w14:paraId="71F3E4E3"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4"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Regulation II-1/3-10 of the SOLAS Convention governs ship construction and stipulates that ships over 150 meters in length must have adequate strength, integrity and stability to minimize risk of loss or pollution. Goal-based standards amendments in SOLAS regulation II-1/3-10 entered into force in 2012, with July 1, 2016 set for application to new oil tankers and bulk carriers.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SOLAS Convention regulation II-1/3-10 on goal-based ship construction standards for bulk carriers and oil tankers, which entered into force on January 1, 2012, requires that all oil tankers and bulk carriers of 150 meters in length and above, for which the building contract is placed on or after July 1, 2016, satisfy applicable structural requirements conforming to the functional requirements of the International Goal-based Ship Construction Standards for Bulk Carriers and Oil Tankers (“GBS Standards”).</w:t>
      </w:r>
    </w:p>
    <w:p w14:paraId="71F3E4E5"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6" w14:textId="77777777" w:rsidR="00E82FBC" w:rsidRDefault="003A4815" w:rsidP="000F7A1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 xml:space="preserve">Amendments to the SOLAS Convention Chapter VII apply to vessels transporting dangerous goods and require those vessels be in compliance with the International Maritime Dangerous Goods Code (“IMDG Code”). Effective January 1, 2018, the IMDG Code includes (1) updates to the provisions for radioactive material, reflecting the latest provisions from the International Atomic Energy Agency, (2) new marking, packing and classification requirements for dangerous goods, and (3) new mandatory training requirements. Amendments which took effect on January 1, 2020 also reflect the latest material from the UN Recommendations on the Transport of Dangerous Goods, including (1) new provisions regarding IMO type 9 tank, (2) new abbreviations for segregation groups, and (3) special provisions for carriage of lithium batteries and of vehicles powered by flammable liquid or gas. </w:t>
      </w:r>
      <w:r w:rsidRPr="00305AAA">
        <w:rPr>
          <w:rFonts w:ascii="Arial" w:eastAsia="Arial" w:hAnsi="Arial" w:cs="Arial"/>
          <w:bdr w:val="none" w:sz="0" w:space="0" w:color="auto" w:frame="1"/>
          <w:lang w:val="en-US"/>
        </w:rPr>
        <w:t>Additional amendments came into force on June 1, 2022, include (1) addition of a definition of dosage rate, (2) additions to the list of high consequence dangerous goods, (3) new provisions for medical/clinical waste, (4) addition of various ISO standards for gas cylinders, (5) a new handling code, and (6) changes to stowage and segregation provisions.</w:t>
      </w:r>
      <w:r w:rsidR="000F7A1A">
        <w:rPr>
          <w:rFonts w:ascii="Arial" w:eastAsia="Arial" w:hAnsi="Arial" w:cs="Arial"/>
          <w:bdr w:val="none" w:sz="0" w:space="0" w:color="auto" w:frame="1"/>
          <w:lang w:val="en-US"/>
        </w:rPr>
        <w:t xml:space="preserve"> </w:t>
      </w:r>
      <w:r w:rsidR="000F7A1A" w:rsidRPr="000F7A1A">
        <w:rPr>
          <w:rFonts w:ascii="Arial" w:eastAsia="Arial" w:hAnsi="Arial" w:cs="Arial"/>
          <w:bdr w:val="none" w:sz="0" w:space="0" w:color="auto" w:frame="1"/>
          <w:lang w:val="en-US"/>
        </w:rPr>
        <w:t>The newest edition of the IMDG Code took effect on January 1, 2024, although</w:t>
      </w:r>
      <w:r w:rsidR="000F7A1A">
        <w:rPr>
          <w:rFonts w:ascii="Arial" w:eastAsia="Arial" w:hAnsi="Arial" w:cs="Arial"/>
          <w:bdr w:val="none" w:sz="0" w:space="0" w:color="auto" w:frame="1"/>
          <w:lang w:val="en-US"/>
        </w:rPr>
        <w:t xml:space="preserve"> </w:t>
      </w:r>
      <w:r w:rsidR="000F7A1A" w:rsidRPr="000F7A1A">
        <w:rPr>
          <w:rFonts w:ascii="Arial" w:eastAsia="Arial" w:hAnsi="Arial" w:cs="Arial"/>
          <w:bdr w:val="none" w:sz="0" w:space="0" w:color="auto" w:frame="1"/>
          <w:lang w:val="en-US"/>
        </w:rPr>
        <w:t>the changes</w:t>
      </w:r>
      <w:r w:rsidR="000F7A1A">
        <w:rPr>
          <w:rFonts w:ascii="Arial" w:eastAsia="Arial" w:hAnsi="Arial" w:cs="Arial"/>
          <w:bdr w:val="none" w:sz="0" w:space="0" w:color="auto" w:frame="1"/>
          <w:lang w:val="en-US"/>
        </w:rPr>
        <w:t xml:space="preserve"> </w:t>
      </w:r>
      <w:r w:rsidR="000F7A1A" w:rsidRPr="000F7A1A">
        <w:rPr>
          <w:rFonts w:ascii="Arial" w:eastAsia="Arial" w:hAnsi="Arial" w:cs="Arial"/>
          <w:bdr w:val="none" w:sz="0" w:space="0" w:color="auto" w:frame="1"/>
          <w:lang w:val="en-US"/>
        </w:rPr>
        <w:t>are largely incremental.</w:t>
      </w:r>
    </w:p>
    <w:p w14:paraId="71F3E4E7"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8"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IMO has also adopted the International Convention on Standards of Training, Certification and Watchkeeping for Seafarers (“STCW”).</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As of February 2017, all seafarers are required to meet the STCW standards and be in possession of a valid STCW certificate.</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Flag states that have ratified SOLAS and STCW generally employ the classification societies, which have incorporated SOLAS and STCW requirements into their class rules, to undertake surveys to confirm compliance.</w:t>
      </w:r>
    </w:p>
    <w:p w14:paraId="71F3E4E9"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A"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IMO's Maritime Safety Committee and MEPC, respectively, each adopted relevant parts of the International Code for Ships Operating in Polar Water (the “Polar Code”). The Polar Code, which entered into force on January 1, 2017, covers design, construction, equipment, operational, training, search and rescue as well as environmental protection matters relevant to ships operating in the waters surrounding the two poles. It also includes mandatory measures regarding safety and pollution prevention as well as recommendatory provisions. The Polar Code applies to new ships constructed after January 1, 2017, and after January 1, 2018, ships constructed before January 1, 2017 are required to meet the relevant requirements by the earlier of their first intermediate or renewal survey.</w:t>
      </w:r>
    </w:p>
    <w:p w14:paraId="71F3E4EB"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EC"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Furthermore, cybersecurity guidance and regulations have been developed in an attempt to combat cybersecurity threats. For new ships and offshore installations contracted for construction on or after January 1, 2024, the International Association of Classification Societies (“IACS”) now requires vessel owners, yard and suppliers to build cybersecurity barriers into their systems and vessels, requiring compliance across the full spectrum of critical on-board control and navigation systems.</w:t>
      </w:r>
      <w:r w:rsidR="009B4C66">
        <w:rPr>
          <w:rFonts w:ascii="Arial" w:eastAsia="Arial" w:hAnsi="Arial" w:cs="Arial"/>
          <w:color w:val="000000"/>
          <w:bdr w:val="none" w:sz="0" w:space="0" w:color="auto" w:frame="1"/>
          <w:lang w:val="en-US"/>
        </w:rPr>
        <w:t xml:space="preserve"> </w:t>
      </w:r>
      <w:r w:rsidR="009B4C66" w:rsidRPr="009B4C66">
        <w:rPr>
          <w:rFonts w:ascii="Arial" w:eastAsia="Arial" w:hAnsi="Arial" w:cs="Arial"/>
          <w:color w:val="000000"/>
          <w:bdr w:val="none" w:sz="0" w:space="0" w:color="auto" w:frame="1"/>
          <w:lang w:val="en-US"/>
        </w:rPr>
        <w:t>In addition to these requirements, the Company is actively addressing the European Union's Network and Information Security (NIS2) Directive. During 2025, we completed a comprehensive NIS2 Gap Analysis and have initiated remediation of findings to ensure compliance with these enhanced cybersecurity obligations.</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On July 16, 2025, the U.S. Coast Guard’s final rule, Cybersecurity in the Martine Transportation System, went into effect. Under this rule, all regulated entities are required to develop Cybersecurity and Cyber Incident Response Plans, designate a Cybersecurity Officer to implement plans, and to report certain cyber incidents to the National Response Center. This might cause companies to create additional procedures for monitoring cybersecurity, which could require additional expenses and/or capital expenditures.</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The impact of future regulations is hard to predict at this time.</w:t>
      </w:r>
    </w:p>
    <w:p w14:paraId="71F3E4ED" w14:textId="77777777" w:rsid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EE" w14:textId="77777777" w:rsidR="00713990" w:rsidRDefault="003A4815" w:rsidP="00305AAA">
      <w:pPr>
        <w:pBdr>
          <w:top w:val="nil"/>
          <w:left w:val="nil"/>
          <w:bottom w:val="nil"/>
          <w:right w:val="nil"/>
          <w:between w:val="nil"/>
          <w:bar w:val="nil"/>
        </w:pBdr>
        <w:jc w:val="both"/>
        <w:rPr>
          <w:rFonts w:ascii="Arial" w:eastAsia="Arial" w:hAnsi="Arial" w:cs="Arial"/>
          <w:color w:val="000000"/>
          <w:bdr w:val="nil"/>
          <w:lang w:val="en-US"/>
        </w:rPr>
      </w:pPr>
      <w:r>
        <w:rPr>
          <w:rFonts w:ascii="Arial" w:eastAsia="Arial" w:hAnsi="Arial" w:cs="Arial"/>
          <w:color w:val="000000"/>
          <w:szCs w:val="24"/>
          <w:lang w:val="en-US"/>
        </w:rPr>
        <w:t>In June 2022, SOLAS also set out new amendments that took effect on January 1, 2024, which include new requirements for: (1) the design for safe mooring operations, (2) the Global Maritime Distress and Safety System (“GMDSS”), (3) watertight integrity, (4) watertight doors on cargo ships, (5) fault-isolation of fire detection systems, (6) life-saving appliances, and (7) safety of ships using LNG as fuel.</w:t>
      </w:r>
      <w:r w:rsidR="003C0625">
        <w:rPr>
          <w:rFonts w:ascii="Arial" w:eastAsia="Arial" w:hAnsi="Arial" w:cs="Arial"/>
          <w:color w:val="000000"/>
          <w:szCs w:val="24"/>
          <w:lang w:val="en-US"/>
        </w:rPr>
        <w:t xml:space="preserve"> </w:t>
      </w:r>
      <w:r>
        <w:rPr>
          <w:rFonts w:ascii="Arial" w:eastAsia="Arial" w:hAnsi="Arial" w:cs="Arial"/>
          <w:color w:val="000000"/>
          <w:szCs w:val="24"/>
          <w:lang w:val="en-US"/>
        </w:rPr>
        <w:t>These new requirements may impact the cost of our operations.</w:t>
      </w:r>
    </w:p>
    <w:p w14:paraId="71F3E4EF" w14:textId="77777777" w:rsidR="00713990" w:rsidRPr="00305AAA" w:rsidRDefault="00713990" w:rsidP="00305AAA">
      <w:pPr>
        <w:pBdr>
          <w:top w:val="nil"/>
          <w:left w:val="nil"/>
          <w:bottom w:val="nil"/>
          <w:right w:val="nil"/>
          <w:between w:val="nil"/>
          <w:bar w:val="nil"/>
        </w:pBdr>
        <w:jc w:val="both"/>
        <w:rPr>
          <w:rFonts w:ascii="Arial" w:eastAsia="Arial" w:hAnsi="Arial" w:cs="Arial"/>
          <w:color w:val="000000"/>
          <w:bdr w:val="nil"/>
          <w:lang w:val="en-US"/>
        </w:rPr>
      </w:pPr>
    </w:p>
    <w:p w14:paraId="71F3E4F0"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Pollution Control and Liability Requirements</w:t>
      </w:r>
    </w:p>
    <w:p w14:paraId="71F3E4F1"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4F2"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IMO has negotiated international conventions that impose liability for pollution in international waters and the territorial waters of the signatories to such conventions. For example, the IMO adopted an International Convention for the Control and Management of Ships’ Ballast Water and Sediments, (the “BWM Convention”), in 2004. The BWM Convention entered into force on September 8, 2017.</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BWM Convention requires ships to manage their ballast water to remove, render harmless, or avoid the uptake or discharge of new or invasive aquatic organisms and pathogens within ballast water and sediments.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BWM Convention’s implementing regulations call for a phased introduction of mandatory ballast water exchange requirements, to be replaced in time with mandatory concentration limits, and require all ships to carry a ballast water record book and an international ballast water management certificate.</w:t>
      </w:r>
    </w:p>
    <w:p w14:paraId="71F3E4F3"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F4" w14:textId="77777777" w:rsidR="000F7A1A" w:rsidRDefault="000F7A1A" w:rsidP="00305AAA">
      <w:pPr>
        <w:pBdr>
          <w:top w:val="nil"/>
          <w:left w:val="nil"/>
          <w:bottom w:val="nil"/>
          <w:right w:val="nil"/>
          <w:between w:val="nil"/>
          <w:bar w:val="nil"/>
        </w:pBdr>
        <w:jc w:val="both"/>
        <w:rPr>
          <w:rFonts w:ascii="Arial" w:eastAsia="Arial" w:hAnsi="Arial" w:cs="Arial"/>
          <w:color w:val="000000"/>
          <w:bdr w:val="nil"/>
          <w:lang w:val="en-US"/>
        </w:rPr>
      </w:pPr>
    </w:p>
    <w:p w14:paraId="71F3E4F5" w14:textId="77777777" w:rsidR="005C2E4A" w:rsidRDefault="003A4815" w:rsidP="005C2E4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 xml:space="preserve">The MEPC </w:t>
      </w:r>
      <w:r w:rsidR="000F7A1A">
        <w:rPr>
          <w:rFonts w:ascii="Arial" w:eastAsia="Arial" w:hAnsi="Arial" w:cs="Arial"/>
          <w:color w:val="000000"/>
          <w:bdr w:val="none" w:sz="0" w:space="0" w:color="auto" w:frame="1"/>
          <w:lang w:val="en-US"/>
        </w:rPr>
        <w:t>maintains</w:t>
      </w:r>
      <w:r w:rsidRPr="00305AAA">
        <w:rPr>
          <w:rFonts w:ascii="Arial" w:eastAsia="Arial" w:hAnsi="Arial" w:cs="Arial"/>
          <w:color w:val="000000"/>
          <w:bdr w:val="none" w:sz="0" w:space="0" w:color="auto" w:frame="1"/>
          <w:lang w:val="en-US"/>
        </w:rPr>
        <w:t xml:space="preserve"> guidelines for approval of ballast water management systems (G8). Ships over 400 gross tons generally must comply with a “D-1 standard,” requiring the exchange of ballast water only in open seas and away from coastal waters.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 xml:space="preserve">The “D-2 standard” specifies the maximum amount of viable organisms allowed to be discharged, and compliance dates vary depending on the IOPP renewal dates. </w:t>
      </w:r>
      <w:r w:rsidRPr="005C2E4A">
        <w:rPr>
          <w:rFonts w:ascii="Arial" w:eastAsia="Arial" w:hAnsi="Arial" w:cs="Arial"/>
          <w:color w:val="000000"/>
          <w:bdr w:val="none" w:sz="0" w:space="0" w:color="auto" w:frame="1"/>
          <w:lang w:val="en-US"/>
        </w:rPr>
        <w:t>These standards have been in force since 2019, and for</w:t>
      </w:r>
      <w:r w:rsidRPr="00305AAA">
        <w:rPr>
          <w:rFonts w:ascii="Arial" w:eastAsia="Arial" w:hAnsi="Arial" w:cs="Arial"/>
          <w:color w:val="000000"/>
          <w:bdr w:val="none" w:sz="0" w:space="0" w:color="auto" w:frame="1"/>
          <w:lang w:val="en-US"/>
        </w:rPr>
        <w:t xml:space="preserve"> most ships, compliance with the D-2 standard involve</w:t>
      </w:r>
      <w:r>
        <w:rPr>
          <w:rFonts w:ascii="Arial" w:eastAsia="Arial" w:hAnsi="Arial" w:cs="Arial"/>
          <w:color w:val="000000"/>
          <w:bdr w:val="none" w:sz="0" w:space="0" w:color="auto" w:frame="1"/>
          <w:lang w:val="en-US"/>
        </w:rPr>
        <w:t>d</w:t>
      </w:r>
      <w:r w:rsidRPr="00305AAA">
        <w:rPr>
          <w:rFonts w:ascii="Arial" w:eastAsia="Arial" w:hAnsi="Arial" w:cs="Arial"/>
          <w:color w:val="000000"/>
          <w:bdr w:val="none" w:sz="0" w:space="0" w:color="auto" w:frame="1"/>
          <w:lang w:val="en-US"/>
        </w:rPr>
        <w:t xml:space="preserve"> installing on-board systems to treat ballast water and eliminate unwanted organisms.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 xml:space="preserve">Ballast water management systems, which include systems that make use of chemical, biocides, organisms or biological mechanisms, or which alter the chemical or physical characteristics of the ballast water, must be approved in accordance with IMO Guidelines (Regulation D-3). </w:t>
      </w:r>
      <w:r w:rsidRPr="005C2E4A">
        <w:rPr>
          <w:rFonts w:ascii="Arial" w:eastAsia="Arial" w:hAnsi="Arial" w:cs="Arial"/>
          <w:color w:val="000000"/>
          <w:bdr w:val="none" w:sz="0" w:space="0" w:color="auto" w:frame="1"/>
          <w:lang w:val="en-US"/>
        </w:rPr>
        <w:t>Since September</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8, 2024, all ships have been required to</w:t>
      </w:r>
      <w:r w:rsidRPr="00305AAA">
        <w:rPr>
          <w:rFonts w:ascii="Arial" w:eastAsia="Arial" w:hAnsi="Arial" w:cs="Arial"/>
          <w:color w:val="000000"/>
          <w:bdr w:val="none" w:sz="0" w:space="0" w:color="auto" w:frame="1"/>
          <w:lang w:val="en-US"/>
        </w:rPr>
        <w:t xml:space="preserve"> meet the D-2 standard</w:t>
      </w:r>
      <w:r>
        <w:rPr>
          <w:rFonts w:ascii="Arial" w:eastAsia="Arial" w:hAnsi="Arial" w:cs="Arial"/>
          <w:color w:val="000000"/>
          <w:bdr w:val="none" w:sz="0" w:space="0" w:color="auto" w:frame="1"/>
          <w:lang w:val="en-US"/>
        </w:rPr>
        <w:t>.</w:t>
      </w:r>
      <w:r w:rsidRPr="00305AAA">
        <w:rPr>
          <w:rFonts w:ascii="Arial" w:eastAsia="Arial" w:hAnsi="Arial" w:cs="Arial"/>
          <w:color w:val="000000"/>
          <w:bdr w:val="none" w:sz="0" w:space="0" w:color="auto" w:frame="1"/>
          <w:lang w:val="en-US"/>
        </w:rPr>
        <w:t xml:space="preserve"> Additionally, in November 2020, MEPC 75 adopted amendments to the BWM Convention which would require a commissioning test of the ballast water management system for the initial survey or when performing an additional survey for retrofits. This analysis will not apply to ships that already have an installed BWM system certified under the BWM Convention. These amendments have entered into force on June 1, 2022.</w:t>
      </w:r>
      <w:r w:rsidRPr="00305AAA">
        <w:rPr>
          <w:rFonts w:ascii="Arial" w:eastAsia="Arial" w:hAnsi="Arial" w:cs="Arial"/>
          <w:lang w:val="en-US"/>
        </w:rPr>
        <w:t xml:space="preserve"> </w:t>
      </w:r>
      <w:r w:rsidRPr="00305AAA">
        <w:rPr>
          <w:rFonts w:ascii="Arial" w:eastAsia="Arial" w:hAnsi="Arial" w:cs="Arial"/>
          <w:color w:val="000000"/>
          <w:bdr w:val="none" w:sz="0" w:space="0" w:color="auto" w:frame="1"/>
          <w:lang w:val="en-US"/>
        </w:rPr>
        <w:t xml:space="preserve">In December 2022, MEPC 79 agreed that it should be permitted to use ballast tanks for temporary storage of treated sewage and grey water. MEPC 79 also established that ships are expected to return to D-2 compliance after experiencing challenging uptake water and bypassing a BWM system should only be used as a last resort. </w:t>
      </w:r>
    </w:p>
    <w:p w14:paraId="71F3E4F6"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4F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Once mid-ocean exchange ballast water treatment requirements become mandatory under the BWM Convention, the cost of compliance could increase for ocean carriers and may have a material effect on our operations. Irrespective of the BWM convention, certain countries such as the U.S. have enforced and implemented regional requirement related to the system certification, operation and reporting.</w:t>
      </w:r>
    </w:p>
    <w:p w14:paraId="71F3E4F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F9"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IMO also adopted the International Convention on Civil Liability for Bunker Oil Pollution Damage (the “Bunker Convention”) to impose strict liability on ship owners (including the registered owner, bareboat charterer, manager or operator) for pollution damage in jurisdictional waters of ratifying states caused by discharges of bunker fuel. The Bunker Convention requires registered owners of ships over 1,000 gross tons to maintain insurance for pollution damage in an amount equal to the limits of liability under the applicable national or international limitation regime (but not exceeding the amount calculated in accordance with the LLMC).</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With respect to non-ratifying states, liability for spills or releases of oil carried as fuel in ship’s bunkers typically is determined by the national or other domestic laws in the jurisdiction where the events or damages occur.</w:t>
      </w:r>
    </w:p>
    <w:p w14:paraId="71F3E4FA"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FB"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Ships are required to maintain a certificate attesting that they maintain adequate insurance to cover an incident. In jurisdictions, such as the United States where the Bunker Convention has not been adopted, various legislative schemes or common law govern, and liability is imposed either on the basis of fault or on a strict-liability basis.</w:t>
      </w:r>
    </w:p>
    <w:p w14:paraId="71F3E4FC"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4FD"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Anti</w:t>
      </w:r>
      <w:r w:rsidRPr="00305AAA">
        <w:rPr>
          <w:rFonts w:ascii="Arial" w:eastAsia="Arial" w:hAnsi="Arial" w:cs="Arial"/>
          <w:i/>
          <w:iCs/>
          <w:color w:val="000000"/>
          <w:bdr w:val="none" w:sz="0" w:space="0" w:color="auto" w:frame="1"/>
          <w:lang w:val="en-US"/>
        </w:rPr>
        <w:noBreakHyphen/>
        <w:t>Fouling Requirements</w:t>
      </w:r>
    </w:p>
    <w:p w14:paraId="71F3E4FE"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4FF"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In 2001, the IMO adopted the International Convention on the Control of Harmful Anti</w:t>
      </w:r>
      <w:r w:rsidRPr="00305AAA">
        <w:rPr>
          <w:rFonts w:ascii="Arial" w:eastAsia="Arial" w:hAnsi="Arial" w:cs="Arial"/>
          <w:color w:val="000000"/>
          <w:bdr w:val="none" w:sz="0" w:space="0" w:color="auto" w:frame="1"/>
          <w:lang w:val="en-US"/>
        </w:rPr>
        <w:noBreakHyphen/>
        <w:t>fouling Systems on Ships, or the “Anti</w:t>
      </w:r>
      <w:r w:rsidRPr="00305AAA">
        <w:rPr>
          <w:rFonts w:ascii="Arial" w:eastAsia="Arial" w:hAnsi="Arial" w:cs="Arial"/>
          <w:color w:val="000000"/>
          <w:bdr w:val="none" w:sz="0" w:space="0" w:color="auto" w:frame="1"/>
          <w:lang w:val="en-US"/>
        </w:rPr>
        <w:noBreakHyphen/>
        <w:t>fouling Convention.” The Anti</w:t>
      </w:r>
      <w:r w:rsidRPr="00305AAA">
        <w:rPr>
          <w:rFonts w:ascii="Arial" w:eastAsia="Arial" w:hAnsi="Arial" w:cs="Arial"/>
          <w:color w:val="000000"/>
          <w:bdr w:val="none" w:sz="0" w:space="0" w:color="auto" w:frame="1"/>
          <w:lang w:val="en-US"/>
        </w:rPr>
        <w:noBreakHyphen/>
        <w:t>fouling Convention, which entered into force on September 17, 2008, prohibits the use of organotin compound coatings to prevent the attachment of mollusks and other sea life to the hulls of vessels. Vessels of over 400 gross tons engaged in international voyages will also be required to undergo an initial survey before the vessel is put into service or before an International Anti</w:t>
      </w:r>
      <w:r w:rsidRPr="00305AAA">
        <w:rPr>
          <w:rFonts w:ascii="Arial" w:eastAsia="Arial" w:hAnsi="Arial" w:cs="Arial"/>
          <w:color w:val="000000"/>
          <w:bdr w:val="none" w:sz="0" w:space="0" w:color="auto" w:frame="1"/>
          <w:lang w:val="en-US"/>
        </w:rPr>
        <w:noBreakHyphen/>
        <w:t>fouling System Certificate is issued for the first time; and subsequent surveys when the anti</w:t>
      </w:r>
      <w:r w:rsidRPr="00305AAA">
        <w:rPr>
          <w:rFonts w:ascii="Arial" w:eastAsia="Arial" w:hAnsi="Arial" w:cs="Arial"/>
          <w:color w:val="000000"/>
          <w:bdr w:val="none" w:sz="0" w:space="0" w:color="auto" w:frame="1"/>
          <w:lang w:val="en-US"/>
        </w:rPr>
        <w:noBreakHyphen/>
        <w:t>fouling systems are altered or replaced.</w:t>
      </w:r>
      <w:r w:rsidR="00713990">
        <w:rPr>
          <w:rFonts w:ascii="Arial" w:eastAsia="Arial" w:hAnsi="Arial" w:cs="Arial"/>
          <w:color w:val="000000"/>
          <w:bdr w:val="none" w:sz="0" w:space="0" w:color="auto" w:frame="1"/>
          <w:lang w:val="en-US"/>
        </w:rPr>
        <w:t xml:space="preserve"> </w:t>
      </w:r>
      <w:r w:rsidR="00713990">
        <w:rPr>
          <w:rFonts w:ascii="Arial" w:eastAsia="Arial" w:hAnsi="Arial" w:cs="Arial"/>
          <w:color w:val="000000"/>
          <w:szCs w:val="24"/>
          <w:lang w:val="en-US"/>
        </w:rPr>
        <w:t>Vessels of 24 meters in length or more but less than 400 gross tonnage engaged in international voyages will have to carry a Declaration on Anti-fouling Systems signed by the owner or authorized agent.</w:t>
      </w:r>
    </w:p>
    <w:p w14:paraId="71F3E500" w14:textId="77777777" w:rsidR="005C2E4A" w:rsidRDefault="005C2E4A" w:rsidP="00305AAA">
      <w:pPr>
        <w:pBdr>
          <w:top w:val="nil"/>
          <w:left w:val="nil"/>
          <w:bottom w:val="nil"/>
          <w:right w:val="nil"/>
          <w:between w:val="nil"/>
          <w:bar w:val="nil"/>
        </w:pBdr>
        <w:jc w:val="both"/>
        <w:rPr>
          <w:rFonts w:ascii="Arial" w:eastAsia="Arial" w:hAnsi="Arial" w:cs="Arial"/>
          <w:color w:val="000000"/>
          <w:bdr w:val="nil"/>
          <w:lang w:val="en-US"/>
        </w:rPr>
      </w:pPr>
    </w:p>
    <w:p w14:paraId="71F3E501" w14:textId="77777777" w:rsidR="005C2E4A" w:rsidRDefault="003A4815" w:rsidP="005C2E4A">
      <w:pPr>
        <w:pBdr>
          <w:top w:val="nil"/>
          <w:left w:val="nil"/>
          <w:bottom w:val="nil"/>
          <w:right w:val="nil"/>
          <w:between w:val="nil"/>
          <w:bar w:val="nil"/>
        </w:pBdr>
        <w:jc w:val="both"/>
        <w:rPr>
          <w:rFonts w:ascii="Arial" w:eastAsia="Arial" w:hAnsi="Arial" w:cs="Arial"/>
          <w:color w:val="000000"/>
          <w:bdr w:val="nil"/>
          <w:lang w:val="en-US"/>
        </w:rPr>
      </w:pPr>
      <w:r w:rsidRPr="005C2E4A">
        <w:rPr>
          <w:rFonts w:ascii="Arial" w:eastAsia="Arial" w:hAnsi="Arial" w:cs="Arial"/>
          <w:color w:val="000000"/>
          <w:bdr w:val="none" w:sz="0" w:space="0" w:color="auto" w:frame="1"/>
          <w:lang w:val="en-US"/>
        </w:rPr>
        <w:t>In November 2020, MEPC 75 approved draft amendments to the Anti-fouling Convention to prohibit</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anti-fouling systems containing cybutryne, which would apply to ships from January 1, 2023, or, for ships</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already bearing such an anti-fouling system, at the next scheduled renewal of the system after that date,</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but no later than 60 months following the last application to the ship of such a system. In addition, the</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IAFS Certificate has been updated to address compliance options for anti-fouling systems to address</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cybutryne. Ships which are affected by this ban on cybutryne must receive an updated IAFS Certificate</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no later than two years after the entry into force of these amendments. Ships which are not affected (i.e.</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with anti-fouling systems which do not contain cybutryne) must receive an updated IAFS Certificate at</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the</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next Anti-fouling application to the vessel. These amendments were formally adopted at MEPC 76</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in</w:t>
      </w:r>
      <w:r>
        <w:rPr>
          <w:rFonts w:ascii="Arial" w:eastAsia="Arial" w:hAnsi="Arial" w:cs="Arial"/>
          <w:color w:val="000000"/>
          <w:bdr w:val="none" w:sz="0" w:space="0" w:color="auto" w:frame="1"/>
          <w:lang w:val="en-US"/>
        </w:rPr>
        <w:t xml:space="preserve"> </w:t>
      </w:r>
      <w:r w:rsidRPr="005C2E4A">
        <w:rPr>
          <w:rFonts w:ascii="Arial" w:eastAsia="Arial" w:hAnsi="Arial" w:cs="Arial"/>
          <w:color w:val="000000"/>
          <w:bdr w:val="none" w:sz="0" w:space="0" w:color="auto" w:frame="1"/>
          <w:lang w:val="en-US"/>
        </w:rPr>
        <w:t>June 2021 and entered into force on January 1, 2023.</w:t>
      </w:r>
    </w:p>
    <w:p w14:paraId="71F3E502"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503" w14:textId="77777777" w:rsidR="00E82FBC" w:rsidRDefault="003A4815" w:rsidP="00305AA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We have obtained Anti</w:t>
      </w:r>
      <w:r w:rsidRPr="00305AAA">
        <w:rPr>
          <w:rFonts w:ascii="Arial" w:eastAsia="Arial" w:hAnsi="Arial" w:cs="Arial"/>
          <w:color w:val="000000"/>
          <w:bdr w:val="none" w:sz="0" w:space="0" w:color="auto" w:frame="1"/>
          <w:lang w:val="en-US"/>
        </w:rPr>
        <w:noBreakHyphen/>
        <w:t>fouling System Certificates for all of our vessels that are subject to the Anti</w:t>
      </w:r>
      <w:r w:rsidRPr="00305AAA">
        <w:rPr>
          <w:rFonts w:ascii="Arial" w:eastAsia="Arial" w:hAnsi="Arial" w:cs="Arial"/>
          <w:color w:val="000000"/>
          <w:bdr w:val="none" w:sz="0" w:space="0" w:color="auto" w:frame="1"/>
          <w:lang w:val="en-US"/>
        </w:rPr>
        <w:noBreakHyphen/>
        <w:t>fouling Convention</w:t>
      </w:r>
      <w:r w:rsidR="00305AAA">
        <w:rPr>
          <w:rFonts w:ascii="Arial" w:eastAsia="Arial" w:hAnsi="Arial" w:cs="Arial"/>
          <w:bdr w:val="none" w:sz="0" w:space="0" w:color="auto" w:frame="1"/>
          <w:lang w:val="en-US"/>
        </w:rPr>
        <w:t>.</w:t>
      </w:r>
    </w:p>
    <w:p w14:paraId="71F3E504"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05"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bdr w:val="nil"/>
          <w:lang w:val="en-US"/>
        </w:rPr>
      </w:pPr>
      <w:r w:rsidRPr="00305AAA">
        <w:rPr>
          <w:rFonts w:ascii="Arial" w:eastAsia="Arial" w:hAnsi="Arial" w:cs="Arial"/>
          <w:i/>
          <w:iCs/>
          <w:bdr w:val="none" w:sz="0" w:space="0" w:color="auto" w:frame="1"/>
          <w:lang w:val="en-US"/>
        </w:rPr>
        <w:t>Requirements for the Safe and Environmentally Sound Recycling of Ships</w:t>
      </w:r>
    </w:p>
    <w:p w14:paraId="71F3E506"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07" w14:textId="77777777" w:rsidR="00E82FBC" w:rsidRDefault="003A4815" w:rsidP="00305AA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iCs/>
          <w:bdr w:val="none" w:sz="0" w:space="0" w:color="auto" w:frame="1"/>
          <w:lang w:val="en-US"/>
        </w:rPr>
        <w:t xml:space="preserve">In 2009 the Hong Kong International Convention and MEPC 269(68) adopted the guidelines for the preparation of the Inventory of Hazardous Materials. The Convention concerns all vessels over 500 GT entitled to fly the flag of a Party or operating under its authority, with some exceptions like warships. </w:t>
      </w:r>
      <w:r w:rsidRPr="00305AAA">
        <w:rPr>
          <w:rFonts w:ascii="Arial" w:eastAsia="Arial" w:hAnsi="Arial" w:cs="Arial"/>
          <w:bdr w:val="none" w:sz="0" w:space="0" w:color="auto" w:frame="1"/>
          <w:lang w:val="en-GB"/>
        </w:rPr>
        <w:t xml:space="preserve">According to </w:t>
      </w:r>
      <w:r w:rsidRPr="00305AAA">
        <w:rPr>
          <w:rFonts w:ascii="Arial" w:eastAsia="Arial" w:hAnsi="Arial" w:cs="Arial"/>
          <w:iCs/>
          <w:bdr w:val="none" w:sz="0" w:space="0" w:color="auto" w:frame="1"/>
          <w:lang w:val="en-US"/>
        </w:rPr>
        <w:t>the Convention the shipowner should control Ship’s Hazardous Materials inherent in ship’s structure, machinery, equipment and paints, coatings and prohibit the new installations of Hazardous Materials, by maintaining an Inventory of Hazardous Materials (IHM). It is the Company’s responsibility to maintain the IHM Part I up to date, during the life of the ship, according to MEPC Guidelines.</w:t>
      </w:r>
      <w:r w:rsidR="003C0625">
        <w:rPr>
          <w:rFonts w:ascii="Arial" w:eastAsia="Arial" w:hAnsi="Arial" w:cs="Arial"/>
          <w:iCs/>
          <w:bdr w:val="none" w:sz="0" w:space="0" w:color="auto" w:frame="1"/>
          <w:lang w:val="en-US"/>
        </w:rPr>
        <w:t xml:space="preserve"> </w:t>
      </w:r>
      <w:r w:rsidRPr="00305AAA">
        <w:rPr>
          <w:rFonts w:ascii="Arial" w:eastAsia="Arial" w:hAnsi="Arial" w:cs="Arial"/>
          <w:iCs/>
          <w:bdr w:val="none" w:sz="0" w:space="0" w:color="auto" w:frame="1"/>
          <w:lang w:val="en-US"/>
        </w:rPr>
        <w:t xml:space="preserve">The ships are subject to survey (initial, renewal, additional and final) and certification and should keep a valid International Certificate on Inventory of Hazardous Materials or an International Ready for Recycling Certificate (in case of recycling), on board. </w:t>
      </w:r>
      <w:r w:rsidRPr="00305AAA">
        <w:rPr>
          <w:rFonts w:ascii="Arial" w:eastAsia="Arial" w:hAnsi="Arial" w:cs="Arial"/>
          <w:bdr w:val="none" w:sz="0" w:space="0" w:color="auto" w:frame="1"/>
          <w:lang w:val="en-US"/>
        </w:rPr>
        <w:t xml:space="preserve">For ships been resulted to contain hazardous materials (like asbestos), actions for removal should be taken by the shipowner. The ships should only be recycled according to the regulations. </w:t>
      </w:r>
      <w:r w:rsidRPr="00305AAA">
        <w:rPr>
          <w:rFonts w:ascii="Arial" w:eastAsia="Arial" w:hAnsi="Arial" w:cs="Arial"/>
          <w:iCs/>
          <w:bdr w:val="none" w:sz="0" w:space="0" w:color="auto" w:frame="1"/>
          <w:lang w:val="en-US"/>
        </w:rPr>
        <w:t xml:space="preserve">If the ship is detected to be in violation of this Convention, the Party carrying out an inspection may take steps to warn, detain, dismiss, or exclude the ship from its ports, which might have an impact in our commercial image and cause high fines to the company. </w:t>
      </w:r>
      <w:r w:rsidRPr="00305AAA">
        <w:rPr>
          <w:rFonts w:ascii="Arial" w:eastAsia="Arial" w:hAnsi="Arial" w:cs="Arial"/>
          <w:bdr w:val="none" w:sz="0" w:space="0" w:color="auto" w:frame="1"/>
          <w:lang w:val="en-US"/>
        </w:rPr>
        <w:t>Our fleet already complies with this regulation but the preparation, maintenance and whenever needed removal have resulted in substantial costs.</w:t>
      </w:r>
    </w:p>
    <w:p w14:paraId="71F3E508" w14:textId="77777777" w:rsidR="00305AAA" w:rsidRPr="00305AAA" w:rsidRDefault="00305AAA" w:rsidP="00305AAA">
      <w:pPr>
        <w:pBdr>
          <w:top w:val="nil"/>
          <w:left w:val="nil"/>
          <w:bottom w:val="nil"/>
          <w:right w:val="nil"/>
          <w:between w:val="nil"/>
          <w:bar w:val="nil"/>
        </w:pBdr>
        <w:jc w:val="both"/>
        <w:rPr>
          <w:rFonts w:ascii="Arial" w:eastAsia="Arial" w:hAnsi="Arial" w:cs="Arial"/>
          <w:iCs/>
          <w:bdr w:val="nil"/>
          <w:lang w:val="en-US"/>
        </w:rPr>
      </w:pPr>
    </w:p>
    <w:p w14:paraId="71F3E509"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Compliance Enforcement</w:t>
      </w:r>
    </w:p>
    <w:p w14:paraId="71F3E50A"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0B"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Noncompliance with the ISM Code or other IMO regulations may subject the ship owner or bareboat charterer to increased liability, may lead to decreases in available insurance coverage for affected vessels and may result in the denial of access to, or detention in, some ports. The USCG and European Union authorities have indicated that vessels not in compliance with the ISM Code by applicable deadlines will be prohibited from trading in U.S. and European Union ports, respectively. As of the date of this report, each of our vessels is ISM Code certified. The IMO continues to review and introduce new regulations. It is impossible to predict what additional regulations, if any, may be passed by the IMO and what effect, if any, such regulations might have on our operations.</w:t>
      </w:r>
    </w:p>
    <w:p w14:paraId="71F3E50C"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0D"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U.S. Regulations</w:t>
      </w:r>
    </w:p>
    <w:p w14:paraId="71F3E50E"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0F"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The U.S. Oil Pollution Act of 1990 and the Comprehensive Environmental Response, Compensation and Liability Act</w:t>
      </w:r>
    </w:p>
    <w:p w14:paraId="71F3E510"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11"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U.S. Oil Pollution Act of 1990 (“OPA”) established an extensive regulatory and liability regime for the protection and cleanup of the environment from oil spills. OPA affects all “owners and operators” whose vessels trade or operate within the U.S., its territories and possessions or whose vessels operate in U.S. waters, which includes the U.S.’s territorial sea and its 200 nautical mile exclusive economic zone around the U.S.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U.S. has also enacted the Comprehensive Environmental Response, Compensation and Liability Act (“CERCLA”), which applies to the discharge of hazardous substances other than oil, except in limited circumstances, whether on land or at sea.</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OPA and CERCLA both define “owner and operator” in the case of a vessel as any person owning, operating or chartering by demise, the vessel.</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Both OPA and CERCLA impact our operations.</w:t>
      </w:r>
    </w:p>
    <w:p w14:paraId="71F3E512"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13"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Under OPA, vessel owners and operators are “responsible parties” and are jointly, severally and strictly liable (unless the spill results solely from the act or omission of a third party, an act of God or an act of war) for all containment and clean-up costs and other damages arising from discharges or threatened discharges of oil from their vessels, including bunkers (fuel).</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OPA defines these other damages broadly to include:</w:t>
      </w:r>
    </w:p>
    <w:p w14:paraId="71F3E514"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15"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injury to, destruction or loss of, or loss of use of, natural resources and related assessment costs;</w:t>
      </w:r>
    </w:p>
    <w:p w14:paraId="71F3E516" w14:textId="77777777" w:rsidR="00305AAA" w:rsidRPr="00305AAA" w:rsidRDefault="00305AAA" w:rsidP="00305AAA">
      <w:pPr>
        <w:pBdr>
          <w:top w:val="nil"/>
          <w:left w:val="nil"/>
          <w:bottom w:val="nil"/>
          <w:right w:val="nil"/>
          <w:between w:val="nil"/>
          <w:bar w:val="nil"/>
        </w:pBdr>
        <w:ind w:left="360"/>
        <w:jc w:val="both"/>
        <w:rPr>
          <w:rFonts w:ascii="Arial" w:eastAsia="Arial" w:hAnsi="Arial" w:cs="Arial"/>
          <w:bdr w:val="nil"/>
          <w:lang w:val="en-US"/>
        </w:rPr>
      </w:pPr>
    </w:p>
    <w:p w14:paraId="71F3E517"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injury to, or economic losses resulting from, the destruction of real and personal property;</w:t>
      </w:r>
    </w:p>
    <w:p w14:paraId="71F3E518" w14:textId="77777777" w:rsidR="00305AAA" w:rsidRPr="00305AAA" w:rsidRDefault="00305AAA" w:rsidP="00305AAA">
      <w:pPr>
        <w:pBdr>
          <w:top w:val="nil"/>
          <w:left w:val="nil"/>
          <w:bottom w:val="nil"/>
          <w:right w:val="nil"/>
          <w:between w:val="nil"/>
          <w:bar w:val="nil"/>
        </w:pBdr>
        <w:ind w:left="360"/>
        <w:jc w:val="both"/>
        <w:rPr>
          <w:rFonts w:ascii="Arial" w:eastAsia="Arial" w:hAnsi="Arial" w:cs="Arial"/>
          <w:bdr w:val="nil"/>
          <w:lang w:val="en-US"/>
        </w:rPr>
      </w:pPr>
    </w:p>
    <w:p w14:paraId="71F3E519"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loss of subsistence use of natural resources that are injured, destroyed or lost;</w:t>
      </w:r>
    </w:p>
    <w:p w14:paraId="71F3E51A" w14:textId="77777777" w:rsidR="00305AAA" w:rsidRPr="00305AAA" w:rsidRDefault="00305AAA" w:rsidP="00305AAA">
      <w:pPr>
        <w:pBdr>
          <w:top w:val="nil"/>
          <w:left w:val="nil"/>
          <w:bottom w:val="nil"/>
          <w:right w:val="nil"/>
          <w:between w:val="nil"/>
          <w:bar w:val="nil"/>
        </w:pBdr>
        <w:ind w:left="360"/>
        <w:jc w:val="both"/>
        <w:rPr>
          <w:rFonts w:ascii="Arial" w:eastAsia="Arial" w:hAnsi="Arial" w:cs="Arial"/>
          <w:bdr w:val="nil"/>
          <w:lang w:val="en-US"/>
        </w:rPr>
      </w:pPr>
    </w:p>
    <w:p w14:paraId="71F3E51B"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net loss of taxes, royalties, rents, fees or net profit revenues resulting from injury, destruction or loss of real or personal property, or natural resources;</w:t>
      </w:r>
    </w:p>
    <w:p w14:paraId="71F3E51C" w14:textId="77777777" w:rsidR="00305AAA" w:rsidRPr="00305AAA" w:rsidRDefault="00305AAA" w:rsidP="00305AAA">
      <w:pPr>
        <w:pBdr>
          <w:top w:val="nil"/>
          <w:left w:val="nil"/>
          <w:bottom w:val="nil"/>
          <w:right w:val="nil"/>
          <w:between w:val="nil"/>
          <w:bar w:val="nil"/>
        </w:pBdr>
        <w:ind w:left="360"/>
        <w:jc w:val="both"/>
        <w:rPr>
          <w:rFonts w:ascii="Arial" w:eastAsia="Arial" w:hAnsi="Arial" w:cs="Arial"/>
          <w:bdr w:val="nil"/>
          <w:lang w:val="en-US"/>
        </w:rPr>
      </w:pPr>
    </w:p>
    <w:p w14:paraId="71F3E51D"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lost profits or impairment of earning capacity due to injury, destruction or loss of real or personal property or natural resources; and</w:t>
      </w:r>
    </w:p>
    <w:p w14:paraId="71F3E51E" w14:textId="77777777" w:rsidR="00305AAA" w:rsidRDefault="00305AAA" w:rsidP="00305AAA">
      <w:pPr>
        <w:pStyle w:val="ListParagraph"/>
        <w:pBdr>
          <w:top w:val="nil"/>
          <w:left w:val="nil"/>
          <w:bottom w:val="nil"/>
          <w:right w:val="nil"/>
          <w:between w:val="nil"/>
          <w:bar w:val="nil"/>
        </w:pBdr>
        <w:rPr>
          <w:rFonts w:ascii="Arial" w:eastAsia="Arial" w:hAnsi="Arial" w:cs="Arial"/>
          <w:bdr w:val="nil"/>
          <w:lang w:val="en-US"/>
        </w:rPr>
      </w:pPr>
    </w:p>
    <w:p w14:paraId="71F3E51F" w14:textId="77777777" w:rsidR="00E82FBC" w:rsidRPr="00305AAA" w:rsidRDefault="003A4815" w:rsidP="00305AAA">
      <w:pPr>
        <w:numPr>
          <w:ilvl w:val="0"/>
          <w:numId w:val="16"/>
        </w:num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net cost of increased or additional public services necessitated by removal activities following a discharge of oil, such as protection from fire, safety or health hazards, and loss of subsistence use of natural resources.</w:t>
      </w:r>
    </w:p>
    <w:p w14:paraId="71F3E520" w14:textId="77777777" w:rsidR="00305AAA" w:rsidRPr="00305AAA" w:rsidRDefault="00305AAA" w:rsidP="00305AAA">
      <w:pPr>
        <w:pBdr>
          <w:top w:val="nil"/>
          <w:left w:val="nil"/>
          <w:bottom w:val="nil"/>
          <w:right w:val="nil"/>
          <w:between w:val="nil"/>
          <w:bar w:val="nil"/>
        </w:pBdr>
        <w:ind w:left="360"/>
        <w:jc w:val="both"/>
        <w:rPr>
          <w:rFonts w:ascii="Arial" w:eastAsia="Arial" w:hAnsi="Arial" w:cs="Arial"/>
          <w:bdr w:val="nil"/>
          <w:lang w:val="en-US"/>
        </w:rPr>
      </w:pPr>
    </w:p>
    <w:p w14:paraId="71F3E521"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OPA contains statutory caps on liability and damages; such caps do not apply to direct cleanup costs.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Effective November 12, 2019, the USCG adjusted the limits of OPA liability for non-tank vessels, edible oil tank vessels, and any oil spill response vessels, to the greater of $1,200 per gross ton or $997,100 (subject to periodic adjustment for inflation). On December 23, 2022, the USCG issued a final rule to adjust the limitation of liability under the OPA. Effective March 23, 202</w:t>
      </w:r>
      <w:r w:rsidR="00371D8B">
        <w:rPr>
          <w:rFonts w:ascii="Arial" w:eastAsia="Arial" w:hAnsi="Arial" w:cs="Arial"/>
          <w:color w:val="000000"/>
          <w:bdr w:val="none" w:sz="0" w:space="0" w:color="auto" w:frame="1"/>
          <w:lang w:val="en-US"/>
        </w:rPr>
        <w:t>3</w:t>
      </w:r>
      <w:r w:rsidRPr="00305AAA">
        <w:rPr>
          <w:rFonts w:ascii="Arial" w:eastAsia="Arial" w:hAnsi="Arial" w:cs="Arial"/>
          <w:color w:val="000000"/>
          <w:bdr w:val="none" w:sz="0" w:space="0" w:color="auto" w:frame="1"/>
          <w:lang w:val="en-US"/>
        </w:rPr>
        <w:t>, the new adjusted limits of OPA liability for non-tank vessels, edible oil tank vessels, and any oil spill response vessels, to the greater of $1,300 per gross ton or $1,076,000 (subject to periodic adjustment for inflation).These limits of liability do not apply if an incident was proximately caused by the violation of an applicable U.S. federal safety, construction or operating regulation by a responsible party (or its agent, employee or a person acting pursuant to a contractual relationship), or a responsible party's gross negligence or willful misconduct. The limitation on liability similarly does not apply if the responsible party fails or refuses to (i) report the incident as required by law where the responsible party knows or has reason to know of the incident; (ii) reasonably cooperate and assist as requested in connection with oil removal activities; or (iii) without sufficient cause, comply with an order issued under the Federal Water Pollution Act (Section 311 (c), (e)) or the Intervention on the High Seas Act.</w:t>
      </w:r>
    </w:p>
    <w:p w14:paraId="71F3E522"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523"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CERCLA contains a similar liability regime whereby owners and operators of vessels are liable for cleanup, removal and remedial costs, as well as damages for injury to, or destruction or loss of, natural resources, including the reasonable costs associated with assessing the same, and health assessments or health effects studies. There is no liability if the discharge of a hazardous substance results solely from the act or omission of a third party, an act of God or an act of war. Liability under CERCLA is limited to the greater of $300 per gross ton or $5.0 million for vessels carrying a hazardous substance as cargo and the greater of $300 per gross ton or $500,000 for any other vessel. These limits do not apply (rendering the responsible person liable for the total cost of response and damages) if the release or threat of release of a hazardous substance resulted from willful misconduct or negligence, or the primary cause of the release was a violation of applicable safety, construction or operating standards or regulations.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limitation on liability also does not apply if the responsible person fails or refused to provide all reasonable cooperation and assistance as requested in connection with response activities where the vessel is subject to OPA.</w:t>
      </w:r>
    </w:p>
    <w:p w14:paraId="71F3E524"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25"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OPA and CERCLA each preserve the right to recover damages under existing law, including maritime tort law.</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OPA and CERCLA both require owners and operators of vessels to establish and maintain with the USCG evidence of financial responsibility sufficient to meet the maximum amount of liability to which the particular responsible person may be subject. Vessel owners and operators may satisfy their financial responsibility obligations by providing a proof of insurance, a surety bond, qualification as a self-insurer or a guarantee. We comply and plan to comply going forward with the USCG’s financial responsibility regulations by providing applicable certificates of financial responsibility.</w:t>
      </w:r>
    </w:p>
    <w:p w14:paraId="71F3E526"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52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OPA specifically permits individual states to impose their own liability regimes with regard to oil pollution incidents occurring within their boundaries, provided they accept, at a minimum, the levels of liability established under OPA and some states have enacted legislation providing for unlimited liability for oil spills.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Many U.S. states that border a navigable waterway have enacted environmental pollution laws that impose strict liability on a person for removal costs and damages resulting from a discharge of oil or a release of a hazardous substance.</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These laws may be more stringent than U.S. federal law.</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Moreover, some states have enacted legislation providing for unlimited liability for discharge of pollutants within their waters, although in some cases, states which have enacted this type of legislation have not yet issued implementing regulations defining vessel owners’ responsibilities under these laws. The Company intends to comply with all applicable state regulations in the ports where the Company’s vessels call.</w:t>
      </w:r>
    </w:p>
    <w:p w14:paraId="71F3E52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29"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We currently maintain pollution liability coverage insurance in the amount of $1 billion per incident for each of our vessels. If the damages from a catastrophic spill were to exceed our insurance coverage, it could have an adverse effect on our business and results of operation.</w:t>
      </w:r>
    </w:p>
    <w:p w14:paraId="71F3E52A" w14:textId="77777777" w:rsidR="00305AAA" w:rsidRPr="00305AAA" w:rsidRDefault="00305AAA" w:rsidP="009D22F9">
      <w:pPr>
        <w:pBdr>
          <w:top w:val="nil"/>
          <w:left w:val="nil"/>
          <w:bottom w:val="nil"/>
          <w:right w:val="nil"/>
          <w:between w:val="nil"/>
          <w:bar w:val="nil"/>
        </w:pBdr>
        <w:jc w:val="both"/>
        <w:rPr>
          <w:rFonts w:ascii="Arial" w:eastAsia="Arial" w:hAnsi="Arial" w:cs="Arial"/>
          <w:bdr w:val="nil"/>
          <w:lang w:val="en-US"/>
        </w:rPr>
      </w:pPr>
    </w:p>
    <w:p w14:paraId="71F3E52B"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Other United States Environmental Initiatives</w:t>
      </w:r>
    </w:p>
    <w:p w14:paraId="71F3E52C"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2D"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U.S. Clean Air Act of 1970 (including its amendments of 1977 and 1990) (“CAA”) requires the EPA to promulgate standards applicable to emissions of volatile organic compounds and other air contaminants.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CAA requires states to adopt State Implementation Plans, or SIPs, some of which regulate emissions resulting from vessel loading and unloading operations which may affect our vessels.</w:t>
      </w:r>
    </w:p>
    <w:p w14:paraId="71F3E52E" w14:textId="77777777" w:rsidR="0095309A" w:rsidRPr="00305AAA" w:rsidRDefault="0095309A" w:rsidP="00305AAA">
      <w:pPr>
        <w:pBdr>
          <w:top w:val="nil"/>
          <w:left w:val="nil"/>
          <w:bottom w:val="nil"/>
          <w:right w:val="nil"/>
          <w:between w:val="nil"/>
          <w:bar w:val="nil"/>
        </w:pBdr>
        <w:jc w:val="both"/>
        <w:rPr>
          <w:rFonts w:ascii="Arial" w:eastAsia="Arial" w:hAnsi="Arial" w:cs="Arial"/>
          <w:bdr w:val="nil"/>
          <w:lang w:val="en-US"/>
        </w:rPr>
      </w:pPr>
    </w:p>
    <w:p w14:paraId="71F3E52F" w14:textId="77777777" w:rsidR="00E82FBC" w:rsidRDefault="003A4815" w:rsidP="00305AA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The U.S. Clean Water Act (“CWA”) prohibits the discharge of oil, hazardous substances and ballast water in U.S. navigable waters unless authorized by a duly-issued permit or exemption, and imposes strict liability in the form of penalties for any unauthorized discharges.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CWA also imposes substantial liability for the costs of removal, remediation and damages and complements the remedies available under OPA and CERCLA.</w:t>
      </w:r>
      <w:r w:rsidRPr="00305AAA">
        <w:rPr>
          <w:rFonts w:ascii="Arial" w:eastAsia="Arial" w:hAnsi="Arial" w:cs="Arial"/>
          <w:bdr w:val="none" w:sz="0" w:space="0" w:color="auto" w:frame="1"/>
          <w:lang w:val="en-US"/>
        </w:rPr>
        <w:t xml:space="preserve"> </w:t>
      </w:r>
    </w:p>
    <w:p w14:paraId="71F3E530"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31" w14:textId="77777777" w:rsidR="00FF50C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The EPA and the USCG have also enacted rules relating to ballast water discharge, compliance with which requires the installation of equipment on our vessels to treat ballast water before it is discharged or the implementation of other port facility disposal arrangements or procedures at potentially substantial costs, and/or otherwise restrict our vessels from entering U.S. Waters.</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The EPA will regulate these ballast water discharges and other discharges incidental to the normal operation of certain vessels within United States waters pursuant to the Vessel Incidental Discharge Act (“VIDA”), which was signed into law on December 4, 2018 and replaces the 2013 Vessel General Permit (“VGP”) program and current Coast Guard ballast water management regulations adopted under the U.S. National Invasive Species Act.</w:t>
      </w:r>
      <w:r w:rsidR="003C0625">
        <w:rPr>
          <w:rFonts w:ascii="Arial" w:eastAsia="Arial" w:hAnsi="Arial" w:cs="Arial"/>
          <w:color w:val="000000"/>
          <w:bdr w:val="none" w:sz="0" w:space="0" w:color="auto" w:frame="1"/>
          <w:lang w:val="en-US"/>
        </w:rPr>
        <w:t xml:space="preserve"> </w:t>
      </w:r>
      <w:r w:rsidRPr="0095309A">
        <w:rPr>
          <w:rFonts w:ascii="Arial" w:eastAsia="Arial" w:hAnsi="Arial" w:cs="Arial"/>
          <w:color w:val="000000"/>
          <w:bdr w:val="none" w:sz="0" w:space="0" w:color="auto" w:frame="1"/>
          <w:lang w:val="en-US"/>
        </w:rPr>
        <w:t>VIDA establishes a new framework for the regulation of vessel incidental discharges under the CWA, requires the EPA to develop performance standards for those discharges within two years of enactment, and requires the USCG to develop implementation, compliance, and enforcement regulations within two years of EPA’s promulgation of standards. In October 2024, the EPA finalized its rule on Vessel Incidental Discharge Standards of Performance, which means that the USCG must now develop corresponding regulations regarding ballast water within two years of that date. </w:t>
      </w:r>
    </w:p>
    <w:p w14:paraId="71F3E532" w14:textId="77777777" w:rsidR="0095309A" w:rsidRDefault="0095309A" w:rsidP="00305AAA">
      <w:pPr>
        <w:pBdr>
          <w:top w:val="nil"/>
          <w:left w:val="nil"/>
          <w:bottom w:val="nil"/>
          <w:right w:val="nil"/>
          <w:between w:val="nil"/>
          <w:bar w:val="nil"/>
        </w:pBdr>
        <w:jc w:val="both"/>
        <w:rPr>
          <w:rFonts w:ascii="Arial" w:eastAsia="Arial" w:hAnsi="Arial" w:cs="Arial"/>
          <w:color w:val="000000"/>
          <w:bdr w:val="nil"/>
          <w:lang w:val="en-US"/>
        </w:rPr>
      </w:pPr>
    </w:p>
    <w:p w14:paraId="71F3E533"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Under VIDA, all provisions of the 2013 VGP and USCG regulations regarding ballast water treatment remain in force and effect until the EPA and U</w:t>
      </w:r>
      <w:r w:rsidR="0095309A">
        <w:rPr>
          <w:rFonts w:ascii="Arial" w:eastAsia="Arial" w:hAnsi="Arial" w:cs="Arial"/>
          <w:color w:val="000000"/>
          <w:bdr w:val="none" w:sz="0" w:space="0" w:color="auto" w:frame="1"/>
          <w:lang w:val="en-US"/>
        </w:rPr>
        <w:t>SCG</w:t>
      </w:r>
      <w:r w:rsidRPr="00305AAA">
        <w:rPr>
          <w:rFonts w:ascii="Arial" w:eastAsia="Arial" w:hAnsi="Arial" w:cs="Arial"/>
          <w:color w:val="000000"/>
          <w:bdr w:val="none" w:sz="0" w:space="0" w:color="auto" w:frame="1"/>
          <w:lang w:val="en-US"/>
        </w:rPr>
        <w:t xml:space="preserve"> regulations are finalized.</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Non-military, non-recreational vessels greater than 79 feet in length must continue to comply with the requirements of the VGP, including submission of a Notice of Intent (“NOI”) or retention of a PARI form and submission of annual reports. We have submitted NOIs for our vessels where required.</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 xml:space="preserve">Compliance with the EPA, U.S. Coast Guard and state regulations could require the installation of ballast water treatment equipment on our vessels or the implementation of other port facility disposal procedures at potentially substantial </w:t>
      </w:r>
      <w:r w:rsidR="00305AAA" w:rsidRPr="00305AAA">
        <w:rPr>
          <w:rFonts w:ascii="Arial" w:eastAsia="Arial" w:hAnsi="Arial" w:cs="Arial"/>
          <w:color w:val="000000"/>
          <w:bdr w:val="none" w:sz="0" w:space="0" w:color="auto" w:frame="1"/>
          <w:lang w:val="en-US"/>
        </w:rPr>
        <w:t>cost or</w:t>
      </w:r>
      <w:r w:rsidRPr="00305AAA">
        <w:rPr>
          <w:rFonts w:ascii="Arial" w:eastAsia="Arial" w:hAnsi="Arial" w:cs="Arial"/>
          <w:color w:val="000000"/>
          <w:bdr w:val="none" w:sz="0" w:space="0" w:color="auto" w:frame="1"/>
          <w:lang w:val="en-US"/>
        </w:rPr>
        <w:t xml:space="preserve"> may otherwise restrict our vessels from entering U.S. waters.</w:t>
      </w:r>
    </w:p>
    <w:p w14:paraId="71F3E534"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35"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European Union Regulations</w:t>
      </w:r>
    </w:p>
    <w:p w14:paraId="71F3E536"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3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In October 2009, the European Union amended a directive to impose criminal sanctions for illicit ship-source discharges of polluting substances, including minor discharges, if committed with intent, recklessly or with serious negligence and the discharges individually or in the aggregate result in deterioration of the quality of water. Aiding and abetting the discharge of a polluting substance may also lead to criminal penalties. The directive applies to all types of vessels, irrespective of their flag, but certain exceptions apply to warships or where human safety or that of the ship is in danger. Criminal liability for pollution may result in substantial penalties or fines and increased civil liability claims. Regulation (EU) 2015/757 of the European Parliament and of the Council of 29 April 2015 (amending EU Directive 2009/16/EC) governs the monitoring, reporting and verification of carbon dioxide emissions from maritime transport, and, subject to some exclusions, requires companies with ships over 5,000 gross tonnages to monitor and report carbon dioxide emissions annually, which may cause us to incur additional expenses.</w:t>
      </w:r>
    </w:p>
    <w:p w14:paraId="71F3E53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39"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European Union has adopted several regulations and directives requiring, among other things, more frequent inspections of high-risk ships, as determined by type, age, and flag as well as the number of times the ship has been detained. The European Union also adopted and extended a ban on substandard ships and enacted a minimum ban period and a definitive ban for repeated offenses. The regulation also provided the European Union with greater authority and control over classification societies, by imposing more requirements on classification societies and providing for fines or penalty payments for organizations that failed to comply. Furthermore, the EU has implemented regulations requiring vessels to use reduced sulfur content fuel for their main and auxiliary engines. The EU Directive 2005/33/EC (amending Directive 1999/32/EC) introduced requirements parallel to those in Annex VI relating to the sulfur content of marine fuels. In addition, the EU imposed a 0.1% maximum sulfur requirement for fuel used by ships at berth in the Baltic, the North Sea and the English Channel (the so called “SOx-Emission Control Area”). As of January 2020, EU member states must also ensure that ships in all EU waters, except the SOx-Emission Control Area, use fuels with a 0.5% maximum sulfur content.</w:t>
      </w:r>
    </w:p>
    <w:p w14:paraId="71F3E53A"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3B"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bdr w:val="none" w:sz="0" w:space="0" w:color="auto" w:frame="1"/>
          <w:lang w:val="en-US"/>
        </w:rPr>
        <w:t xml:space="preserve">On September 15, 2020, the European Parliament voted to include greenhouse gas emissions from the maritime sector in the European Union’s carbon market, the EU Emissions Trading System (“EU ETS”) as part of its “Fit-for-55” legislation to reduce net greenhouse gas emissions by at least 55% by 2030. This will require shipowners to buy permits to cover these emissions. On December 18, 2022, the Environmental Council and European Parliament agreed on a gradual introduction of obligations for shipping companies to surrender allowances equivalent to a portion of their carbon emissions: 40% for verified emissions from 2024, 70% for 2025 and 100% for 2026. Most large vessels will be included in the scope of the EU ETS from the start. Big offshore vessels of 5,000 gross tonnage and above will be included in the 'MRV' on the monitoring, reporting and verification of CO2 emissions from maritime transport regulation from 2025 and in the EU ETS from 2027. General cargo vessels and off-shore vessels between 400-5,000 gross tonnage will be included in the MRV regulation from 2025 and their inclusion in EU ETS will be reviewed in 2026. Furthermore, starting from January 1, 2026, the ETS regulations will expand to include emissions of two additional greenhouse gases: nitrous oxide and methane. </w:t>
      </w:r>
    </w:p>
    <w:p w14:paraId="71F3E53C" w14:textId="77777777" w:rsidR="0095309A" w:rsidRDefault="0095309A" w:rsidP="00305AAA">
      <w:pPr>
        <w:pBdr>
          <w:top w:val="nil"/>
          <w:left w:val="nil"/>
          <w:bottom w:val="nil"/>
          <w:right w:val="nil"/>
          <w:between w:val="nil"/>
          <w:bar w:val="nil"/>
        </w:pBdr>
        <w:jc w:val="both"/>
        <w:rPr>
          <w:rFonts w:ascii="Arial" w:eastAsia="Arial" w:hAnsi="Arial" w:cs="Arial"/>
          <w:color w:val="000000"/>
          <w:bdr w:val="nil"/>
          <w:lang w:val="en-US"/>
        </w:rPr>
      </w:pPr>
    </w:p>
    <w:p w14:paraId="71F3E53D" w14:textId="77777777" w:rsidR="0095309A" w:rsidRPr="0095309A" w:rsidRDefault="003A4815" w:rsidP="0095309A">
      <w:pPr>
        <w:pBdr>
          <w:top w:val="nil"/>
          <w:left w:val="nil"/>
          <w:bottom w:val="nil"/>
          <w:right w:val="nil"/>
          <w:between w:val="nil"/>
          <w:bar w:val="nil"/>
        </w:pBdr>
        <w:jc w:val="both"/>
        <w:rPr>
          <w:rFonts w:ascii="Arial" w:eastAsia="Arial" w:hAnsi="Arial" w:cs="Arial"/>
          <w:color w:val="000000"/>
          <w:bdr w:val="nil"/>
          <w:lang w:val="en-US"/>
        </w:rPr>
      </w:pPr>
      <w:r w:rsidRPr="0095309A">
        <w:rPr>
          <w:rFonts w:ascii="Arial" w:eastAsia="Arial" w:hAnsi="Arial" w:cs="Arial"/>
          <w:color w:val="000000"/>
          <w:szCs w:val="24"/>
          <w:lang w:val="en-US"/>
        </w:rPr>
        <w:t xml:space="preserve">From January 1, 2025, </w:t>
      </w:r>
      <w:bookmarkStart w:id="120" w:name="_cp_change_345"/>
      <w:bookmarkStart w:id="121" w:name="_cp_change_340"/>
      <w:bookmarkStart w:id="122" w:name="_cp_change_341"/>
      <w:bookmarkEnd w:id="120"/>
      <w:bookmarkEnd w:id="121"/>
      <w:bookmarkEnd w:id="122"/>
      <w:r w:rsidRPr="0095309A">
        <w:rPr>
          <w:rFonts w:ascii="Arial" w:eastAsia="Arial" w:hAnsi="Arial" w:cs="Arial"/>
          <w:color w:val="000000"/>
          <w:szCs w:val="24"/>
          <w:lang w:val="en-US"/>
        </w:rPr>
        <w:t>the EU adopted the FuelEU Maritime regulation, a proposal included in the "Fit-for-55" legislation. FuelEU Maritime sets requirements on the annual average GHG intensity of energy used by ships trading within the EU or European Economic Area (EEA). This intensity is measured as GHG emissions per energy unit (gCO2e/MJ) and, in turn, GHG emissions are calculated in a well-to-wake perspective. The calculation takes into account emissions related to the extraction, cultivation, production and transportation of fuel, in addition to emissions from energy used on board the ship. The baseline for the calculation is the average well-to-wake GHG intensity of the fleet in 2020: 91.16 gCO2e/MJ. This will start at a 2% reduction in 2025, increasing to 6% in 2030, and accelerating from 2035 to reach an 80% reduction by 2050.</w:t>
      </w:r>
    </w:p>
    <w:p w14:paraId="71F3E53E" w14:textId="77777777" w:rsidR="0095309A" w:rsidRDefault="0095309A" w:rsidP="00305AAA">
      <w:pPr>
        <w:pBdr>
          <w:top w:val="nil"/>
          <w:left w:val="nil"/>
          <w:bottom w:val="nil"/>
          <w:right w:val="nil"/>
          <w:between w:val="nil"/>
          <w:bar w:val="nil"/>
        </w:pBdr>
        <w:jc w:val="both"/>
        <w:rPr>
          <w:rFonts w:ascii="Arial" w:eastAsia="Arial" w:hAnsi="Arial" w:cs="Arial"/>
          <w:color w:val="000000"/>
          <w:bdr w:val="nil"/>
          <w:lang w:val="en-US"/>
        </w:rPr>
      </w:pPr>
    </w:p>
    <w:p w14:paraId="71F3E53F" w14:textId="77777777" w:rsidR="00C77852" w:rsidRPr="00C77852" w:rsidRDefault="003A4815" w:rsidP="00C77852">
      <w:pPr>
        <w:pBdr>
          <w:top w:val="nil"/>
          <w:left w:val="nil"/>
          <w:bottom w:val="nil"/>
          <w:right w:val="nil"/>
          <w:between w:val="nil"/>
          <w:bar w:val="nil"/>
        </w:pBdr>
        <w:jc w:val="both"/>
        <w:rPr>
          <w:rFonts w:ascii="Arial" w:eastAsia="Arial" w:hAnsi="Arial" w:cs="Arial"/>
          <w:color w:val="000000"/>
          <w:bdr w:val="nil"/>
          <w:lang w:val="en-US"/>
        </w:rPr>
      </w:pPr>
      <w:r w:rsidRPr="00C77852">
        <w:rPr>
          <w:rFonts w:ascii="Arial" w:eastAsia="Arial" w:hAnsi="Arial" w:cs="Arial"/>
          <w:color w:val="000000"/>
          <w:szCs w:val="24"/>
          <w:lang w:val="en-US"/>
        </w:rPr>
        <w:t>Compliance with the Maritime EU ETS and FuelEU Maritime regulations will result in additional compliance and administration costs to properly incorporate the provisions of the Directive into our business routines. Additional EU regulations which are part of the EU’s "Fit-for-55," could also affect our financial position in terms of compliance and administration costs when they take effect.</w:t>
      </w:r>
    </w:p>
    <w:p w14:paraId="71F3E540"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541" w14:textId="77777777" w:rsidR="00E82FBC" w:rsidRDefault="003A4815" w:rsidP="00030D46">
      <w:pPr>
        <w:keepNext/>
        <w:keepLines/>
        <w:pBdr>
          <w:top w:val="nil"/>
          <w:left w:val="nil"/>
          <w:bottom w:val="nil"/>
          <w:right w:val="nil"/>
          <w:between w:val="nil"/>
          <w:bar w:val="nil"/>
        </w:pBdr>
        <w:jc w:val="both"/>
        <w:rPr>
          <w:rFonts w:ascii="Arial" w:eastAsia="Arial" w:hAnsi="Arial" w:cs="Arial"/>
          <w:bCs/>
          <w:i/>
          <w:iCs/>
          <w:bdr w:val="nil"/>
          <w:lang w:val="en-US"/>
        </w:rPr>
      </w:pPr>
      <w:r w:rsidRPr="00305AAA">
        <w:rPr>
          <w:rFonts w:ascii="Arial" w:eastAsia="Arial" w:hAnsi="Arial" w:cs="Arial"/>
          <w:bCs/>
          <w:i/>
          <w:iCs/>
          <w:bdr w:val="none" w:sz="0" w:space="0" w:color="auto" w:frame="1"/>
          <w:lang w:val="en-US"/>
        </w:rPr>
        <w:t>EU Ship Recycling Regulation</w:t>
      </w:r>
    </w:p>
    <w:p w14:paraId="71F3E542"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43" w14:textId="77777777" w:rsidR="00E82FBC" w:rsidRDefault="003A4815" w:rsidP="00305AA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bdr w:val="none" w:sz="0" w:space="0" w:color="auto" w:frame="1"/>
          <w:lang w:val="en-GB"/>
        </w:rPr>
        <w:t>The Regulation is mostly aligned with the Hong Kong Convention on Ship Recycling, mentioned earlier and aims quick ratification of the Convention. However, it sets some additional requirements and has been into force since 2015 for new ships and 2020 for existing ships. It concerns vessels over 500 GT flying the flag of a member state or vessels flying the flag of a 3</w:t>
      </w:r>
      <w:r w:rsidRPr="00305AAA">
        <w:rPr>
          <w:rFonts w:ascii="Arial" w:eastAsia="Arial" w:hAnsi="Arial" w:cs="Arial"/>
          <w:bdr w:val="none" w:sz="0" w:space="0" w:color="auto" w:frame="1"/>
          <w:vertAlign w:val="superscript"/>
          <w:lang w:val="en-GB"/>
        </w:rPr>
        <w:t>rd</w:t>
      </w:r>
      <w:r w:rsidRPr="00305AAA">
        <w:rPr>
          <w:rFonts w:ascii="Arial" w:eastAsia="Arial" w:hAnsi="Arial" w:cs="Arial"/>
          <w:bdr w:val="none" w:sz="0" w:space="0" w:color="auto" w:frame="1"/>
          <w:lang w:val="en-GB"/>
        </w:rPr>
        <w:t xml:space="preserve"> party calling at port or anchorage of member states. </w:t>
      </w:r>
      <w:r w:rsidRPr="00305AAA">
        <w:rPr>
          <w:rFonts w:ascii="Arial" w:eastAsia="Arial" w:hAnsi="Arial" w:cs="Arial"/>
          <w:bdr w:val="none" w:sz="0" w:space="0" w:color="auto" w:frame="1"/>
          <w:lang w:val="en-US"/>
        </w:rPr>
        <w:t>Our fleet fully complies with this regulation. Our fleet’s Inventories of Hazardous Materials preparation, certification and continuous maintenance have resulted in a significant cost to the Company.</w:t>
      </w:r>
    </w:p>
    <w:p w14:paraId="71F3E544"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45"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International Labour Organization</w:t>
      </w:r>
    </w:p>
    <w:p w14:paraId="71F3E546"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4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International Labour Organization (the “ILO”) is a specialized agency of the UN that has adopted the Maritime Labor Convention 2006 (“MLC 2006”). A Maritime Labor Certificate and a Declaration of Maritime Labor Compliance is required to ensure compliance with the MLC 2006 for all ships that are 500 gross tonnage or over and are either engaged in international voyages or flying the flag of a Member and operating from a port, or between ports, in another country.</w:t>
      </w:r>
      <w:r w:rsidR="00C046D7">
        <w:rPr>
          <w:rFonts w:ascii="Arial" w:eastAsia="Arial" w:hAnsi="Arial" w:cs="Arial"/>
          <w:color w:val="000000"/>
          <w:bdr w:val="none" w:sz="0" w:space="0" w:color="auto" w:frame="1"/>
          <w:lang w:val="en-US"/>
        </w:rPr>
        <w:t xml:space="preserve"> </w:t>
      </w:r>
      <w:r w:rsidRPr="00305AAA">
        <w:rPr>
          <w:rFonts w:ascii="Arial" w:eastAsia="Arial" w:hAnsi="Arial" w:cs="Arial"/>
          <w:color w:val="000000"/>
          <w:lang w:val="en-US"/>
        </w:rPr>
        <w:t>All of our vessels are certified under the Maritime Labor Convention 2006 (“MLC 2006”)</w:t>
      </w:r>
      <w:r w:rsidR="00562FB3">
        <w:rPr>
          <w:rFonts w:ascii="Arial" w:eastAsia="Arial" w:hAnsi="Arial" w:cs="Arial"/>
          <w:color w:val="000000"/>
          <w:lang w:val="en-US"/>
        </w:rPr>
        <w:t>.</w:t>
      </w:r>
    </w:p>
    <w:p w14:paraId="71F3E54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49"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Greenhouse Gas Regulation</w:t>
      </w:r>
    </w:p>
    <w:p w14:paraId="71F3E54A"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4B" w14:textId="77777777" w:rsidR="00E82FBC" w:rsidRPr="00FF50CC" w:rsidRDefault="003A4815" w:rsidP="00FF50CC">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Currently, the emissions of greenhouse gases from international shipping are not subject to the Kyoto Protocol to the United Nations Framework Convention on Climate Change, which entered into force in 2005 and pursuant to which adopting countries have been required to implement national programs to reduce greenhouse gas emissions with targets extended through 2020. International negotiations are continuing with respect to a successor to the Kyoto Protocol, and restrictions on shipping emissions may be included in any new treaty. In December 2009, more than 27 nations, including the U.S. and China, signed the Copenhagen Accord, which includes a non-binding commitment to reduce greenhouse gas emissions.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 xml:space="preserve">The 2015 United Nations Climate Change Conference in Paris resulted in the Paris Agreement, which entered into force on November 4, 2016 and does not directly limit greenhouse gas emissions from ships. The U.S. </w:t>
      </w:r>
      <w:r w:rsidR="002F102A">
        <w:rPr>
          <w:rFonts w:ascii="Arial" w:eastAsia="Arial" w:hAnsi="Arial" w:cs="Arial"/>
          <w:color w:val="000000"/>
          <w:bdr w:val="none" w:sz="0" w:space="0" w:color="auto" w:frame="1"/>
          <w:lang w:val="en-US"/>
        </w:rPr>
        <w:t>is not a party to</w:t>
      </w:r>
      <w:r w:rsidR="00FF50CC" w:rsidRPr="00FF50CC">
        <w:rPr>
          <w:rFonts w:ascii="Arial" w:eastAsia="Arial" w:hAnsi="Arial" w:cs="Arial"/>
          <w:color w:val="000000"/>
          <w:szCs w:val="24"/>
          <w:lang w:val="en-US"/>
        </w:rPr>
        <w:t xml:space="preserve"> the Paris Agreement.</w:t>
      </w:r>
    </w:p>
    <w:p w14:paraId="71F3E54C" w14:textId="77777777" w:rsidR="00305AAA" w:rsidRPr="00305AAA" w:rsidRDefault="00305AAA" w:rsidP="00305AAA">
      <w:pPr>
        <w:pBdr>
          <w:top w:val="nil"/>
          <w:left w:val="nil"/>
          <w:bottom w:val="nil"/>
          <w:right w:val="nil"/>
          <w:between w:val="nil"/>
          <w:bar w:val="nil"/>
        </w:pBdr>
        <w:jc w:val="both"/>
        <w:rPr>
          <w:rFonts w:ascii="Arial" w:eastAsia="Arial" w:hAnsi="Arial" w:cs="Arial"/>
          <w:color w:val="000000"/>
          <w:bdr w:val="nil"/>
          <w:lang w:val="en-US"/>
        </w:rPr>
      </w:pPr>
    </w:p>
    <w:p w14:paraId="71F3E54D" w14:textId="77777777" w:rsidR="002F102A" w:rsidRPr="002F102A" w:rsidRDefault="003A4815" w:rsidP="002F102A">
      <w:pPr>
        <w:pBdr>
          <w:top w:val="nil"/>
          <w:left w:val="nil"/>
          <w:bottom w:val="nil"/>
          <w:right w:val="nil"/>
          <w:between w:val="nil"/>
          <w:bar w:val="nil"/>
        </w:pBdr>
        <w:jc w:val="both"/>
        <w:rPr>
          <w:rFonts w:ascii="Arial" w:eastAsia="Arial" w:hAnsi="Arial" w:cs="Arial"/>
          <w:color w:val="000000"/>
          <w:bdr w:val="nil"/>
          <w:lang w:val="en-US"/>
        </w:rPr>
      </w:pPr>
      <w:r w:rsidRPr="002F102A">
        <w:rPr>
          <w:rFonts w:ascii="Arial" w:eastAsia="Arial" w:hAnsi="Arial" w:cs="Arial"/>
          <w:color w:val="000000"/>
          <w:bdr w:val="none" w:sz="0" w:space="0" w:color="auto" w:frame="1"/>
          <w:lang w:val="en-US"/>
        </w:rPr>
        <w:t xml:space="preserve">At MEPC 70 and MEPC 71, a draft outline of the structure of the initial strategy for developing a comprehensive IMO strategy on reduction of greenhouse gas emissions from ships was approved. In accordance with this roadmap, in April 2018, nations at the MEPC 72 adopted an initial strategy to reduce greenhouse gas emissions from ships. The initial strategy identifies “levels of ambition” to reduce greenhouse gas emissions and notes that technological innovation, alternative fuels and/or energy sources for international shipping will be integral to achieve the overall ambition. These regulations could cause us to incur additional substantial expenses. At MEPC 77, the Member States agreed to initiate the revision of the Initial IMO Strategy on Reduction of GHG emissions from ships, recognizing the need to strengthen the </w:t>
      </w:r>
      <w:bookmarkStart w:id="123" w:name="_cp_change_370"/>
      <w:r w:rsidRPr="002F102A">
        <w:rPr>
          <w:rFonts w:ascii="Arial" w:eastAsia="Arial" w:hAnsi="Arial" w:cs="Arial"/>
          <w:color w:val="000000"/>
          <w:bdr w:val="none" w:sz="0" w:space="0" w:color="auto" w:frame="1"/>
          <w:lang w:val="en-US"/>
        </w:rPr>
        <w:t xml:space="preserve">“levels of </w:t>
      </w:r>
      <w:bookmarkEnd w:id="123"/>
      <w:r w:rsidRPr="002F102A">
        <w:rPr>
          <w:rFonts w:ascii="Arial" w:eastAsia="Arial" w:hAnsi="Arial" w:cs="Arial"/>
          <w:color w:val="000000"/>
          <w:bdr w:val="none" w:sz="0" w:space="0" w:color="auto" w:frame="1"/>
          <w:lang w:val="en-US"/>
        </w:rPr>
        <w:t>ambition</w:t>
      </w:r>
      <w:bookmarkStart w:id="124" w:name="_cp_change_371"/>
      <w:bookmarkStart w:id="125" w:name="_cp_change_372"/>
      <w:r w:rsidRPr="002F102A">
        <w:rPr>
          <w:rFonts w:ascii="Arial" w:eastAsia="Arial" w:hAnsi="Arial" w:cs="Arial"/>
          <w:color w:val="000000"/>
          <w:bdr w:val="none" w:sz="0" w:space="0" w:color="auto" w:frame="1"/>
          <w:lang w:val="en-US"/>
        </w:rPr>
        <w:t>.</w:t>
      </w:r>
      <w:bookmarkEnd w:id="124"/>
      <w:r w:rsidRPr="002F102A">
        <w:rPr>
          <w:rFonts w:ascii="Arial" w:eastAsia="Arial" w:hAnsi="Arial" w:cs="Arial"/>
          <w:color w:val="000000"/>
          <w:bdr w:val="none" w:sz="0" w:space="0" w:color="auto" w:frame="1"/>
          <w:lang w:val="en-US"/>
        </w:rPr>
        <w:t>”</w:t>
      </w:r>
      <w:bookmarkEnd w:id="125"/>
      <w:r w:rsidR="003C0625">
        <w:rPr>
          <w:rFonts w:ascii="Arial" w:eastAsia="Arial" w:hAnsi="Arial" w:cs="Arial"/>
          <w:color w:val="000000"/>
          <w:bdr w:val="none" w:sz="0" w:space="0" w:color="auto" w:frame="1"/>
          <w:lang w:val="en-US"/>
        </w:rPr>
        <w:t xml:space="preserve"> </w:t>
      </w:r>
      <w:bookmarkStart w:id="126" w:name="_Hlk193102992"/>
      <w:bookmarkStart w:id="127" w:name="_Hlk161408896"/>
      <w:r w:rsidRPr="002F102A">
        <w:rPr>
          <w:rFonts w:ascii="Arial" w:eastAsia="Arial" w:hAnsi="Arial" w:cs="Arial"/>
          <w:color w:val="000000"/>
          <w:bdr w:val="none" w:sz="0" w:space="0" w:color="auto" w:frame="1"/>
          <w:lang w:val="en-US"/>
        </w:rPr>
        <w:t xml:space="preserve">In July 2023, MEPC 80 adopted </w:t>
      </w:r>
      <w:bookmarkStart w:id="128" w:name="_cp_change_373"/>
      <w:bookmarkStart w:id="129" w:name="_cp_change_374"/>
      <w:r w:rsidRPr="002F102A">
        <w:rPr>
          <w:rFonts w:ascii="Arial" w:eastAsia="Arial" w:hAnsi="Arial" w:cs="Arial"/>
          <w:color w:val="000000"/>
          <w:bdr w:val="none" w:sz="0" w:space="0" w:color="auto" w:frame="1"/>
          <w:lang w:val="en-US"/>
        </w:rPr>
        <w:t>t</w:t>
      </w:r>
      <w:bookmarkEnd w:id="128"/>
      <w:r w:rsidRPr="002F102A">
        <w:rPr>
          <w:rFonts w:ascii="Arial" w:eastAsia="Arial" w:hAnsi="Arial" w:cs="Arial"/>
          <w:color w:val="000000"/>
          <w:bdr w:val="none" w:sz="0" w:space="0" w:color="auto" w:frame="1"/>
          <w:lang w:val="en-US"/>
        </w:rPr>
        <w:t>he 2023 IMO Strategy on Reduction of GHG Emissions from Ships (the “2023 IMO Strategy”), which builds upon the initial strategy’s levels of ambition. The revised levels of ambition include (1) further decreasing the carbon intensity from ships through improvement of energy efficiency; (2) reducing carbon intensity of international shipping; (3) increasing adoption of zero or near-zero emissions technologies, fuels, and energy sources; and (4) achieving net zero GHG</w:t>
      </w:r>
      <w:bookmarkEnd w:id="129"/>
      <w:r w:rsidRPr="002F102A">
        <w:rPr>
          <w:rFonts w:ascii="Arial" w:eastAsia="Arial" w:hAnsi="Arial" w:cs="Arial"/>
          <w:color w:val="000000"/>
          <w:bdr w:val="none" w:sz="0" w:space="0" w:color="auto" w:frame="1"/>
          <w:lang w:val="en-US"/>
        </w:rPr>
        <w:t xml:space="preserve"> emissions from international shipping</w:t>
      </w:r>
      <w:bookmarkStart w:id="130" w:name="_cp_change_375"/>
      <w:bookmarkStart w:id="131" w:name="_cp_change_376"/>
      <w:r w:rsidRPr="002F102A">
        <w:rPr>
          <w:rFonts w:ascii="Arial" w:eastAsia="Arial" w:hAnsi="Arial" w:cs="Arial"/>
          <w:color w:val="000000"/>
          <w:bdr w:val="none" w:sz="0" w:space="0" w:color="auto" w:frame="1"/>
          <w:lang w:val="en-US"/>
        </w:rPr>
        <w:t>.</w:t>
      </w:r>
      <w:bookmarkEnd w:id="130"/>
      <w:r w:rsidRPr="002F102A">
        <w:rPr>
          <w:rFonts w:ascii="Arial" w:eastAsia="Arial" w:hAnsi="Arial" w:cs="Arial"/>
          <w:color w:val="000000"/>
          <w:bdr w:val="none" w:sz="0" w:space="0" w:color="auto" w:frame="1"/>
          <w:lang w:val="en-US"/>
        </w:rPr>
        <w:t xml:space="preserve"> Furthermore, the following indicative checkpoints were adopted in order to reach net zero GHG emissions from international shipping: (1) reduce</w:t>
      </w:r>
      <w:bookmarkEnd w:id="131"/>
      <w:r w:rsidRPr="002F102A">
        <w:rPr>
          <w:rFonts w:ascii="Arial" w:eastAsia="Arial" w:hAnsi="Arial" w:cs="Arial"/>
          <w:color w:val="000000"/>
          <w:bdr w:val="none" w:sz="0" w:space="0" w:color="auto" w:frame="1"/>
          <w:lang w:val="en-US"/>
        </w:rPr>
        <w:t xml:space="preserve"> the total annual </w:t>
      </w:r>
      <w:bookmarkStart w:id="132" w:name="_cp_change_377"/>
      <w:bookmarkStart w:id="133" w:name="_cp_change_378"/>
      <w:r w:rsidRPr="002F102A">
        <w:rPr>
          <w:rFonts w:ascii="Arial" w:eastAsia="Arial" w:hAnsi="Arial" w:cs="Arial"/>
          <w:color w:val="000000"/>
          <w:bdr w:val="none" w:sz="0" w:space="0" w:color="auto" w:frame="1"/>
          <w:lang w:val="en-US"/>
        </w:rPr>
        <w:t>G</w:t>
      </w:r>
      <w:bookmarkEnd w:id="132"/>
      <w:r w:rsidRPr="002F102A">
        <w:rPr>
          <w:rFonts w:ascii="Arial" w:eastAsia="Arial" w:hAnsi="Arial" w:cs="Arial"/>
          <w:color w:val="000000"/>
          <w:bdr w:val="none" w:sz="0" w:space="0" w:color="auto" w:frame="1"/>
          <w:lang w:val="en-US"/>
        </w:rPr>
        <w:t>HG</w:t>
      </w:r>
      <w:bookmarkEnd w:id="133"/>
      <w:r w:rsidRPr="002F102A">
        <w:rPr>
          <w:rFonts w:ascii="Arial" w:eastAsia="Arial" w:hAnsi="Arial" w:cs="Arial"/>
          <w:color w:val="000000"/>
          <w:bdr w:val="none" w:sz="0" w:space="0" w:color="auto" w:frame="1"/>
          <w:lang w:val="en-US"/>
        </w:rPr>
        <w:t xml:space="preserve"> emissions from international shipping by at least 20%, striving for 30%, by 2030, compared to 2008</w:t>
      </w:r>
      <w:bookmarkStart w:id="134" w:name="_cp_change_379"/>
      <w:r w:rsidRPr="002F102A">
        <w:rPr>
          <w:rFonts w:ascii="Arial" w:eastAsia="Arial" w:hAnsi="Arial" w:cs="Arial"/>
          <w:color w:val="000000"/>
          <w:bdr w:val="none" w:sz="0" w:space="0" w:color="auto" w:frame="1"/>
          <w:lang w:val="en-US"/>
        </w:rPr>
        <w:t xml:space="preserve"> levels</w:t>
      </w:r>
      <w:bookmarkEnd w:id="134"/>
      <w:r w:rsidRPr="002F102A">
        <w:rPr>
          <w:rFonts w:ascii="Arial" w:eastAsia="Arial" w:hAnsi="Arial" w:cs="Arial"/>
          <w:color w:val="000000"/>
          <w:bdr w:val="none" w:sz="0" w:space="0" w:color="auto" w:frame="1"/>
          <w:lang w:val="en-US"/>
        </w:rPr>
        <w:t xml:space="preserve">; and </w:t>
      </w:r>
      <w:bookmarkStart w:id="135" w:name="_cp_change_380"/>
      <w:bookmarkStart w:id="136" w:name="_cp_change_381"/>
      <w:r w:rsidRPr="002F102A">
        <w:rPr>
          <w:rFonts w:ascii="Arial" w:eastAsia="Arial" w:hAnsi="Arial" w:cs="Arial"/>
          <w:color w:val="000000"/>
          <w:bdr w:val="none" w:sz="0" w:space="0" w:color="auto" w:frame="1"/>
          <w:lang w:val="en-US"/>
        </w:rPr>
        <w:t>(</w:t>
      </w:r>
      <w:bookmarkEnd w:id="135"/>
      <w:r w:rsidRPr="002F102A">
        <w:rPr>
          <w:rFonts w:ascii="Arial" w:eastAsia="Arial" w:hAnsi="Arial" w:cs="Arial"/>
          <w:color w:val="000000"/>
          <w:bdr w:val="none" w:sz="0" w:space="0" w:color="auto" w:frame="1"/>
          <w:lang w:val="en-US"/>
        </w:rPr>
        <w:t>2) reduce</w:t>
      </w:r>
      <w:bookmarkEnd w:id="136"/>
      <w:r w:rsidRPr="002F102A">
        <w:rPr>
          <w:rFonts w:ascii="Arial" w:eastAsia="Arial" w:hAnsi="Arial" w:cs="Arial"/>
          <w:color w:val="000000"/>
          <w:bdr w:val="none" w:sz="0" w:space="0" w:color="auto" w:frame="1"/>
          <w:lang w:val="en-US"/>
        </w:rPr>
        <w:t xml:space="preserve"> the total annual </w:t>
      </w:r>
      <w:bookmarkStart w:id="137" w:name="_cp_change_382"/>
      <w:bookmarkStart w:id="138" w:name="_cp_change_383"/>
      <w:r w:rsidRPr="002F102A">
        <w:rPr>
          <w:rFonts w:ascii="Arial" w:eastAsia="Arial" w:hAnsi="Arial" w:cs="Arial"/>
          <w:color w:val="000000"/>
          <w:bdr w:val="none" w:sz="0" w:space="0" w:color="auto" w:frame="1"/>
          <w:lang w:val="en-US"/>
        </w:rPr>
        <w:t>G</w:t>
      </w:r>
      <w:bookmarkEnd w:id="137"/>
      <w:r w:rsidRPr="002F102A">
        <w:rPr>
          <w:rFonts w:ascii="Arial" w:eastAsia="Arial" w:hAnsi="Arial" w:cs="Arial"/>
          <w:color w:val="000000"/>
          <w:bdr w:val="none" w:sz="0" w:space="0" w:color="auto" w:frame="1"/>
          <w:lang w:val="en-US"/>
        </w:rPr>
        <w:t>HG</w:t>
      </w:r>
      <w:bookmarkEnd w:id="138"/>
      <w:r w:rsidRPr="002F102A">
        <w:rPr>
          <w:rFonts w:ascii="Arial" w:eastAsia="Arial" w:hAnsi="Arial" w:cs="Arial"/>
          <w:color w:val="000000"/>
          <w:bdr w:val="none" w:sz="0" w:space="0" w:color="auto" w:frame="1"/>
          <w:lang w:val="en-US"/>
        </w:rPr>
        <w:t xml:space="preserve"> emissions from international shipping by at least 70%, striving for 80%, by 2040, compared to 2008 </w:t>
      </w:r>
      <w:bookmarkStart w:id="139" w:name="_cp_change_384"/>
      <w:bookmarkStart w:id="140" w:name="_cp_change_385"/>
      <w:r w:rsidRPr="002F102A">
        <w:rPr>
          <w:rFonts w:ascii="Arial" w:eastAsia="Arial" w:hAnsi="Arial" w:cs="Arial"/>
          <w:color w:val="000000"/>
          <w:bdr w:val="none" w:sz="0" w:space="0" w:color="auto" w:frame="1"/>
          <w:lang w:val="en-US"/>
        </w:rPr>
        <w:t>l</w:t>
      </w:r>
      <w:bookmarkEnd w:id="139"/>
      <w:r w:rsidRPr="002F102A">
        <w:rPr>
          <w:rFonts w:ascii="Arial" w:eastAsia="Arial" w:hAnsi="Arial" w:cs="Arial"/>
          <w:color w:val="000000"/>
          <w:bdr w:val="none" w:sz="0" w:space="0" w:color="auto" w:frame="1"/>
          <w:lang w:val="en-US"/>
        </w:rPr>
        <w:t>evels.</w:t>
      </w:r>
      <w:bookmarkEnd w:id="126"/>
      <w:bookmarkEnd w:id="127"/>
      <w:r w:rsidR="003C0625">
        <w:rPr>
          <w:rFonts w:ascii="Arial" w:eastAsia="Arial" w:hAnsi="Arial" w:cs="Arial"/>
          <w:color w:val="000000"/>
          <w:bdr w:val="none" w:sz="0" w:space="0" w:color="auto" w:frame="1"/>
          <w:lang w:val="en-US"/>
        </w:rPr>
        <w:t xml:space="preserve"> </w:t>
      </w:r>
      <w:r w:rsidRPr="002F102A">
        <w:rPr>
          <w:rFonts w:ascii="Arial" w:eastAsia="Arial" w:hAnsi="Arial" w:cs="Arial"/>
          <w:color w:val="000000"/>
          <w:bdr w:val="none" w:sz="0" w:space="0" w:color="auto" w:frame="1"/>
          <w:lang w:val="en-US"/>
        </w:rPr>
        <w:t>As part of the 2023 IMO Strategy, MPEC also created the IMO Net-zero Framework, which will combine mandatory emissions limits and GHG pricing across the industry.</w:t>
      </w:r>
      <w:r w:rsidR="003C0625">
        <w:rPr>
          <w:rFonts w:ascii="Arial" w:eastAsia="Arial" w:hAnsi="Arial" w:cs="Arial"/>
          <w:color w:val="000000"/>
          <w:bdr w:val="none" w:sz="0" w:space="0" w:color="auto" w:frame="1"/>
          <w:lang w:val="en-US"/>
        </w:rPr>
        <w:t xml:space="preserve"> </w:t>
      </w:r>
      <w:r w:rsidRPr="002F102A">
        <w:rPr>
          <w:rFonts w:ascii="Arial" w:eastAsia="Arial" w:hAnsi="Arial" w:cs="Arial"/>
          <w:color w:val="000000"/>
          <w:bdr w:val="none" w:sz="0" w:space="0" w:color="auto" w:frame="1"/>
          <w:lang w:val="en-US"/>
        </w:rPr>
        <w:t>The IMO Net-zero Framework was approved</w:t>
      </w:r>
      <w:bookmarkEnd w:id="140"/>
      <w:r w:rsidRPr="002F102A">
        <w:rPr>
          <w:rFonts w:ascii="Arial" w:eastAsia="Arial" w:hAnsi="Arial" w:cs="Arial"/>
          <w:color w:val="000000"/>
          <w:bdr w:val="none" w:sz="0" w:space="0" w:color="auto" w:frame="1"/>
          <w:lang w:val="en-US"/>
        </w:rPr>
        <w:t xml:space="preserve"> at MEPC 83 (Spring 2025) for </w:t>
      </w:r>
      <w:bookmarkStart w:id="141" w:name="_cp_change_386"/>
      <w:r w:rsidRPr="002F102A">
        <w:rPr>
          <w:rFonts w:ascii="Arial" w:eastAsia="Arial" w:hAnsi="Arial" w:cs="Arial"/>
          <w:color w:val="000000"/>
          <w:bdr w:val="none" w:sz="0" w:space="0" w:color="auto" w:frame="1"/>
          <w:lang w:val="en-US"/>
        </w:rPr>
        <w:t xml:space="preserve">potential </w:t>
      </w:r>
      <w:bookmarkEnd w:id="141"/>
      <w:r w:rsidRPr="002F102A">
        <w:rPr>
          <w:rFonts w:ascii="Arial" w:eastAsia="Arial" w:hAnsi="Arial" w:cs="Arial"/>
          <w:color w:val="000000"/>
          <w:bdr w:val="none" w:sz="0" w:space="0" w:color="auto" w:frame="1"/>
          <w:lang w:val="en-US"/>
        </w:rPr>
        <w:t xml:space="preserve">adoption in </w:t>
      </w:r>
      <w:bookmarkStart w:id="142" w:name="_cp_change_388"/>
      <w:bookmarkStart w:id="143" w:name="_cp_change_387"/>
      <w:bookmarkEnd w:id="142"/>
      <w:r w:rsidRPr="002F102A">
        <w:rPr>
          <w:rFonts w:ascii="Arial" w:eastAsia="Arial" w:hAnsi="Arial" w:cs="Arial"/>
          <w:color w:val="000000"/>
          <w:bdr w:val="none" w:sz="0" w:space="0" w:color="auto" w:frame="1"/>
          <w:lang w:val="en-US"/>
        </w:rPr>
        <w:t>S</w:t>
      </w:r>
      <w:bookmarkEnd w:id="143"/>
      <w:r w:rsidRPr="002F102A">
        <w:rPr>
          <w:rFonts w:ascii="Arial" w:eastAsia="Arial" w:hAnsi="Arial" w:cs="Arial"/>
          <w:color w:val="000000"/>
          <w:bdr w:val="none" w:sz="0" w:space="0" w:color="auto" w:frame="1"/>
          <w:lang w:val="en-US"/>
        </w:rPr>
        <w:t>pring 2026 and will eventually be included in Annex VI.</w:t>
      </w:r>
      <w:r w:rsidR="003C0625">
        <w:rPr>
          <w:rFonts w:ascii="Arial" w:eastAsia="Arial" w:hAnsi="Arial" w:cs="Arial"/>
          <w:color w:val="000000"/>
          <w:bdr w:val="none" w:sz="0" w:space="0" w:color="auto" w:frame="1"/>
          <w:lang w:val="en-US"/>
        </w:rPr>
        <w:t xml:space="preserve"> </w:t>
      </w:r>
      <w:r w:rsidRPr="002F102A">
        <w:rPr>
          <w:rFonts w:ascii="Arial" w:eastAsia="Arial" w:hAnsi="Arial" w:cs="Arial"/>
          <w:color w:val="000000"/>
          <w:bdr w:val="none" w:sz="0" w:space="0" w:color="auto" w:frame="1"/>
          <w:lang w:val="en-US"/>
        </w:rPr>
        <w:t>Under these draft regulations, ships will be required to reduce their annual greenhouse gas fuel intensity (“GFI”) calculated using the well-to-wake approach and ships emitting above GFI thresholds will have to acquire remedial units to balance its deficit emissions, while those using zero or near-zero GHG technologies will be eligible for financial rewards.</w:t>
      </w:r>
    </w:p>
    <w:p w14:paraId="71F3E54E"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4F" w14:textId="77777777" w:rsidR="00E82FBC" w:rsidRPr="001D4E09" w:rsidRDefault="003A4815" w:rsidP="001D4E09">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EU made a unilateral commitment to reduce overall greenhouse gas emissions from its member states from 20% of 1990 levels by 2020. The EU also committed to reduce its emissions by 20% under the Kyoto Protocol’s second period from 2013 to 2020. Starting in January 2018, large ships over 5,000 gross tonnage calling at EU ports are required to collect and publish data on carbon dioxide emissions and other information.</w:t>
      </w:r>
      <w:r>
        <w:rPr>
          <w:rFonts w:ascii="Arial" w:eastAsia="Arial" w:hAnsi="Arial" w:cs="Arial"/>
          <w:color w:val="000000"/>
          <w:szCs w:val="24"/>
          <w:lang w:val="en-US"/>
        </w:rPr>
        <w:t xml:space="preserve"> Under the European Climate Law, the EU committed to reduce its net greenhouse gas emissions by at least 55% by 2030 through its “Fit-for-55” legislation package. As part of this initiative, the European Union’s carbon market</w:t>
      </w:r>
      <w:r w:rsidRPr="001D4E09">
        <w:rPr>
          <w:rFonts w:ascii="Arial" w:eastAsia="Arial" w:hAnsi="Arial" w:cs="Arial"/>
          <w:color w:val="000000"/>
          <w:szCs w:val="24"/>
          <w:lang w:val="en-US"/>
        </w:rPr>
        <w:t>, EU ETS, has been extended to cover CO2</w:t>
      </w:r>
      <w:r>
        <w:rPr>
          <w:rFonts w:ascii="Arial" w:eastAsia="Arial" w:hAnsi="Arial" w:cs="Arial"/>
          <w:color w:val="000000"/>
          <w:szCs w:val="24"/>
          <w:lang w:val="en-US"/>
        </w:rPr>
        <w:t xml:space="preserve"> </w:t>
      </w:r>
      <w:r w:rsidRPr="001D4E09">
        <w:rPr>
          <w:rFonts w:ascii="Arial" w:eastAsia="Arial" w:hAnsi="Arial" w:cs="Arial"/>
          <w:color w:val="000000"/>
          <w:szCs w:val="24"/>
          <w:lang w:val="en-US"/>
        </w:rPr>
        <w:t>emissions from all large ships entering EU ports starting January 2024.</w:t>
      </w:r>
    </w:p>
    <w:p w14:paraId="71F3E550"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1"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Any passage of climate control legislation or other regulatory initiatives by the IMO, the EU, the</w:t>
      </w:r>
      <w:r w:rsidR="00C046D7">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U.S. or other countries where we operate, or any treaty adopted at the international level to succeed the Kyoto Protocol or Paris Agreement, that restricts emissions of greenhouse gases could require us to make significant financial expenditures which we cannot predict with certainty at this time. Even in the absence of climate control legislation, our business may be indirectly affected to the extent that climate change may result in sea level changes or certain weather events.</w:t>
      </w:r>
    </w:p>
    <w:p w14:paraId="71F3E552"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3"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Vessel Security Regulations</w:t>
      </w:r>
    </w:p>
    <w:p w14:paraId="71F3E554"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55"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Since the terrorist attacks of September 11, 2001 in the United States, there have been a variety of initiatives intended to enhance vessel security such as the U.S. Maritime Transportation Security Act of 2002 (“MTSA”). To implement certain portions of the MTSA, the USCG issued regulations requiring the implementation of certain security requirements aboard vessels operating in waters subject to the jurisdiction of the United States and at certain ports and facilities, some of which are regulated by the EPA.</w:t>
      </w:r>
    </w:p>
    <w:p w14:paraId="71F3E556"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Similarly, Chapter XI-2 of the SOLAS Convention imposes detailed security obligations on vessels and port authorities and mandates compliance with the International Ship and Port Facility Security Code (“the ISPS Code”). The ISPS Code is designed to enhance the security of ports and ships against terrorism. To trade internationally, a vessel must attain an International Ship Security Certificate</w:t>
      </w:r>
      <w:r w:rsidR="00C046D7">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(“ISSC”) from a recognized security organization approved by the vessel’s flag state. Ships operating without a valid certificate may be detained, expelled from, or refused entry at port until they obtain an ISSC.</w:t>
      </w:r>
    </w:p>
    <w:p w14:paraId="71F3E55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9"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USCG regulations, intended to align with international maritime security standards, exempt non-U.S. vessels from MTSA vessel security measures, provided such vessels have on board a valid ISSC that attests to the vessel’s compliance with the SOLAS Convention security requirements and the ISPS Code. Future security measures could have a significant financial impact on us.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We intend to comply with the various security measures addressed by MTSA, the SOLAS Convention and the ISPS Code.</w:t>
      </w:r>
      <w:r>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cost of vessel security measures has also been affected by the escalation in the frequency of acts of piracy against ships, notably off the coast of Somalia, including the Gulf of Aden and Arabian Sea area. Substantial loss of revenue and other costs may be incurred as a result of detention of a vessel or additional security measures, and the risk of uninsured losses could significantly affect our business. Costs are incurred in taking additional security measures in accordance with Best Management Practices to Deter Piracy, notably those contained in the BMP5 industry standard.</w:t>
      </w:r>
    </w:p>
    <w:p w14:paraId="71F3E55A"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B" w14:textId="77777777" w:rsidR="00E82FBC" w:rsidRDefault="003A4815" w:rsidP="00030D46">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Inspection by Flag administration and Classification Societies</w:t>
      </w:r>
    </w:p>
    <w:p w14:paraId="71F3E55C"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bCs/>
          <w:iCs/>
          <w:bdr w:val="nil"/>
          <w:lang w:val="en-US"/>
        </w:rPr>
      </w:pPr>
    </w:p>
    <w:p w14:paraId="71F3E55D"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 xml:space="preserve">The flag represents the nationality of the ship, showing that it’s under the control of the registered country and must comply with international and maritime law of it. The flag is required to take measures to ensure safety at sea and should verify that ships under its authority, conform </w:t>
      </w:r>
      <w:r w:rsidR="00B913A3">
        <w:rPr>
          <w:rFonts w:ascii="Arial" w:eastAsia="Arial" w:hAnsi="Arial" w:cs="Arial"/>
          <w:color w:val="000000"/>
          <w:bdr w:val="none" w:sz="0" w:space="0" w:color="auto" w:frame="1"/>
          <w:lang w:val="en-US"/>
        </w:rPr>
        <w:t xml:space="preserve">to </w:t>
      </w:r>
      <w:r w:rsidRPr="00305AAA">
        <w:rPr>
          <w:rFonts w:ascii="Arial" w:eastAsia="Arial" w:hAnsi="Arial" w:cs="Arial"/>
          <w:color w:val="000000"/>
          <w:bdr w:val="none" w:sz="0" w:space="0" w:color="auto" w:frame="1"/>
          <w:lang w:val="en-US"/>
        </w:rPr>
        <w:t>relevant international standards, in regard to construction, design, equipment and manning of ships, through on board physical inspections.</w:t>
      </w:r>
    </w:p>
    <w:p w14:paraId="71F3E55E"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5F"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hull and machinery of every commercial vessel must be classed by a classification society authorized by its country of registry. The classification society certifies that a vessel is safe and seaworthy in accordance with the applicable rules and regulations of the country of registry of the vessel and SOLAS. Most insurance underwriters make it a condition for insurance coverage and lending that a vessel be certified “in class” by a classification society which is a member of the International Association of Classification Societies, the IACS.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IACS has adopted harmonized Common Structural Rules, or “the Rules”, which apply to oil tankers and bulk carriers contracted for construction on or after July 1, 2015.</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The Rules attempt to create a level of consistency between IACS Societies.</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All of our vessels are certified as being “in class” by all the applicable Classification Societies (e.g., American Bureau of Shipping, Lloyd's Register of Shipping).</w:t>
      </w:r>
    </w:p>
    <w:p w14:paraId="71F3E560"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61"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A vessel must undergo annual surveys, intermediate surveys, drydockings and special surveys. In lieu of a special survey, a vessel’s machinery may be on a continuous survey cycle, under which the machinery would be surveyed periodically over a five-year period. Every vessel should have a minimum of two examinations of the outside of a vessel's bottom and related items during each five-year special survey period. One such examination is to be carried out in conjunction with the Special Periodical Survey. In all cases, the interval between any two such examinations is not to exceed 36 months. In all cases, the interval between any two such examinations is not to exceed 36 months. If any vessel does not maintain its class and/or fails any annual survey, intermediate survey, drydocking or special survey, the vessel will be unable to carry cargo between ports and will be unemployable and uninsurable which could cause us to be in violation of certain covenants in our loan agreements. Any such inability to carry cargo or be employed, or any such violation of covenants, could have a material adverse impact on our financial condition and results of operations.</w:t>
      </w:r>
    </w:p>
    <w:p w14:paraId="71F3E562"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63" w14:textId="77777777" w:rsidR="00E82FBC" w:rsidRDefault="003A4815" w:rsidP="009D22F9">
      <w:pPr>
        <w:keepNext/>
        <w:keepLines/>
        <w:pBdr>
          <w:top w:val="nil"/>
          <w:left w:val="nil"/>
          <w:bottom w:val="nil"/>
          <w:right w:val="nil"/>
          <w:between w:val="nil"/>
          <w:bar w:val="nil"/>
        </w:pBdr>
        <w:jc w:val="both"/>
        <w:rPr>
          <w:rFonts w:ascii="Arial" w:eastAsia="Arial" w:hAnsi="Arial" w:cs="Arial"/>
          <w:b/>
          <w:bCs/>
          <w:i/>
          <w:iCs/>
          <w:color w:val="000000"/>
          <w:bdr w:val="nil"/>
          <w:lang w:val="en-US"/>
        </w:rPr>
      </w:pPr>
      <w:r w:rsidRPr="00305AAA">
        <w:rPr>
          <w:rFonts w:ascii="Arial" w:eastAsia="Arial" w:hAnsi="Arial" w:cs="Arial"/>
          <w:b/>
          <w:bCs/>
          <w:i/>
          <w:iCs/>
          <w:color w:val="000000"/>
          <w:bdr w:val="none" w:sz="0" w:space="0" w:color="auto" w:frame="1"/>
          <w:lang w:val="en-US"/>
        </w:rPr>
        <w:t>Risk of Loss and Liability Insurance</w:t>
      </w:r>
    </w:p>
    <w:p w14:paraId="71F3E564" w14:textId="77777777" w:rsidR="00305AAA" w:rsidRPr="00305AAA" w:rsidRDefault="00305AAA" w:rsidP="009D22F9">
      <w:pPr>
        <w:keepNext/>
        <w:keepLines/>
        <w:pBdr>
          <w:top w:val="nil"/>
          <w:left w:val="nil"/>
          <w:bottom w:val="nil"/>
          <w:right w:val="nil"/>
          <w:between w:val="nil"/>
          <w:bar w:val="nil"/>
        </w:pBdr>
        <w:jc w:val="both"/>
        <w:rPr>
          <w:rFonts w:ascii="Arial" w:eastAsia="Arial" w:hAnsi="Arial" w:cs="Arial"/>
          <w:bCs/>
          <w:iCs/>
          <w:bdr w:val="nil"/>
          <w:lang w:val="en-US"/>
        </w:rPr>
      </w:pPr>
    </w:p>
    <w:p w14:paraId="71F3E565" w14:textId="77777777" w:rsidR="00E82FBC" w:rsidRDefault="003A4815" w:rsidP="009D22F9">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General</w:t>
      </w:r>
    </w:p>
    <w:p w14:paraId="71F3E566" w14:textId="77777777" w:rsidR="00305AAA" w:rsidRPr="00305AAA" w:rsidRDefault="00305AAA" w:rsidP="009D22F9">
      <w:pPr>
        <w:keepNext/>
        <w:keepLines/>
        <w:pBdr>
          <w:top w:val="nil"/>
          <w:left w:val="nil"/>
          <w:bottom w:val="nil"/>
          <w:right w:val="nil"/>
          <w:between w:val="nil"/>
          <w:bar w:val="nil"/>
        </w:pBdr>
        <w:jc w:val="both"/>
        <w:rPr>
          <w:rFonts w:ascii="Arial" w:eastAsia="Arial" w:hAnsi="Arial" w:cs="Arial"/>
          <w:iCs/>
          <w:bdr w:val="nil"/>
          <w:lang w:val="en-US"/>
        </w:rPr>
      </w:pPr>
    </w:p>
    <w:p w14:paraId="71F3E567"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The operation of any cargo vessel includes risks such as mechanical failure, physical damage, collision, property loss, cargo loss or damage and business interruption due to political circumstances in foreign countries, piracy incidents, hostilities and labor strikes. In addition, there is always an inherent possibility of marine disaster, including oil spills and other environmental mishaps, and the liabilities arising from owning and operating vessels in international trade. OPA, which imposes virtually unlimited liability upon shipowners, operators and bareboat charterers of any vessel trading in the exclusive economic zone of the United States for certain oil pollution accidents in the United States, has made liability insurance more expensive for shipowners and operators trading in the United States market. We carry insurance coverage as customary in the shipping industry. However, not all risks can be insured, specific claims may be rejected, and we might not be always able to obtain adequate insurance coverage at reasonable rates.</w:t>
      </w:r>
    </w:p>
    <w:p w14:paraId="71F3E568"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69"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While we maintain hull and machinery insurance, war risks insurance, protection and indemnity cover and freight, demurrage and defense cover for our operating fleet in amounts that we believe to be prudent to cover normal risks in our operations, we may not be able to achieve or maintain this level of coverage throughout a vessel's useful life. Furthermore, while we believe that our present insurance coverage is adequate, not all risks can be insured, and there can be no guarantee that any specific claim will be paid, or that we will always be able to obtain adequate insurance coverage at reasonable rates.</w:t>
      </w:r>
    </w:p>
    <w:p w14:paraId="71F3E56A"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6B"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Hull &amp; Machinery and War Risks Insurance</w:t>
      </w:r>
    </w:p>
    <w:p w14:paraId="71F3E56C"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6D"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We maintain marine hull and machinery and war risks insurance, which cover, among other marine risks, the risk of actual or constructive total loss, for all of our vessels. Our vessels are each covered up to at least fair market value with deductibles ranging to a maximum of $100,000 per vessel per incident for Panamax, Kamsarmax and Post-Panamax vessels and $150,000 per vessel per incident for Capesize and Newcastlemax vessels.</w:t>
      </w:r>
    </w:p>
    <w:p w14:paraId="71F3E56E"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6F" w14:textId="77777777" w:rsidR="00E82FBC" w:rsidRDefault="003A4815" w:rsidP="00030D46">
      <w:pPr>
        <w:keepNext/>
        <w:keepLines/>
        <w:pBdr>
          <w:top w:val="nil"/>
          <w:left w:val="nil"/>
          <w:bottom w:val="nil"/>
          <w:right w:val="nil"/>
          <w:between w:val="nil"/>
          <w:bar w:val="nil"/>
        </w:pBdr>
        <w:jc w:val="both"/>
        <w:rPr>
          <w:rFonts w:ascii="Arial" w:eastAsia="Arial" w:hAnsi="Arial" w:cs="Arial"/>
          <w:i/>
          <w:iCs/>
          <w:color w:val="000000"/>
          <w:bdr w:val="nil"/>
          <w:lang w:val="en-US"/>
        </w:rPr>
      </w:pPr>
      <w:r w:rsidRPr="00305AAA">
        <w:rPr>
          <w:rFonts w:ascii="Arial" w:eastAsia="Arial" w:hAnsi="Arial" w:cs="Arial"/>
          <w:i/>
          <w:iCs/>
          <w:color w:val="000000"/>
          <w:bdr w:val="none" w:sz="0" w:space="0" w:color="auto" w:frame="1"/>
          <w:lang w:val="en-US"/>
        </w:rPr>
        <w:t>Protection and Indemnity Insurance</w:t>
      </w:r>
    </w:p>
    <w:p w14:paraId="71F3E570" w14:textId="77777777" w:rsidR="00305AAA" w:rsidRPr="00305AAA" w:rsidRDefault="00305AAA" w:rsidP="00030D46">
      <w:pPr>
        <w:keepNext/>
        <w:keepLines/>
        <w:pBdr>
          <w:top w:val="nil"/>
          <w:left w:val="nil"/>
          <w:bottom w:val="nil"/>
          <w:right w:val="nil"/>
          <w:between w:val="nil"/>
          <w:bar w:val="nil"/>
        </w:pBdr>
        <w:jc w:val="both"/>
        <w:rPr>
          <w:rFonts w:ascii="Arial" w:eastAsia="Arial" w:hAnsi="Arial" w:cs="Arial"/>
          <w:iCs/>
          <w:bdr w:val="nil"/>
          <w:lang w:val="en-US"/>
        </w:rPr>
      </w:pPr>
    </w:p>
    <w:p w14:paraId="71F3E571" w14:textId="77777777" w:rsidR="00E82FBC" w:rsidRDefault="003A4815" w:rsidP="00305AAA">
      <w:pPr>
        <w:pBdr>
          <w:top w:val="nil"/>
          <w:left w:val="nil"/>
          <w:bottom w:val="nil"/>
          <w:right w:val="nil"/>
          <w:between w:val="nil"/>
          <w:bar w:val="nil"/>
        </w:pBdr>
        <w:jc w:val="both"/>
        <w:rPr>
          <w:rFonts w:ascii="Arial" w:eastAsia="Arial" w:hAnsi="Arial" w:cs="Arial"/>
          <w:color w:val="000000"/>
          <w:bdr w:val="nil"/>
          <w:lang w:val="en-US"/>
        </w:rPr>
      </w:pPr>
      <w:r w:rsidRPr="00305AAA">
        <w:rPr>
          <w:rFonts w:ascii="Arial" w:eastAsia="Arial" w:hAnsi="Arial" w:cs="Arial"/>
          <w:color w:val="000000"/>
          <w:bdr w:val="none" w:sz="0" w:space="0" w:color="auto" w:frame="1"/>
          <w:lang w:val="en-US"/>
        </w:rPr>
        <w:t>Protection and indemnity insurance is provided by mutual protection and indemnity associations, or “P&amp;I Associations,” and covers our third-party liabilities in connection with our shipping activities. This includes third-party liability and other related expenses of injury or death of crew, passengers and other third parties, loss or damage to cargo, claims arising from collisions with other vessels, damage to other third-party property, pollution arising from oil or other substances, and salvage, towing and other related costs, including wreck removal. Protection and indemnity insurance is a form of mutual indemnity insurance, extended by protection and indemnity mutual associations, or “clubs.”</w:t>
      </w:r>
    </w:p>
    <w:p w14:paraId="71F3E572" w14:textId="77777777" w:rsidR="00305AAA" w:rsidRPr="00305AAA" w:rsidRDefault="00305AAA" w:rsidP="00305AAA">
      <w:pPr>
        <w:pBdr>
          <w:top w:val="nil"/>
          <w:left w:val="nil"/>
          <w:bottom w:val="nil"/>
          <w:right w:val="nil"/>
          <w:between w:val="nil"/>
          <w:bar w:val="nil"/>
        </w:pBdr>
        <w:jc w:val="both"/>
        <w:rPr>
          <w:rFonts w:ascii="Arial" w:eastAsia="Arial" w:hAnsi="Arial" w:cs="Arial"/>
          <w:bdr w:val="nil"/>
          <w:lang w:val="en-US"/>
        </w:rPr>
      </w:pPr>
    </w:p>
    <w:p w14:paraId="71F3E573" w14:textId="77777777" w:rsidR="00E82FBC" w:rsidRPr="00305AAA" w:rsidRDefault="003A4815" w:rsidP="00305AAA">
      <w:pPr>
        <w:pBdr>
          <w:top w:val="nil"/>
          <w:left w:val="nil"/>
          <w:bottom w:val="nil"/>
          <w:right w:val="nil"/>
          <w:between w:val="nil"/>
          <w:bar w:val="nil"/>
        </w:pBdr>
        <w:jc w:val="both"/>
        <w:rPr>
          <w:rFonts w:ascii="Arial" w:eastAsia="Arial" w:hAnsi="Arial" w:cs="Arial"/>
          <w:bdr w:val="nil"/>
          <w:lang w:val="en-US"/>
        </w:rPr>
      </w:pPr>
      <w:r w:rsidRPr="00305AAA">
        <w:rPr>
          <w:rFonts w:ascii="Arial" w:eastAsia="Arial" w:hAnsi="Arial" w:cs="Arial"/>
          <w:color w:val="000000"/>
          <w:bdr w:val="none" w:sz="0" w:space="0" w:color="auto" w:frame="1"/>
          <w:lang w:val="en-US"/>
        </w:rPr>
        <w:t>Our current protection and indemnity insurance coverage for pollution is $1 billion per vessel per incident. The 1</w:t>
      </w:r>
      <w:r w:rsidR="002F102A">
        <w:rPr>
          <w:rFonts w:ascii="Arial" w:eastAsia="Arial" w:hAnsi="Arial" w:cs="Arial"/>
          <w:color w:val="000000"/>
          <w:bdr w:val="none" w:sz="0" w:space="0" w:color="auto" w:frame="1"/>
          <w:lang w:val="en-US"/>
        </w:rPr>
        <w:t>2</w:t>
      </w:r>
      <w:r w:rsidRPr="00305AAA">
        <w:rPr>
          <w:rFonts w:ascii="Arial" w:eastAsia="Arial" w:hAnsi="Arial" w:cs="Arial"/>
          <w:color w:val="000000"/>
          <w:bdr w:val="none" w:sz="0" w:space="0" w:color="auto" w:frame="1"/>
          <w:lang w:val="en-US"/>
        </w:rPr>
        <w:t xml:space="preserve"> P&amp;I Associations that comprise the International Group insure approximately 90% of the world’s commercial tonnage and have entered into a pooling agreement to reinsure each association’s liabilities. The International Group’s website states that the Pool provides a mechanism for sharing all claims in excess of US$10 million up to, currently, approximately US$8.</w:t>
      </w:r>
      <w:r w:rsidR="0003030F">
        <w:rPr>
          <w:rFonts w:ascii="Arial" w:eastAsia="Arial" w:hAnsi="Arial" w:cs="Arial"/>
          <w:color w:val="000000"/>
          <w:bdr w:val="none" w:sz="0" w:space="0" w:color="auto" w:frame="1"/>
          <w:lang w:val="en-US"/>
        </w:rPr>
        <w:t>9</w:t>
      </w:r>
      <w:r w:rsidRPr="00305AAA">
        <w:rPr>
          <w:rFonts w:ascii="Arial" w:eastAsia="Arial" w:hAnsi="Arial" w:cs="Arial"/>
          <w:color w:val="000000"/>
          <w:bdr w:val="none" w:sz="0" w:space="0" w:color="auto" w:frame="1"/>
          <w:lang w:val="en-US"/>
        </w:rPr>
        <w:t xml:space="preserve"> billion.</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As a member of a P&amp;I Association, which is a member of the International Group, we are subject to calls payable to the associations based on our claim records as well as the claim records of all other members of the individual associations and members of the shipping pool of P&amp;I Associations comprising the International Group.</w:t>
      </w:r>
      <w:r w:rsidR="003C0625">
        <w:rPr>
          <w:rFonts w:ascii="Arial" w:eastAsia="Arial" w:hAnsi="Arial" w:cs="Arial"/>
          <w:color w:val="000000"/>
          <w:bdr w:val="none" w:sz="0" w:space="0" w:color="auto" w:frame="1"/>
          <w:lang w:val="en-US"/>
        </w:rPr>
        <w:t xml:space="preserve"> </w:t>
      </w:r>
      <w:r w:rsidRPr="00305AAA">
        <w:rPr>
          <w:rFonts w:ascii="Arial" w:eastAsia="Arial" w:hAnsi="Arial" w:cs="Arial"/>
          <w:color w:val="000000"/>
          <w:bdr w:val="none" w:sz="0" w:space="0" w:color="auto" w:frame="1"/>
          <w:lang w:val="en-US"/>
        </w:rPr>
        <w:t>Our vessels may be subject to supplemental calls which are based on estimates of premium income and anticipated and paid claims. Such estimates are adjusted each year by the Board of Directors of the P&amp;I Association until the closing of the relevant policy year, which generally occurs within three years from the end of the policy year. Supplemental calls, if any, are expensed when they are announced and according to the period they relate to.</w:t>
      </w:r>
      <w:r w:rsidRPr="00305AAA">
        <w:rPr>
          <w:rFonts w:ascii="Arial" w:eastAsia="Arial" w:hAnsi="Arial" w:cs="Arial"/>
          <w:lang w:val="en-US"/>
        </w:rPr>
        <w:t xml:space="preserve"> </w:t>
      </w:r>
    </w:p>
    <w:p w14:paraId="71F3E574" w14:textId="77777777" w:rsidR="00510CAA" w:rsidRDefault="00510CAA">
      <w:pPr>
        <w:pBdr>
          <w:top w:val="nil"/>
          <w:left w:val="nil"/>
          <w:bottom w:val="nil"/>
          <w:right w:val="nil"/>
          <w:between w:val="nil"/>
          <w:bar w:val="nil"/>
        </w:pBdr>
        <w:rPr>
          <w:rFonts w:ascii="Arial" w:eastAsia="Arial" w:hAnsi="Arial" w:cs="Arial"/>
          <w:bdr w:val="nil"/>
        </w:rPr>
      </w:pPr>
    </w:p>
    <w:p w14:paraId="71F3E575" w14:textId="77777777" w:rsidR="00F17BF9" w:rsidRPr="00AB329F" w:rsidRDefault="003A4815" w:rsidP="004C03DE">
      <w:pPr>
        <w:pStyle w:val="Heading2"/>
        <w:keepLines/>
        <w:pBdr>
          <w:top w:val="nil"/>
          <w:left w:val="nil"/>
          <w:bottom w:val="nil"/>
          <w:right w:val="nil"/>
          <w:between w:val="nil"/>
          <w:bar w:val="nil"/>
        </w:pBdr>
        <w:ind w:left="714"/>
        <w:rPr>
          <w:rFonts w:ascii="Arial" w:eastAsia="Arial" w:hAnsi="Arial" w:cs="Arial"/>
          <w:bCs w:val="0"/>
          <w:iCs w:val="0"/>
          <w:color w:val="auto"/>
          <w:szCs w:val="24"/>
          <w:bdr w:val="nil"/>
        </w:rPr>
      </w:pPr>
      <w:bookmarkStart w:id="144" w:name="RG_MARKER_23054"/>
      <w:r w:rsidRPr="00AB329F">
        <w:rPr>
          <w:rFonts w:ascii="Arial" w:eastAsia="Arial" w:hAnsi="Arial" w:cs="Arial"/>
          <w:bCs w:val="0"/>
          <w:iCs w:val="0"/>
          <w:color w:val="auto"/>
          <w:szCs w:val="24"/>
          <w:lang w:val="en-GB"/>
        </w:rPr>
        <w:t>C.</w:t>
      </w:r>
      <w:bookmarkEnd w:id="144"/>
      <w:r w:rsidRPr="00AB329F">
        <w:rPr>
          <w:rFonts w:ascii="Arial" w:eastAsia="Arial" w:hAnsi="Arial" w:cs="Arial"/>
          <w:bCs w:val="0"/>
          <w:iCs w:val="0"/>
          <w:color w:val="auto"/>
          <w:szCs w:val="24"/>
          <w:lang w:val="en-GB"/>
        </w:rPr>
        <w:tab/>
        <w:t>Organizational structure</w:t>
      </w:r>
    </w:p>
    <w:p w14:paraId="71F3E576" w14:textId="77777777" w:rsidR="009577F4" w:rsidRPr="00AB329F" w:rsidRDefault="009577F4" w:rsidP="00DF5B91">
      <w:pPr>
        <w:keepNext/>
        <w:keepLines/>
        <w:pBdr>
          <w:top w:val="nil"/>
          <w:left w:val="nil"/>
          <w:bottom w:val="nil"/>
          <w:right w:val="nil"/>
          <w:between w:val="nil"/>
          <w:bar w:val="nil"/>
        </w:pBdr>
        <w:jc w:val="both"/>
        <w:rPr>
          <w:rFonts w:ascii="Arial" w:eastAsia="Arial" w:hAnsi="Arial" w:cs="Arial"/>
          <w:color w:val="000000"/>
          <w:bdr w:val="nil"/>
          <w:lang w:val="en-GB"/>
        </w:rPr>
      </w:pPr>
    </w:p>
    <w:p w14:paraId="71F3E577" w14:textId="77777777" w:rsidR="00621766" w:rsidRPr="00AB329F" w:rsidRDefault="003A4815" w:rsidP="009577F4">
      <w:pPr>
        <w:pBdr>
          <w:top w:val="nil"/>
          <w:left w:val="nil"/>
          <w:bottom w:val="nil"/>
          <w:right w:val="nil"/>
          <w:between w:val="nil"/>
          <w:bar w:val="nil"/>
        </w:pBdr>
        <w:jc w:val="both"/>
        <w:rPr>
          <w:rFonts w:ascii="Arial" w:eastAsia="Arial" w:hAnsi="Arial" w:cs="Arial"/>
          <w:color w:val="000000"/>
          <w:bdr w:val="nil"/>
          <w:lang w:val="en-US"/>
        </w:rPr>
      </w:pPr>
      <w:r w:rsidRPr="00AB329F">
        <w:rPr>
          <w:rFonts w:ascii="Arial" w:eastAsia="Arial" w:hAnsi="Arial" w:cs="Arial"/>
          <w:color w:val="000000"/>
          <w:lang w:val="en-US"/>
        </w:rPr>
        <w:t>Diana Shipping Inc. is the sole owner of all of the issued and outstanding shares of the subsidiaries listed in Exhibit 8.1 to this annual report.</w:t>
      </w:r>
    </w:p>
    <w:p w14:paraId="71F3E578" w14:textId="77777777" w:rsidR="00510CAA" w:rsidRDefault="00510CAA">
      <w:pPr>
        <w:pBdr>
          <w:top w:val="nil"/>
          <w:left w:val="nil"/>
          <w:bottom w:val="nil"/>
          <w:right w:val="nil"/>
          <w:between w:val="nil"/>
          <w:bar w:val="nil"/>
        </w:pBdr>
        <w:rPr>
          <w:rFonts w:ascii="Arial" w:eastAsia="Arial" w:hAnsi="Arial" w:cs="Arial"/>
          <w:bdr w:val="nil"/>
        </w:rPr>
      </w:pPr>
    </w:p>
    <w:p w14:paraId="71F3E579" w14:textId="77777777" w:rsidR="00C317B1" w:rsidRPr="0026637B" w:rsidRDefault="003A4815" w:rsidP="005E5B27">
      <w:pPr>
        <w:pStyle w:val="Heading2"/>
        <w:keepLines/>
        <w:pBdr>
          <w:top w:val="nil"/>
          <w:left w:val="nil"/>
          <w:bottom w:val="nil"/>
          <w:right w:val="nil"/>
          <w:between w:val="nil"/>
          <w:bar w:val="nil"/>
        </w:pBdr>
        <w:ind w:left="714"/>
        <w:rPr>
          <w:rFonts w:ascii="Arial" w:eastAsia="Arial" w:hAnsi="Arial" w:cs="Arial"/>
          <w:bCs w:val="0"/>
          <w:iCs w:val="0"/>
          <w:color w:val="auto"/>
          <w:szCs w:val="24"/>
          <w:bdr w:val="nil"/>
        </w:rPr>
      </w:pPr>
      <w:bookmarkStart w:id="145" w:name="RG_MARKER_23202"/>
      <w:r w:rsidRPr="0026637B">
        <w:rPr>
          <w:rFonts w:ascii="Arial" w:eastAsia="Arial" w:hAnsi="Arial" w:cs="Arial"/>
          <w:bCs w:val="0"/>
          <w:iCs w:val="0"/>
          <w:color w:val="auto"/>
          <w:szCs w:val="24"/>
          <w:lang w:val="en-GB"/>
        </w:rPr>
        <w:t>D.</w:t>
      </w:r>
      <w:bookmarkEnd w:id="145"/>
      <w:r w:rsidRPr="0026637B">
        <w:rPr>
          <w:rFonts w:ascii="Arial" w:eastAsia="Arial" w:hAnsi="Arial" w:cs="Arial"/>
          <w:bCs w:val="0"/>
          <w:iCs w:val="0"/>
          <w:color w:val="auto"/>
          <w:szCs w:val="24"/>
          <w:lang w:val="en-GB"/>
        </w:rPr>
        <w:tab/>
        <w:t>Property, plants and equipment</w:t>
      </w:r>
    </w:p>
    <w:p w14:paraId="71F3E57A" w14:textId="77777777" w:rsidR="006E495B" w:rsidRPr="0026637B" w:rsidRDefault="006E495B" w:rsidP="000F5A57">
      <w:pPr>
        <w:keepNext/>
        <w:keepLines/>
        <w:pBdr>
          <w:top w:val="nil"/>
          <w:left w:val="nil"/>
          <w:bottom w:val="nil"/>
          <w:right w:val="nil"/>
          <w:between w:val="nil"/>
          <w:bar w:val="nil"/>
        </w:pBdr>
        <w:jc w:val="both"/>
        <w:rPr>
          <w:rFonts w:ascii="Arial" w:eastAsia="Arial" w:hAnsi="Arial" w:cs="Arial"/>
          <w:color w:val="000000"/>
          <w:bdr w:val="nil"/>
          <w:lang w:val="en-GB"/>
        </w:rPr>
      </w:pPr>
    </w:p>
    <w:p w14:paraId="71F3E57B" w14:textId="77777777" w:rsidR="006C2747" w:rsidRPr="0026637B" w:rsidRDefault="003A4815" w:rsidP="006C2747">
      <w:pPr>
        <w:pStyle w:val="Normal24"/>
        <w:pBdr>
          <w:top w:val="nil"/>
          <w:left w:val="nil"/>
          <w:bottom w:val="nil"/>
          <w:right w:val="nil"/>
          <w:between w:val="nil"/>
          <w:bar w:val="nil"/>
        </w:pBdr>
        <w:spacing w:after="0" w:line="240" w:lineRule="auto"/>
        <w:jc w:val="both"/>
        <w:rPr>
          <w:rFonts w:ascii="Arial" w:eastAsia="Arial" w:hAnsi="Arial" w:cs="Arial"/>
          <w:color w:val="000000"/>
          <w:bdr w:val="nil"/>
          <w:lang w:val="en-GB"/>
        </w:rPr>
      </w:pPr>
      <w:r w:rsidRPr="0026637B">
        <w:rPr>
          <w:rFonts w:ascii="Arial" w:eastAsia="Arial" w:hAnsi="Arial" w:cs="Arial"/>
          <w:color w:val="000000"/>
          <w:lang w:val="en-GB"/>
        </w:rPr>
        <w:t xml:space="preserve">Since October 8, 2010, DSS owns the land and the building where we have our principal corporate offices in Athens, Greece. In addition, DSS </w:t>
      </w:r>
      <w:r>
        <w:rPr>
          <w:rFonts w:ascii="Arial" w:eastAsia="Arial" w:hAnsi="Arial" w:cs="Arial"/>
          <w:color w:val="000000"/>
          <w:lang w:val="en-GB"/>
        </w:rPr>
        <w:t xml:space="preserve">owns three additional </w:t>
      </w:r>
      <w:r w:rsidRPr="0026637B">
        <w:rPr>
          <w:rFonts w:ascii="Arial" w:eastAsia="Arial" w:hAnsi="Arial" w:cs="Arial"/>
          <w:color w:val="000000"/>
          <w:lang w:val="en-GB"/>
        </w:rPr>
        <w:t>plot</w:t>
      </w:r>
      <w:r>
        <w:rPr>
          <w:rFonts w:ascii="Arial" w:eastAsia="Arial" w:hAnsi="Arial" w:cs="Arial"/>
          <w:color w:val="000000"/>
          <w:lang w:val="en-GB"/>
        </w:rPr>
        <w:t xml:space="preserve">s, one partly acquired in 2021 and partly in 2023 from two related parties and two acquired in 2024 from unrelated third parties. All </w:t>
      </w:r>
      <w:r w:rsidRPr="0026637B">
        <w:rPr>
          <w:rFonts w:ascii="Arial" w:eastAsia="Arial" w:hAnsi="Arial" w:cs="Arial"/>
          <w:color w:val="000000"/>
          <w:lang w:val="en-GB"/>
        </w:rPr>
        <w:t>plot</w:t>
      </w:r>
      <w:r>
        <w:rPr>
          <w:rFonts w:ascii="Arial" w:eastAsia="Arial" w:hAnsi="Arial" w:cs="Arial"/>
          <w:color w:val="000000"/>
          <w:lang w:val="en-GB"/>
        </w:rPr>
        <w:t>s of land are</w:t>
      </w:r>
      <w:r w:rsidRPr="0026637B">
        <w:rPr>
          <w:rFonts w:ascii="Arial" w:eastAsia="Arial" w:hAnsi="Arial" w:cs="Arial"/>
          <w:color w:val="000000"/>
          <w:lang w:val="en-GB"/>
        </w:rPr>
        <w:t xml:space="preserve"> in the same area as our principal offices</w:t>
      </w:r>
      <w:r>
        <w:rPr>
          <w:rFonts w:ascii="Arial" w:eastAsia="Arial" w:hAnsi="Arial" w:cs="Arial"/>
          <w:color w:val="000000"/>
          <w:lang w:val="en-GB"/>
        </w:rPr>
        <w:t xml:space="preserve"> and were acquired for corporate use</w:t>
      </w:r>
      <w:r w:rsidRPr="0026637B">
        <w:rPr>
          <w:rFonts w:ascii="Arial" w:eastAsia="Arial" w:hAnsi="Arial" w:cs="Arial"/>
          <w:color w:val="000000"/>
          <w:lang w:val="en-GB"/>
        </w:rPr>
        <w:t>. Other than this interest in real property, our only material properties are the vessels in our fleet</w:t>
      </w:r>
      <w:r>
        <w:rPr>
          <w:rFonts w:ascii="Arial" w:eastAsia="Arial" w:hAnsi="Arial" w:cs="Arial"/>
          <w:color w:val="000000"/>
          <w:lang w:val="en-GB"/>
        </w:rPr>
        <w:t>.</w:t>
      </w:r>
    </w:p>
    <w:p w14:paraId="71F3E57C"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57D" w14:textId="77777777" w:rsidR="003072CD" w:rsidRPr="00681A9D" w:rsidRDefault="003A4815" w:rsidP="00681A9D">
      <w:pPr>
        <w:pStyle w:val="Heading1"/>
        <w:keepLines/>
        <w:pBdr>
          <w:top w:val="nil"/>
          <w:left w:val="nil"/>
          <w:bottom w:val="nil"/>
          <w:right w:val="nil"/>
          <w:between w:val="nil"/>
          <w:bar w:val="nil"/>
        </w:pBdr>
        <w:spacing w:before="0" w:after="0"/>
        <w:rPr>
          <w:rFonts w:ascii="Arial" w:eastAsia="Arial" w:hAnsi="Arial" w:cs="Arial"/>
          <w:color w:val="auto"/>
          <w:kern w:val="0"/>
          <w:szCs w:val="22"/>
          <w:bdr w:val="nil"/>
        </w:rPr>
      </w:pPr>
      <w:bookmarkStart w:id="146" w:name="part1_item4a"/>
      <w:bookmarkStart w:id="147" w:name="RG_MARKER_22972"/>
      <w:bookmarkStart w:id="148" w:name="RG_MARKER_23197"/>
      <w:bookmarkEnd w:id="146"/>
      <w:r w:rsidRPr="00681A9D">
        <w:rPr>
          <w:rFonts w:ascii="Arial" w:eastAsia="Arial" w:hAnsi="Arial" w:cs="Arial"/>
          <w:color w:val="auto"/>
          <w:kern w:val="0"/>
          <w:szCs w:val="22"/>
          <w:bdr w:val="none" w:sz="0" w:space="0" w:color="auto" w:frame="1"/>
          <w:lang w:val="en-GB" w:eastAsia="el-GR"/>
        </w:rPr>
        <w:t>Item 4A.  Unresolved Staff Comments</w:t>
      </w:r>
      <w:bookmarkEnd w:id="147"/>
      <w:bookmarkEnd w:id="148"/>
    </w:p>
    <w:p w14:paraId="71F3E57E" w14:textId="77777777" w:rsidR="003072CD" w:rsidRPr="00681A9D" w:rsidRDefault="003072CD" w:rsidP="00681A9D">
      <w:pPr>
        <w:keepNext/>
        <w:pBdr>
          <w:top w:val="nil"/>
          <w:left w:val="nil"/>
          <w:bottom w:val="nil"/>
          <w:right w:val="nil"/>
          <w:between w:val="nil"/>
          <w:bar w:val="nil"/>
        </w:pBdr>
        <w:jc w:val="both"/>
        <w:rPr>
          <w:rFonts w:ascii="Arial" w:eastAsia="Arial" w:hAnsi="Arial" w:cs="Arial"/>
          <w:color w:val="000000"/>
          <w:bdr w:val="nil"/>
          <w:lang w:val="en-US"/>
        </w:rPr>
      </w:pPr>
    </w:p>
    <w:p w14:paraId="71F3E57F" w14:textId="77777777" w:rsidR="003072CD" w:rsidRPr="00681A9D" w:rsidRDefault="003A4815" w:rsidP="003072CD">
      <w:pPr>
        <w:pBdr>
          <w:top w:val="nil"/>
          <w:left w:val="nil"/>
          <w:bottom w:val="nil"/>
          <w:right w:val="nil"/>
          <w:between w:val="nil"/>
          <w:bar w:val="nil"/>
        </w:pBdr>
        <w:jc w:val="both"/>
        <w:rPr>
          <w:rFonts w:ascii="Arial" w:eastAsia="Arial" w:hAnsi="Arial" w:cs="Arial"/>
          <w:color w:val="000000"/>
          <w:bdr w:val="nil"/>
          <w:lang w:val="en-US"/>
        </w:rPr>
      </w:pPr>
      <w:r w:rsidRPr="00681A9D">
        <w:rPr>
          <w:rFonts w:ascii="Arial" w:eastAsia="Arial" w:hAnsi="Arial" w:cs="Arial"/>
          <w:color w:val="000000"/>
          <w:bdr w:val="none" w:sz="0" w:space="0" w:color="auto" w:frame="1"/>
          <w:lang w:val="en-US"/>
        </w:rPr>
        <w:t>None.</w:t>
      </w:r>
    </w:p>
    <w:p w14:paraId="71F3E580"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581" w14:textId="77777777" w:rsidR="00191B88" w:rsidRPr="004E22FE" w:rsidRDefault="003A4815" w:rsidP="004E22FE">
      <w:pPr>
        <w:pStyle w:val="Heading1"/>
        <w:keepLines/>
        <w:pBdr>
          <w:top w:val="nil"/>
          <w:left w:val="nil"/>
          <w:bottom w:val="nil"/>
          <w:right w:val="nil"/>
          <w:between w:val="nil"/>
          <w:bar w:val="nil"/>
        </w:pBdr>
        <w:spacing w:before="0" w:after="0"/>
        <w:jc w:val="both"/>
        <w:rPr>
          <w:rFonts w:ascii="Arial" w:eastAsia="Arial" w:hAnsi="Arial" w:cs="Arial"/>
          <w:color w:val="auto"/>
          <w:kern w:val="0"/>
          <w:szCs w:val="22"/>
          <w:bdr w:val="nil"/>
          <w:lang w:eastAsia="el-GR"/>
        </w:rPr>
      </w:pPr>
      <w:bookmarkStart w:id="149" w:name="part1_item5"/>
      <w:bookmarkStart w:id="150" w:name="RG_MARKER_23063"/>
      <w:bookmarkStart w:id="151" w:name="RG_MARKER_23166"/>
      <w:bookmarkStart w:id="152" w:name="_Toc222553123"/>
      <w:bookmarkStart w:id="153" w:name="_Toc223262937"/>
      <w:bookmarkEnd w:id="149"/>
      <w:r w:rsidRPr="004E22FE">
        <w:rPr>
          <w:rFonts w:ascii="Arial" w:eastAsia="Arial" w:hAnsi="Arial" w:cs="Arial"/>
          <w:color w:val="auto"/>
          <w:kern w:val="0"/>
          <w:szCs w:val="22"/>
          <w:lang w:val="en-GB" w:eastAsia="el-GR"/>
        </w:rPr>
        <w:t>Item 5.</w:t>
      </w:r>
      <w:bookmarkEnd w:id="150"/>
      <w:bookmarkEnd w:id="151"/>
      <w:r w:rsidRPr="004E22FE">
        <w:rPr>
          <w:rFonts w:ascii="Arial" w:eastAsia="Arial" w:hAnsi="Arial" w:cs="Arial"/>
          <w:color w:val="auto"/>
          <w:kern w:val="0"/>
          <w:szCs w:val="22"/>
          <w:lang w:val="en-GB" w:eastAsia="el-GR"/>
        </w:rPr>
        <w:tab/>
        <w:t>Operating and Financial Review and Prospects</w:t>
      </w:r>
      <w:bookmarkEnd w:id="152"/>
      <w:bookmarkEnd w:id="153"/>
    </w:p>
    <w:p w14:paraId="71F3E582" w14:textId="77777777" w:rsidR="00261221" w:rsidRPr="004E22FE" w:rsidRDefault="00261221" w:rsidP="004E22FE">
      <w:pPr>
        <w:keepNext/>
        <w:keepLines/>
        <w:pBdr>
          <w:top w:val="nil"/>
          <w:left w:val="nil"/>
          <w:bottom w:val="nil"/>
          <w:right w:val="nil"/>
          <w:between w:val="nil"/>
          <w:bar w:val="nil"/>
        </w:pBdr>
        <w:jc w:val="both"/>
        <w:rPr>
          <w:rFonts w:ascii="Arial" w:eastAsia="Arial" w:hAnsi="Arial" w:cs="Arial"/>
          <w:color w:val="000000"/>
          <w:bdr w:val="nil"/>
          <w:lang w:val="en-US"/>
        </w:rPr>
      </w:pPr>
    </w:p>
    <w:p w14:paraId="71F3E583" w14:textId="77777777" w:rsidR="00191B88" w:rsidRDefault="003A4815" w:rsidP="004E22FE">
      <w:pPr>
        <w:pBdr>
          <w:top w:val="nil"/>
          <w:left w:val="nil"/>
          <w:bottom w:val="nil"/>
          <w:right w:val="nil"/>
          <w:between w:val="nil"/>
          <w:bar w:val="nil"/>
        </w:pBdr>
        <w:jc w:val="both"/>
        <w:rPr>
          <w:rFonts w:ascii="Arial" w:eastAsia="Arial" w:hAnsi="Arial" w:cs="Arial"/>
          <w:color w:val="000000"/>
          <w:bdr w:val="nil"/>
          <w:lang w:val="en-US"/>
        </w:rPr>
      </w:pPr>
      <w:r w:rsidRPr="004E22FE">
        <w:rPr>
          <w:rFonts w:ascii="Arial" w:eastAsia="Arial" w:hAnsi="Arial" w:cs="Arial"/>
          <w:color w:val="000000"/>
          <w:lang w:val="en-US"/>
        </w:rPr>
        <w:t>The following management's discussion and analysis should be read in conjunction with our historical consolidated financial statements and their notes included elsewhere in this annual report. This discussion contains forward-looking statements that reflect our current views with respect to future events and financial performance. Our actual results may differ materially from those anticipated in these forward-looking statements as a result of certain factors, such as those set forth in the section entitled “Risk Factors” and elsewhere in this annual report.</w:t>
      </w:r>
    </w:p>
    <w:p w14:paraId="71F3E584" w14:textId="77777777" w:rsidR="001D7685" w:rsidRDefault="003A4815" w:rsidP="001D7685">
      <w:pPr>
        <w:pStyle w:val="Heading2"/>
        <w:keepLines/>
        <w:numPr>
          <w:ilvl w:val="0"/>
          <w:numId w:val="17"/>
        </w:numPr>
        <w:pBdr>
          <w:top w:val="nil"/>
          <w:left w:val="nil"/>
          <w:bottom w:val="nil"/>
          <w:right w:val="nil"/>
          <w:between w:val="nil"/>
          <w:bar w:val="nil"/>
        </w:pBdr>
        <w:spacing w:before="240" w:after="60"/>
        <w:rPr>
          <w:rFonts w:ascii="Arial" w:eastAsia="Arial" w:hAnsi="Arial" w:cs="Arial"/>
          <w:color w:val="auto"/>
          <w:bdr w:val="nil"/>
        </w:rPr>
      </w:pPr>
      <w:r>
        <w:rPr>
          <w:rFonts w:ascii="Arial" w:eastAsia="Arial" w:hAnsi="Arial" w:cs="Arial"/>
          <w:color w:val="auto"/>
          <w:sz w:val="28"/>
          <w:bdr w:val="none" w:sz="0" w:space="0" w:color="auto" w:frame="1"/>
        </w:rPr>
        <w:t>Operating results</w:t>
      </w:r>
    </w:p>
    <w:p w14:paraId="71F3E585" w14:textId="77777777" w:rsidR="00D30C94" w:rsidRDefault="00D30C94" w:rsidP="009D4BEE">
      <w:pPr>
        <w:pBdr>
          <w:top w:val="nil"/>
          <w:left w:val="nil"/>
          <w:bottom w:val="nil"/>
          <w:right w:val="nil"/>
          <w:between w:val="nil"/>
          <w:bar w:val="nil"/>
        </w:pBdr>
        <w:rPr>
          <w:rFonts w:ascii="Arial" w:eastAsia="Arial" w:hAnsi="Arial" w:cs="Arial"/>
          <w:bdr w:val="nil"/>
          <w:lang w:val="en-US"/>
        </w:rPr>
      </w:pPr>
    </w:p>
    <w:p w14:paraId="71F3E586" w14:textId="77777777" w:rsidR="00D30C94" w:rsidRPr="00D30C94" w:rsidRDefault="003A4815" w:rsidP="00D30C94">
      <w:pPr>
        <w:pStyle w:val="Heading3"/>
        <w:keepLines/>
        <w:pBdr>
          <w:top w:val="nil"/>
          <w:left w:val="nil"/>
          <w:bottom w:val="nil"/>
          <w:right w:val="nil"/>
          <w:between w:val="nil"/>
          <w:bar w:val="nil"/>
        </w:pBdr>
        <w:spacing w:before="40"/>
        <w:jc w:val="left"/>
        <w:rPr>
          <w:rFonts w:eastAsia="Arial" w:cs="Arial"/>
          <w:i w:val="0"/>
          <w:bdr w:val="nil"/>
          <w:lang w:val="en-US"/>
        </w:rPr>
      </w:pPr>
      <w:r w:rsidRPr="00D30C94">
        <w:rPr>
          <w:rFonts w:eastAsia="Arial" w:cs="Arial"/>
          <w:i w:val="0"/>
          <w:sz w:val="24"/>
          <w:szCs w:val="24"/>
          <w:lang w:val="en-US"/>
        </w:rPr>
        <w:t>Factors Affecting Our Results of Operations</w:t>
      </w:r>
    </w:p>
    <w:p w14:paraId="71F3E587" w14:textId="77777777" w:rsidR="00D30C94" w:rsidRDefault="00D30C94" w:rsidP="00D30C94">
      <w:pPr>
        <w:keepNext/>
        <w:keepLines/>
        <w:pBdr>
          <w:top w:val="nil"/>
          <w:left w:val="nil"/>
          <w:bottom w:val="nil"/>
          <w:right w:val="nil"/>
          <w:between w:val="nil"/>
          <w:bar w:val="nil"/>
        </w:pBdr>
        <w:jc w:val="both"/>
        <w:rPr>
          <w:rFonts w:ascii="Arial" w:eastAsia="Arial" w:hAnsi="Arial" w:cs="Arial"/>
          <w:color w:val="000000"/>
          <w:sz w:val="24"/>
          <w:szCs w:val="24"/>
          <w:bdr w:val="nil"/>
          <w:lang w:val="en-US"/>
        </w:rPr>
      </w:pPr>
    </w:p>
    <w:p w14:paraId="71F3E588" w14:textId="77777777" w:rsidR="00D30C94" w:rsidRDefault="003A4815" w:rsidP="00D30C94">
      <w:pPr>
        <w:pBdr>
          <w:top w:val="nil"/>
          <w:left w:val="nil"/>
          <w:bottom w:val="nil"/>
          <w:right w:val="nil"/>
          <w:between w:val="nil"/>
          <w:bar w:val="nil"/>
        </w:pBdr>
        <w:jc w:val="both"/>
        <w:rPr>
          <w:rFonts w:ascii="Arial" w:eastAsia="Arial" w:hAnsi="Arial" w:cs="Arial"/>
          <w:color w:val="000000"/>
          <w:bdr w:val="nil"/>
          <w:lang w:val="en-US"/>
        </w:rPr>
      </w:pPr>
      <w:r>
        <w:rPr>
          <w:rFonts w:ascii="Arial" w:eastAsia="Arial" w:hAnsi="Arial" w:cs="Arial"/>
          <w:color w:val="000000"/>
          <w:bdr w:val="none" w:sz="0" w:space="0" w:color="auto" w:frame="1"/>
          <w:lang w:val="en-US"/>
        </w:rPr>
        <w:t>We believe that our results of operations are affected by the following factors:</w:t>
      </w:r>
    </w:p>
    <w:p w14:paraId="71F3E589" w14:textId="77777777" w:rsidR="00D30C94" w:rsidRDefault="00D30C94" w:rsidP="00D30C94">
      <w:pPr>
        <w:pBdr>
          <w:top w:val="nil"/>
          <w:left w:val="nil"/>
          <w:bottom w:val="nil"/>
          <w:right w:val="nil"/>
          <w:between w:val="nil"/>
          <w:bar w:val="nil"/>
        </w:pBdr>
        <w:rPr>
          <w:rFonts w:ascii="Arial" w:eastAsia="Arial" w:hAnsi="Arial" w:cs="Arial"/>
          <w:bdr w:val="nil"/>
          <w:lang w:val="en-US"/>
        </w:rPr>
      </w:pPr>
    </w:p>
    <w:p w14:paraId="71F3E58A"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r>
        <w:rPr>
          <w:rFonts w:ascii="Arial" w:eastAsia="Arial" w:hAnsi="Arial" w:cs="Arial"/>
          <w:iCs/>
          <w:bdr w:val="none" w:sz="0" w:space="0" w:color="auto" w:frame="1"/>
        </w:rPr>
        <w:t>(1)</w:t>
      </w:r>
      <w:r>
        <w:rPr>
          <w:rFonts w:ascii="Arial" w:eastAsia="Arial" w:hAnsi="Arial" w:cs="Arial"/>
          <w:iCs/>
          <w:bdr w:val="none" w:sz="0" w:space="0" w:color="auto" w:frame="1"/>
        </w:rPr>
        <w:tab/>
      </w:r>
      <w:r>
        <w:rPr>
          <w:rFonts w:ascii="Arial" w:eastAsia="Arial" w:hAnsi="Arial" w:cs="Arial"/>
          <w:bdr w:val="none" w:sz="0" w:space="0" w:color="auto" w:frame="1"/>
        </w:rPr>
        <w:t xml:space="preserve">Average number of vessels is the number of vessels that constituted our fleet for the relevant period, as measured by the sum of the number of days each vessel was a part of our fleet during the period divided by the number of calendar days in the period. </w:t>
      </w:r>
    </w:p>
    <w:p w14:paraId="71F3E58B" w14:textId="77777777" w:rsidR="00D30C94" w:rsidRDefault="00D30C94" w:rsidP="00D30C94">
      <w:pPr>
        <w:pBdr>
          <w:top w:val="nil"/>
          <w:left w:val="nil"/>
          <w:bottom w:val="nil"/>
          <w:right w:val="nil"/>
          <w:between w:val="nil"/>
          <w:bar w:val="nil"/>
        </w:pBdr>
        <w:rPr>
          <w:rFonts w:ascii="Arial" w:eastAsia="Arial" w:hAnsi="Arial" w:cs="Arial"/>
          <w:bdr w:val="nil"/>
          <w:lang w:val="en-US"/>
        </w:rPr>
      </w:pPr>
    </w:p>
    <w:p w14:paraId="71F3E58C"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r>
        <w:rPr>
          <w:rFonts w:ascii="Arial" w:eastAsia="Arial" w:hAnsi="Arial" w:cs="Arial"/>
          <w:iCs/>
          <w:bdr w:val="none" w:sz="0" w:space="0" w:color="auto" w:frame="1"/>
        </w:rPr>
        <w:t>(2)</w:t>
      </w:r>
      <w:r>
        <w:rPr>
          <w:rFonts w:ascii="Arial" w:eastAsia="Arial" w:hAnsi="Arial" w:cs="Arial"/>
          <w:iCs/>
          <w:bdr w:val="none" w:sz="0" w:space="0" w:color="auto" w:frame="1"/>
        </w:rPr>
        <w:tab/>
      </w:r>
      <w:r>
        <w:rPr>
          <w:rFonts w:ascii="Arial" w:eastAsia="Arial" w:hAnsi="Arial" w:cs="Arial"/>
          <w:bdr w:val="none" w:sz="0" w:space="0" w:color="auto" w:frame="1"/>
        </w:rPr>
        <w:t xml:space="preserve">Ownership days are the aggregate number of days in a period during which each vessel in our fleet has been owned by us. Ownership days are an indicator of the size of our fleet over a period and affect both the amount of revenues and the amount of expenses that we record during a period. </w:t>
      </w:r>
    </w:p>
    <w:p w14:paraId="71F3E58D" w14:textId="77777777" w:rsidR="00D30C94" w:rsidRDefault="00D30C94" w:rsidP="00D30C94">
      <w:pPr>
        <w:pBdr>
          <w:top w:val="nil"/>
          <w:left w:val="nil"/>
          <w:bottom w:val="nil"/>
          <w:right w:val="nil"/>
          <w:between w:val="nil"/>
          <w:bar w:val="nil"/>
        </w:pBdr>
        <w:rPr>
          <w:rFonts w:ascii="Arial" w:eastAsia="Arial" w:hAnsi="Arial" w:cs="Arial"/>
          <w:bdr w:val="nil"/>
          <w:lang w:val="en-US"/>
        </w:rPr>
      </w:pPr>
    </w:p>
    <w:p w14:paraId="71F3E58E"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r>
        <w:rPr>
          <w:rFonts w:ascii="Arial" w:eastAsia="Arial" w:hAnsi="Arial" w:cs="Arial"/>
          <w:iCs/>
          <w:bdr w:val="none" w:sz="0" w:space="0" w:color="auto" w:frame="1"/>
        </w:rPr>
        <w:t>(3)</w:t>
      </w:r>
      <w:r>
        <w:rPr>
          <w:rFonts w:ascii="Arial" w:eastAsia="Arial" w:hAnsi="Arial" w:cs="Arial"/>
          <w:iCs/>
          <w:bdr w:val="none" w:sz="0" w:space="0" w:color="auto" w:frame="1"/>
        </w:rPr>
        <w:tab/>
      </w:r>
      <w:r>
        <w:rPr>
          <w:rFonts w:ascii="Arial" w:eastAsia="Arial" w:hAnsi="Arial" w:cs="Arial"/>
          <w:bdr w:val="none" w:sz="0" w:space="0" w:color="auto" w:frame="1"/>
        </w:rPr>
        <w:t xml:space="preserve">Available days are the number of our ownership days less the aggregate number of days that our vessels are off-hire due to scheduled repairs or repairs under guarantee, vessel upgrades or special surveys and the aggregate amount of time that we spend positioning our vessels for such events. The shipping industry uses available days to measure the number of days in a period during which vessels should be capable of generating revenues. </w:t>
      </w:r>
    </w:p>
    <w:p w14:paraId="71F3E58F" w14:textId="77777777" w:rsidR="00D30C94" w:rsidRDefault="00D30C94" w:rsidP="00D30C94">
      <w:pPr>
        <w:pBdr>
          <w:top w:val="nil"/>
          <w:left w:val="nil"/>
          <w:bottom w:val="nil"/>
          <w:right w:val="nil"/>
          <w:between w:val="nil"/>
          <w:bar w:val="nil"/>
        </w:pBdr>
        <w:rPr>
          <w:rFonts w:ascii="Arial" w:eastAsia="Arial" w:hAnsi="Arial" w:cs="Arial"/>
          <w:bdr w:val="nil"/>
          <w:lang w:val="en-US"/>
        </w:rPr>
      </w:pPr>
    </w:p>
    <w:p w14:paraId="71F3E590"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r>
        <w:rPr>
          <w:rFonts w:ascii="Arial" w:eastAsia="Arial" w:hAnsi="Arial" w:cs="Arial"/>
          <w:iCs/>
          <w:bdr w:val="none" w:sz="0" w:space="0" w:color="auto" w:frame="1"/>
        </w:rPr>
        <w:t>(4)</w:t>
      </w:r>
      <w:r>
        <w:rPr>
          <w:rFonts w:ascii="Arial" w:eastAsia="Arial" w:hAnsi="Arial" w:cs="Arial"/>
          <w:iCs/>
          <w:bdr w:val="none" w:sz="0" w:space="0" w:color="auto" w:frame="1"/>
        </w:rPr>
        <w:tab/>
      </w:r>
      <w:r>
        <w:rPr>
          <w:rFonts w:ascii="Arial" w:eastAsia="Arial" w:hAnsi="Arial" w:cs="Arial"/>
          <w:bdr w:val="none" w:sz="0" w:space="0" w:color="auto" w:frame="1"/>
        </w:rPr>
        <w:t xml:space="preserve">Operating days are the number of available days in a period less the aggregate number of days that our vessels are off-hire due to any reason, including unforeseen circumstances. The shipping industry uses operating days to measure the aggregate number of days in a period during which vessels actually generate revenues. </w:t>
      </w:r>
    </w:p>
    <w:p w14:paraId="71F3E591" w14:textId="77777777" w:rsidR="00D30C94" w:rsidRDefault="00D30C94" w:rsidP="00D30C94">
      <w:pPr>
        <w:pBdr>
          <w:top w:val="nil"/>
          <w:left w:val="nil"/>
          <w:bottom w:val="nil"/>
          <w:right w:val="nil"/>
          <w:between w:val="nil"/>
          <w:bar w:val="nil"/>
        </w:pBdr>
        <w:rPr>
          <w:rFonts w:ascii="Arial" w:eastAsia="Arial" w:hAnsi="Arial" w:cs="Arial"/>
          <w:bdr w:val="nil"/>
          <w:lang w:val="en-US"/>
        </w:rPr>
      </w:pPr>
    </w:p>
    <w:p w14:paraId="71F3E592"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r>
        <w:rPr>
          <w:rFonts w:ascii="Arial" w:eastAsia="Arial" w:hAnsi="Arial" w:cs="Arial"/>
          <w:iCs/>
          <w:bdr w:val="none" w:sz="0" w:space="0" w:color="auto" w:frame="1"/>
        </w:rPr>
        <w:t>(5)</w:t>
      </w:r>
      <w:r>
        <w:rPr>
          <w:rFonts w:ascii="Arial" w:eastAsia="Arial" w:hAnsi="Arial" w:cs="Arial"/>
          <w:iCs/>
          <w:bdr w:val="none" w:sz="0" w:space="0" w:color="auto" w:frame="1"/>
        </w:rPr>
        <w:tab/>
      </w:r>
      <w:r>
        <w:rPr>
          <w:rFonts w:ascii="Arial" w:eastAsia="Arial" w:hAnsi="Arial" w:cs="Arial"/>
          <w:bdr w:val="none" w:sz="0" w:space="0" w:color="auto" w:frame="1"/>
        </w:rPr>
        <w:t xml:space="preserve">We calculate fleet utilization by dividing the number of our operating days during a period by the number of our available days during the period. The shipping industry uses fleet utilization to measure a company's efficiency in finding suitable employment for its vessels and minimizing the amount of days that its vessels are off-hire for reasons other than scheduled repairs or repairs under guarantee, vessel upgrades, special surveys or vessel positioning for such events. </w:t>
      </w:r>
    </w:p>
    <w:p w14:paraId="71F3E593" w14:textId="77777777" w:rsidR="00D30C94" w:rsidRDefault="00D30C94"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bdr w:val="nil"/>
        </w:rPr>
      </w:pPr>
    </w:p>
    <w:p w14:paraId="71F3E594" w14:textId="77777777" w:rsidR="00D30C94" w:rsidRDefault="003A4815"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iCs/>
          <w:bdr w:val="nil"/>
        </w:rPr>
      </w:pPr>
      <w:r>
        <w:rPr>
          <w:rFonts w:ascii="Arial" w:eastAsia="Arial" w:hAnsi="Arial" w:cs="Arial"/>
          <w:iCs/>
          <w:bdr w:val="none" w:sz="0" w:space="0" w:color="auto" w:frame="1"/>
        </w:rPr>
        <w:t>(6)</w:t>
      </w:r>
      <w:r>
        <w:rPr>
          <w:rFonts w:ascii="Arial" w:eastAsia="Arial" w:hAnsi="Arial" w:cs="Arial"/>
          <w:iCs/>
          <w:bdr w:val="none" w:sz="0" w:space="0" w:color="auto" w:frame="1"/>
        </w:rPr>
        <w:tab/>
        <w:t xml:space="preserve">Time charter equivalent rates, or TCE rates, are defined as our time charter revenues less voyage expenses during a period divided by the number of our available days during the period, which is consistent with industry standards. Voyage expenses include port charges, bunker (fuel) expenses, canal charges and commissions. TCE rate is a non-GAAP measure, and management believes it is useful to investors because it is a standard shipping industry performance measure used primarily to compare daily earnings generated by vessels on time charters with daily earnings generated by vessels on voyage charters, because charter hire rates for vessels on voyage charters are generally not expressed in per day amounts while charter hire rates </w:t>
      </w:r>
      <w:bookmarkStart w:id="154" w:name="page_1_36"/>
      <w:bookmarkStart w:id="155" w:name="page_dc2550_1_32"/>
      <w:bookmarkEnd w:id="154"/>
      <w:bookmarkEnd w:id="155"/>
      <w:r>
        <w:rPr>
          <w:rFonts w:ascii="Arial" w:eastAsia="Arial" w:hAnsi="Arial" w:cs="Arial"/>
          <w:iCs/>
          <w:bdr w:val="none" w:sz="0" w:space="0" w:color="auto" w:frame="1"/>
        </w:rPr>
        <w:t xml:space="preserve">for vessels on time charters are generally expressed in such amounts. </w:t>
      </w:r>
    </w:p>
    <w:p w14:paraId="71F3E595" w14:textId="77777777" w:rsidR="00D30C94" w:rsidRDefault="00D30C94"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iCs/>
          <w:bdr w:val="nil"/>
        </w:rPr>
      </w:pPr>
    </w:p>
    <w:p w14:paraId="71F3E596" w14:textId="77777777" w:rsidR="00D30C94" w:rsidRDefault="003A4815" w:rsidP="00D30C94">
      <w:pPr>
        <w:pStyle w:val="Listnumbered"/>
        <w:numPr>
          <w:ilvl w:val="0"/>
          <w:numId w:val="0"/>
        </w:numPr>
        <w:pBdr>
          <w:top w:val="nil"/>
          <w:left w:val="nil"/>
          <w:bottom w:val="nil"/>
          <w:right w:val="nil"/>
          <w:between w:val="nil"/>
          <w:bar w:val="nil"/>
        </w:pBdr>
        <w:tabs>
          <w:tab w:val="left" w:pos="720"/>
        </w:tabs>
        <w:ind w:left="1080" w:hanging="720"/>
        <w:rPr>
          <w:rFonts w:ascii="Arial" w:eastAsia="Arial" w:hAnsi="Arial" w:cs="Arial"/>
          <w:bdr w:val="nil"/>
        </w:rPr>
      </w:pPr>
      <w:r>
        <w:rPr>
          <w:rFonts w:ascii="Arial" w:eastAsia="Arial" w:hAnsi="Arial" w:cs="Arial"/>
          <w:bdr w:val="none" w:sz="0" w:space="0" w:color="auto" w:frame="1"/>
        </w:rPr>
        <w:t>(7)</w:t>
      </w:r>
      <w:r>
        <w:rPr>
          <w:rFonts w:ascii="Arial" w:eastAsia="Arial" w:hAnsi="Arial" w:cs="Arial"/>
          <w:bdr w:val="none" w:sz="0" w:space="0" w:color="auto" w:frame="1"/>
        </w:rPr>
        <w:tab/>
        <w:t xml:space="preserve">      </w:t>
      </w:r>
      <w:r w:rsidRPr="00E14F75">
        <w:rPr>
          <w:rFonts w:ascii="Arial" w:eastAsia="Arial" w:hAnsi="Arial" w:cs="Arial"/>
          <w:iCs/>
          <w:bdr w:val="none" w:sz="0" w:space="0" w:color="auto" w:frame="1"/>
        </w:rPr>
        <w:t>Daily vessel operating expenses, which include crew wages and related costs, the cost of insurance</w:t>
      </w:r>
      <w:r>
        <w:rPr>
          <w:rFonts w:ascii="Arial" w:eastAsia="Arial" w:hAnsi="Arial" w:cs="Arial"/>
          <w:bdr w:val="none" w:sz="0" w:space="0" w:color="auto" w:frame="1"/>
        </w:rPr>
        <w:t xml:space="preserve">, expenses relating to repairs and maintenance, the costs of spares and consumable stores, tonnage taxes and other </w:t>
      </w:r>
      <w:r w:rsidR="00443510">
        <w:rPr>
          <w:rFonts w:ascii="Arial" w:eastAsia="Arial" w:hAnsi="Arial" w:cs="Arial"/>
          <w:bdr w:val="none" w:sz="0" w:space="0" w:color="auto" w:frame="1"/>
        </w:rPr>
        <w:t>operating</w:t>
      </w:r>
      <w:r>
        <w:rPr>
          <w:rFonts w:ascii="Arial" w:eastAsia="Arial" w:hAnsi="Arial" w:cs="Arial"/>
          <w:bdr w:val="none" w:sz="0" w:space="0" w:color="auto" w:frame="1"/>
        </w:rPr>
        <w:t xml:space="preserve"> expenses, are calculated by dividing vessel operating expenses by ownership days for the relevant period.</w:t>
      </w:r>
    </w:p>
    <w:p w14:paraId="71F3E597" w14:textId="77777777" w:rsidR="00D30C94" w:rsidRDefault="00D30C94" w:rsidP="00D30C94">
      <w:pPr>
        <w:pStyle w:val="Listnumbered"/>
        <w:numPr>
          <w:ilvl w:val="0"/>
          <w:numId w:val="0"/>
        </w:numPr>
        <w:pBdr>
          <w:top w:val="nil"/>
          <w:left w:val="nil"/>
          <w:bottom w:val="nil"/>
          <w:right w:val="nil"/>
          <w:between w:val="nil"/>
          <w:bar w:val="nil"/>
        </w:pBdr>
        <w:tabs>
          <w:tab w:val="left" w:pos="1080"/>
        </w:tabs>
        <w:ind w:left="1077" w:hanging="720"/>
        <w:rPr>
          <w:rFonts w:ascii="Arial" w:eastAsia="Arial" w:hAnsi="Arial" w:cs="Arial"/>
          <w:iCs/>
          <w:bdr w:val="nil"/>
        </w:rPr>
      </w:pPr>
    </w:p>
    <w:p w14:paraId="71F3E598" w14:textId="77777777" w:rsidR="00D30C94" w:rsidRDefault="003A4815" w:rsidP="00D30C94">
      <w:pPr>
        <w:keepNext/>
        <w:keepLines/>
        <w:pBdr>
          <w:top w:val="nil"/>
          <w:left w:val="nil"/>
          <w:bottom w:val="nil"/>
          <w:right w:val="nil"/>
          <w:between w:val="nil"/>
          <w:bar w:val="nil"/>
        </w:pBdr>
        <w:jc w:val="both"/>
        <w:rPr>
          <w:rFonts w:ascii="Arial" w:eastAsia="Arial" w:hAnsi="Arial" w:cs="Arial"/>
          <w:color w:val="000000"/>
          <w:bdr w:val="nil"/>
          <w:lang w:val="en-US"/>
        </w:rPr>
      </w:pPr>
      <w:r>
        <w:rPr>
          <w:rFonts w:ascii="Arial" w:eastAsia="Arial" w:hAnsi="Arial" w:cs="Arial"/>
          <w:color w:val="000000"/>
          <w:bdr w:val="none" w:sz="0" w:space="0" w:color="auto" w:frame="1"/>
          <w:lang w:val="en-US"/>
        </w:rPr>
        <w:t>The following table reflects such factors for the periods indicated:</w:t>
      </w:r>
    </w:p>
    <w:p w14:paraId="71F3E599" w14:textId="77777777" w:rsidR="001D7685" w:rsidRPr="004E22FE" w:rsidRDefault="001D7685" w:rsidP="004E22FE">
      <w:pPr>
        <w:pBdr>
          <w:top w:val="nil"/>
          <w:left w:val="nil"/>
          <w:bottom w:val="nil"/>
          <w:right w:val="nil"/>
          <w:between w:val="nil"/>
          <w:bar w:val="nil"/>
        </w:pBdr>
        <w:jc w:val="both"/>
        <w:rPr>
          <w:rFonts w:ascii="Arial" w:eastAsia="Arial" w:hAnsi="Arial" w:cs="Arial"/>
          <w:color w:val="000000"/>
          <w:bdr w:val="nil"/>
          <w:lang w:val="en-US"/>
        </w:rPr>
      </w:pPr>
    </w:p>
    <w:p w14:paraId="71F3E59A" w14:textId="77777777" w:rsidR="00510CAA" w:rsidRDefault="00510CAA"/>
    <w:tbl>
      <w:tblPr>
        <w:tblStyle w:val="CDMRange2"/>
        <w:tblW w:w="10185" w:type="dxa"/>
        <w:tblLayout w:type="fixed"/>
        <w:tblLook w:val="0600" w:firstRow="0" w:lastRow="0" w:firstColumn="0" w:lastColumn="0" w:noHBand="1" w:noVBand="1"/>
      </w:tblPr>
      <w:tblGrid>
        <w:gridCol w:w="5325"/>
        <w:gridCol w:w="180"/>
        <w:gridCol w:w="1440"/>
        <w:gridCol w:w="180"/>
        <w:gridCol w:w="1440"/>
        <w:gridCol w:w="180"/>
        <w:gridCol w:w="1440"/>
      </w:tblGrid>
      <w:tr w:rsidR="00510CAA" w14:paraId="71F3E59D" w14:textId="77777777">
        <w:trPr>
          <w:cantSplit/>
          <w:trHeight w:hRule="exact" w:val="255"/>
        </w:trPr>
        <w:tc>
          <w:tcPr>
            <w:tcW w:w="5325" w:type="dxa"/>
            <w:tcBorders>
              <w:top w:val="nil"/>
              <w:left w:val="nil"/>
              <w:bottom w:val="nil"/>
              <w:right w:val="nil"/>
              <w:tl2br w:val="nil"/>
              <w:tr2bl w:val="nil"/>
            </w:tcBorders>
            <w:noWrap/>
            <w:tcMar>
              <w:left w:w="0" w:type="dxa"/>
              <w:right w:w="0" w:type="dxa"/>
            </w:tcMar>
            <w:vAlign w:val="bottom"/>
          </w:tcPr>
          <w:p w14:paraId="71F3E59B" w14:textId="77777777" w:rsidR="00510CAA" w:rsidRDefault="00510CAA">
            <w:pPr>
              <w:keepNext/>
              <w:rPr>
                <w:rFonts w:ascii="Arial" w:eastAsia="Arial" w:hAnsi="Arial" w:cs="Arial"/>
                <w:color w:val="000000"/>
                <w:sz w:val="20"/>
              </w:rPr>
            </w:pPr>
            <w:bookmarkStart w:id="156" w:name="RG_MARKER_22978"/>
            <w:bookmarkEnd w:id="156"/>
          </w:p>
        </w:tc>
        <w:tc>
          <w:tcPr>
            <w:tcW w:w="4860" w:type="dxa"/>
            <w:gridSpan w:val="6"/>
            <w:tcBorders>
              <w:top w:val="nil"/>
              <w:left w:val="nil"/>
              <w:bottom w:val="nil"/>
              <w:right w:val="nil"/>
              <w:tl2br w:val="nil"/>
              <w:tr2bl w:val="nil"/>
            </w:tcBorders>
            <w:noWrap/>
            <w:tcMar>
              <w:left w:w="0" w:type="dxa"/>
              <w:right w:w="0" w:type="dxa"/>
            </w:tcMar>
            <w:vAlign w:val="bottom"/>
          </w:tcPr>
          <w:p w14:paraId="71F3E59C"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As of and for the</w:t>
            </w:r>
          </w:p>
        </w:tc>
      </w:tr>
      <w:tr w:rsidR="00510CAA" w14:paraId="71F3E5A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noWrap/>
            <w:tcMar>
              <w:left w:w="0" w:type="dxa"/>
              <w:right w:w="0" w:type="dxa"/>
            </w:tcMar>
            <w:vAlign w:val="bottom"/>
          </w:tcPr>
          <w:p w14:paraId="71F3E59E" w14:textId="77777777" w:rsidR="00510CAA" w:rsidRDefault="00510CAA">
            <w:pPr>
              <w:keepNext/>
              <w:rPr>
                <w:rFonts w:ascii="Arial" w:eastAsia="Arial" w:hAnsi="Arial" w:cs="Arial"/>
                <w:color w:val="000000"/>
                <w:sz w:val="20"/>
              </w:rPr>
            </w:pPr>
          </w:p>
        </w:tc>
        <w:tc>
          <w:tcPr>
            <w:tcW w:w="4860" w:type="dxa"/>
            <w:gridSpan w:val="6"/>
            <w:tcBorders>
              <w:top w:val="nil"/>
              <w:left w:val="nil"/>
              <w:bottom w:val="nil"/>
              <w:right w:val="nil"/>
              <w:tl2br w:val="nil"/>
              <w:tr2bl w:val="nil"/>
            </w:tcBorders>
            <w:noWrap/>
            <w:tcMar>
              <w:left w:w="0" w:type="dxa"/>
              <w:right w:w="0" w:type="dxa"/>
            </w:tcMar>
            <w:vAlign w:val="bottom"/>
          </w:tcPr>
          <w:p w14:paraId="71F3E59F"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Year Ended December 31,</w:t>
            </w:r>
          </w:p>
        </w:tc>
      </w:tr>
      <w:tr w:rsidR="00510CAA" w14:paraId="71F3E5A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noWrap/>
            <w:tcMar>
              <w:left w:w="0" w:type="dxa"/>
              <w:right w:w="0" w:type="dxa"/>
            </w:tcMar>
            <w:vAlign w:val="bottom"/>
          </w:tcPr>
          <w:p w14:paraId="71F3E5A1"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5A2" w14:textId="77777777" w:rsidR="00510CAA" w:rsidRDefault="00510CAA">
            <w:pPr>
              <w:keepNext/>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5A3"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noWrap/>
            <w:tcMar>
              <w:left w:w="0" w:type="dxa"/>
              <w:right w:w="0" w:type="dxa"/>
            </w:tcMar>
            <w:vAlign w:val="bottom"/>
          </w:tcPr>
          <w:p w14:paraId="71F3E5A4" w14:textId="77777777" w:rsidR="00510CAA" w:rsidRDefault="00510CAA">
            <w:pPr>
              <w:keepNext/>
              <w:jc w:val="center"/>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5A5"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180" w:type="dxa"/>
            <w:tcBorders>
              <w:top w:val="nil"/>
              <w:left w:val="nil"/>
              <w:bottom w:val="nil"/>
              <w:right w:val="nil"/>
              <w:tl2br w:val="nil"/>
              <w:tr2bl w:val="nil"/>
            </w:tcBorders>
            <w:noWrap/>
            <w:tcMar>
              <w:left w:w="0" w:type="dxa"/>
              <w:right w:w="0" w:type="dxa"/>
            </w:tcMar>
            <w:vAlign w:val="bottom"/>
          </w:tcPr>
          <w:p w14:paraId="71F3E5A6" w14:textId="77777777" w:rsidR="00510CAA" w:rsidRDefault="00510CAA">
            <w:pPr>
              <w:keepNext/>
              <w:jc w:val="center"/>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5A7"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E5A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05"/>
        </w:trPr>
        <w:tc>
          <w:tcPr>
            <w:tcW w:w="5325" w:type="dxa"/>
            <w:tcBorders>
              <w:top w:val="nil"/>
              <w:left w:val="nil"/>
              <w:bottom w:val="nil"/>
              <w:right w:val="nil"/>
              <w:tl2br w:val="nil"/>
              <w:tr2bl w:val="nil"/>
            </w:tcBorders>
            <w:noWrap/>
            <w:tcMar>
              <w:left w:w="0" w:type="dxa"/>
              <w:right w:w="0" w:type="dxa"/>
            </w:tcMar>
            <w:vAlign w:val="bottom"/>
          </w:tcPr>
          <w:p w14:paraId="71F3E5A9" w14:textId="77777777" w:rsidR="00510CAA" w:rsidRDefault="00510CAA">
            <w:pPr>
              <w:keepNext/>
              <w:rPr>
                <w:rFonts w:ascii="Arial" w:eastAsia="Arial" w:hAnsi="Arial" w:cs="Arial"/>
                <w:color w:val="000000"/>
                <w:sz w:val="20"/>
              </w:rPr>
            </w:pPr>
          </w:p>
        </w:tc>
        <w:tc>
          <w:tcPr>
            <w:tcW w:w="4860" w:type="dxa"/>
            <w:gridSpan w:val="6"/>
            <w:tcBorders>
              <w:top w:val="nil"/>
              <w:left w:val="nil"/>
              <w:bottom w:val="nil"/>
              <w:right w:val="nil"/>
              <w:tl2br w:val="nil"/>
              <w:tr2bl w:val="nil"/>
            </w:tcBorders>
            <w:noWrap/>
            <w:tcMar>
              <w:left w:w="0" w:type="dxa"/>
              <w:right w:w="0" w:type="dxa"/>
            </w:tcMar>
            <w:vAlign w:val="bottom"/>
          </w:tcPr>
          <w:p w14:paraId="71F3E5AA" w14:textId="77777777" w:rsidR="00510CAA" w:rsidRDefault="00510CAA">
            <w:pPr>
              <w:keepNext/>
              <w:jc w:val="center"/>
              <w:rPr>
                <w:rFonts w:ascii="Arial" w:eastAsia="Arial" w:hAnsi="Arial" w:cs="Arial"/>
                <w:b/>
                <w:color w:val="000000"/>
                <w:sz w:val="20"/>
              </w:rPr>
            </w:pPr>
          </w:p>
        </w:tc>
      </w:tr>
      <w:tr w:rsidR="00510CAA" w14:paraId="71F3E5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AC" w14:textId="77777777" w:rsidR="00510CAA" w:rsidRDefault="003A4815">
            <w:pPr>
              <w:keepNext/>
              <w:rPr>
                <w:rFonts w:ascii="Arial" w:eastAsia="Arial" w:hAnsi="Arial" w:cs="Arial"/>
                <w:b/>
                <w:color w:val="000000"/>
                <w:sz w:val="20"/>
              </w:rPr>
            </w:pPr>
            <w:r>
              <w:rPr>
                <w:rFonts w:ascii="Arial" w:eastAsia="Arial" w:hAnsi="Arial" w:cs="Arial"/>
                <w:b/>
                <w:color w:val="000000"/>
                <w:sz w:val="20"/>
              </w:rPr>
              <w:t>Fleet Data:</w:t>
            </w:r>
          </w:p>
        </w:tc>
        <w:tc>
          <w:tcPr>
            <w:tcW w:w="180" w:type="dxa"/>
            <w:tcBorders>
              <w:top w:val="nil"/>
              <w:left w:val="nil"/>
              <w:bottom w:val="nil"/>
              <w:right w:val="nil"/>
              <w:tl2br w:val="nil"/>
              <w:tr2bl w:val="nil"/>
            </w:tcBorders>
            <w:tcMar>
              <w:left w:w="0" w:type="dxa"/>
              <w:right w:w="0" w:type="dxa"/>
            </w:tcMar>
            <w:vAlign w:val="bottom"/>
          </w:tcPr>
          <w:p w14:paraId="71F3E5A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E5AE"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E5AF"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E5B0"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E5B1"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E5B2" w14:textId="77777777" w:rsidR="00510CAA" w:rsidRDefault="00510CAA">
            <w:pPr>
              <w:keepNext/>
              <w:rPr>
                <w:rFonts w:ascii="Arial" w:eastAsia="Arial" w:hAnsi="Arial" w:cs="Arial"/>
                <w:color w:val="000000"/>
                <w:sz w:val="20"/>
              </w:rPr>
            </w:pPr>
          </w:p>
        </w:tc>
      </w:tr>
      <w:tr w:rsidR="00510CAA" w14:paraId="71F3E5B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B4" w14:textId="77777777" w:rsidR="00510CAA" w:rsidRDefault="003A4815">
            <w:pPr>
              <w:keepNext/>
              <w:rPr>
                <w:rFonts w:ascii="Arial" w:eastAsia="Arial" w:hAnsi="Arial" w:cs="Arial"/>
                <w:color w:val="000000"/>
                <w:sz w:val="20"/>
              </w:rPr>
            </w:pPr>
            <w:r>
              <w:rPr>
                <w:rFonts w:ascii="Arial" w:eastAsia="Arial" w:hAnsi="Arial" w:cs="Arial"/>
                <w:color w:val="000000"/>
                <w:sz w:val="20"/>
              </w:rPr>
              <w:t>Average number of vessels (1)</w:t>
            </w:r>
          </w:p>
        </w:tc>
        <w:tc>
          <w:tcPr>
            <w:tcW w:w="180" w:type="dxa"/>
            <w:tcBorders>
              <w:top w:val="nil"/>
              <w:left w:val="nil"/>
              <w:bottom w:val="nil"/>
              <w:right w:val="nil"/>
              <w:tl2br w:val="nil"/>
              <w:tr2bl w:val="nil"/>
            </w:tcBorders>
            <w:tcMar>
              <w:left w:w="0" w:type="dxa"/>
              <w:right w:w="0" w:type="dxa"/>
            </w:tcMar>
            <w:vAlign w:val="bottom"/>
          </w:tcPr>
          <w:p w14:paraId="71F3E5B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B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36.7</w:t>
            </w:r>
          </w:p>
        </w:tc>
        <w:tc>
          <w:tcPr>
            <w:tcW w:w="180" w:type="dxa"/>
            <w:tcBorders>
              <w:top w:val="nil"/>
              <w:left w:val="nil"/>
              <w:bottom w:val="nil"/>
              <w:right w:val="nil"/>
              <w:tl2br w:val="nil"/>
              <w:tr2bl w:val="nil"/>
            </w:tcBorders>
            <w:noWrap/>
            <w:tcMar>
              <w:left w:w="0" w:type="dxa"/>
              <w:right w:w="0" w:type="dxa"/>
            </w:tcMar>
          </w:tcPr>
          <w:p w14:paraId="71F3E5B7"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B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38.9</w:t>
            </w:r>
          </w:p>
        </w:tc>
        <w:tc>
          <w:tcPr>
            <w:tcW w:w="180" w:type="dxa"/>
            <w:tcBorders>
              <w:top w:val="nil"/>
              <w:left w:val="nil"/>
              <w:bottom w:val="nil"/>
              <w:right w:val="nil"/>
              <w:tl2br w:val="nil"/>
              <w:tr2bl w:val="nil"/>
            </w:tcBorders>
            <w:noWrap/>
            <w:tcMar>
              <w:left w:w="0" w:type="dxa"/>
              <w:right w:w="0" w:type="dxa"/>
            </w:tcMar>
          </w:tcPr>
          <w:p w14:paraId="71F3E5B9"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B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41.1</w:t>
            </w:r>
          </w:p>
        </w:tc>
      </w:tr>
      <w:tr w:rsidR="00510CAA" w14:paraId="71F3E5C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BC" w14:textId="77777777" w:rsidR="00510CAA" w:rsidRDefault="003A4815">
            <w:pPr>
              <w:keepNext/>
              <w:rPr>
                <w:rFonts w:ascii="Arial" w:eastAsia="Arial" w:hAnsi="Arial" w:cs="Arial"/>
                <w:color w:val="000000"/>
                <w:sz w:val="20"/>
              </w:rPr>
            </w:pPr>
            <w:r>
              <w:rPr>
                <w:rFonts w:ascii="Arial" w:eastAsia="Arial" w:hAnsi="Arial" w:cs="Arial"/>
                <w:color w:val="000000"/>
                <w:sz w:val="20"/>
              </w:rPr>
              <w:t>Number of vessels at year-end</w:t>
            </w:r>
          </w:p>
        </w:tc>
        <w:tc>
          <w:tcPr>
            <w:tcW w:w="180" w:type="dxa"/>
            <w:tcBorders>
              <w:top w:val="nil"/>
              <w:left w:val="nil"/>
              <w:bottom w:val="nil"/>
              <w:right w:val="nil"/>
              <w:tl2br w:val="nil"/>
              <w:tr2bl w:val="nil"/>
            </w:tcBorders>
            <w:tcMar>
              <w:left w:w="0" w:type="dxa"/>
              <w:right w:w="0" w:type="dxa"/>
            </w:tcMar>
            <w:vAlign w:val="bottom"/>
          </w:tcPr>
          <w:p w14:paraId="71F3E5B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B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36.0</w:t>
            </w:r>
          </w:p>
        </w:tc>
        <w:tc>
          <w:tcPr>
            <w:tcW w:w="180" w:type="dxa"/>
            <w:tcBorders>
              <w:top w:val="nil"/>
              <w:left w:val="nil"/>
              <w:bottom w:val="nil"/>
              <w:right w:val="nil"/>
              <w:tl2br w:val="nil"/>
              <w:tr2bl w:val="nil"/>
            </w:tcBorders>
            <w:noWrap/>
            <w:tcMar>
              <w:left w:w="0" w:type="dxa"/>
              <w:right w:w="0" w:type="dxa"/>
            </w:tcMar>
          </w:tcPr>
          <w:p w14:paraId="71F3E5BF"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38.0</w:t>
            </w:r>
          </w:p>
        </w:tc>
        <w:tc>
          <w:tcPr>
            <w:tcW w:w="180" w:type="dxa"/>
            <w:tcBorders>
              <w:top w:val="nil"/>
              <w:left w:val="nil"/>
              <w:bottom w:val="nil"/>
              <w:right w:val="nil"/>
              <w:tl2br w:val="nil"/>
              <w:tr2bl w:val="nil"/>
            </w:tcBorders>
            <w:noWrap/>
            <w:tcMar>
              <w:left w:w="0" w:type="dxa"/>
              <w:right w:w="0" w:type="dxa"/>
            </w:tcMar>
          </w:tcPr>
          <w:p w14:paraId="71F3E5C1"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40.0</w:t>
            </w:r>
          </w:p>
        </w:tc>
      </w:tr>
      <w:tr w:rsidR="00510CAA" w14:paraId="71F3E5C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325" w:type="dxa"/>
            <w:tcBorders>
              <w:top w:val="nil"/>
              <w:left w:val="nil"/>
              <w:bottom w:val="nil"/>
              <w:right w:val="nil"/>
              <w:tl2br w:val="nil"/>
              <w:tr2bl w:val="nil"/>
            </w:tcBorders>
            <w:tcMar>
              <w:left w:w="0" w:type="dxa"/>
              <w:right w:w="0" w:type="dxa"/>
            </w:tcMar>
            <w:vAlign w:val="bottom"/>
          </w:tcPr>
          <w:p w14:paraId="71F3E5C4"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Weighted average age of vessels at year-end (in years) </w:t>
            </w:r>
          </w:p>
        </w:tc>
        <w:tc>
          <w:tcPr>
            <w:tcW w:w="180" w:type="dxa"/>
            <w:tcBorders>
              <w:top w:val="nil"/>
              <w:left w:val="nil"/>
              <w:bottom w:val="nil"/>
              <w:right w:val="nil"/>
              <w:tl2br w:val="nil"/>
              <w:tr2bl w:val="nil"/>
            </w:tcBorders>
            <w:tcMar>
              <w:left w:w="0" w:type="dxa"/>
              <w:right w:w="0" w:type="dxa"/>
            </w:tcMar>
            <w:vAlign w:val="bottom"/>
          </w:tcPr>
          <w:p w14:paraId="71F3E5C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12.1</w:t>
            </w:r>
          </w:p>
        </w:tc>
        <w:tc>
          <w:tcPr>
            <w:tcW w:w="180" w:type="dxa"/>
            <w:tcBorders>
              <w:top w:val="nil"/>
              <w:left w:val="nil"/>
              <w:bottom w:val="nil"/>
              <w:right w:val="nil"/>
              <w:tl2br w:val="nil"/>
              <w:tr2bl w:val="nil"/>
            </w:tcBorders>
            <w:noWrap/>
            <w:tcMar>
              <w:left w:w="0" w:type="dxa"/>
              <w:right w:w="0" w:type="dxa"/>
            </w:tcMar>
          </w:tcPr>
          <w:p w14:paraId="71F3E5C7"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11.3</w:t>
            </w:r>
          </w:p>
        </w:tc>
        <w:tc>
          <w:tcPr>
            <w:tcW w:w="180" w:type="dxa"/>
            <w:tcBorders>
              <w:top w:val="nil"/>
              <w:left w:val="nil"/>
              <w:bottom w:val="nil"/>
              <w:right w:val="nil"/>
              <w:tl2br w:val="nil"/>
              <w:tr2bl w:val="nil"/>
            </w:tcBorders>
            <w:noWrap/>
            <w:tcMar>
              <w:left w:w="0" w:type="dxa"/>
              <w:right w:w="0" w:type="dxa"/>
            </w:tcMar>
          </w:tcPr>
          <w:p w14:paraId="71F3E5C9"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10.5</w:t>
            </w:r>
          </w:p>
        </w:tc>
      </w:tr>
      <w:tr w:rsidR="00510CAA" w14:paraId="71F3E5D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CC"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Ownership days (2) </w:t>
            </w:r>
          </w:p>
        </w:tc>
        <w:tc>
          <w:tcPr>
            <w:tcW w:w="180" w:type="dxa"/>
            <w:tcBorders>
              <w:top w:val="nil"/>
              <w:left w:val="nil"/>
              <w:bottom w:val="nil"/>
              <w:right w:val="nil"/>
              <w:tl2br w:val="nil"/>
              <w:tr2bl w:val="nil"/>
            </w:tcBorders>
            <w:tcMar>
              <w:left w:w="0" w:type="dxa"/>
              <w:right w:w="0" w:type="dxa"/>
            </w:tcMar>
            <w:vAlign w:val="bottom"/>
          </w:tcPr>
          <w:p w14:paraId="71F3E5C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C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13,406</w:t>
            </w:r>
          </w:p>
        </w:tc>
        <w:tc>
          <w:tcPr>
            <w:tcW w:w="180" w:type="dxa"/>
            <w:tcBorders>
              <w:top w:val="nil"/>
              <w:left w:val="nil"/>
              <w:bottom w:val="nil"/>
              <w:right w:val="nil"/>
              <w:tl2br w:val="nil"/>
              <w:tr2bl w:val="nil"/>
            </w:tcBorders>
            <w:noWrap/>
            <w:tcMar>
              <w:left w:w="0" w:type="dxa"/>
              <w:right w:w="0" w:type="dxa"/>
            </w:tcMar>
          </w:tcPr>
          <w:p w14:paraId="71F3E5CF"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14,219</w:t>
            </w:r>
          </w:p>
        </w:tc>
        <w:tc>
          <w:tcPr>
            <w:tcW w:w="180" w:type="dxa"/>
            <w:tcBorders>
              <w:top w:val="nil"/>
              <w:left w:val="nil"/>
              <w:bottom w:val="nil"/>
              <w:right w:val="nil"/>
              <w:tl2br w:val="nil"/>
              <w:tr2bl w:val="nil"/>
            </w:tcBorders>
            <w:noWrap/>
            <w:tcMar>
              <w:left w:w="0" w:type="dxa"/>
              <w:right w:w="0" w:type="dxa"/>
            </w:tcMar>
          </w:tcPr>
          <w:p w14:paraId="71F3E5D1"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14,986</w:t>
            </w:r>
          </w:p>
        </w:tc>
      </w:tr>
      <w:tr w:rsidR="00510CAA" w14:paraId="71F3E5D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D4"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Available days (3) </w:t>
            </w:r>
          </w:p>
        </w:tc>
        <w:tc>
          <w:tcPr>
            <w:tcW w:w="180" w:type="dxa"/>
            <w:tcBorders>
              <w:top w:val="nil"/>
              <w:left w:val="nil"/>
              <w:bottom w:val="nil"/>
              <w:right w:val="nil"/>
              <w:tl2br w:val="nil"/>
              <w:tr2bl w:val="nil"/>
            </w:tcBorders>
            <w:tcMar>
              <w:left w:w="0" w:type="dxa"/>
              <w:right w:w="0" w:type="dxa"/>
            </w:tcMar>
            <w:vAlign w:val="bottom"/>
          </w:tcPr>
          <w:p w14:paraId="71F3E5D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13,014</w:t>
            </w:r>
          </w:p>
        </w:tc>
        <w:tc>
          <w:tcPr>
            <w:tcW w:w="180" w:type="dxa"/>
            <w:tcBorders>
              <w:top w:val="nil"/>
              <w:left w:val="nil"/>
              <w:bottom w:val="nil"/>
              <w:right w:val="nil"/>
              <w:tl2br w:val="nil"/>
              <w:tr2bl w:val="nil"/>
            </w:tcBorders>
            <w:noWrap/>
            <w:tcMar>
              <w:left w:w="0" w:type="dxa"/>
              <w:right w:w="0" w:type="dxa"/>
            </w:tcMar>
          </w:tcPr>
          <w:p w14:paraId="71F3E5D7"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14,057</w:t>
            </w:r>
          </w:p>
        </w:tc>
        <w:tc>
          <w:tcPr>
            <w:tcW w:w="180" w:type="dxa"/>
            <w:tcBorders>
              <w:top w:val="nil"/>
              <w:left w:val="nil"/>
              <w:bottom w:val="nil"/>
              <w:right w:val="nil"/>
              <w:tl2br w:val="nil"/>
              <w:tr2bl w:val="nil"/>
            </w:tcBorders>
            <w:noWrap/>
            <w:tcMar>
              <w:left w:w="0" w:type="dxa"/>
              <w:right w:w="0" w:type="dxa"/>
            </w:tcMar>
          </w:tcPr>
          <w:p w14:paraId="71F3E5D9"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14,867</w:t>
            </w:r>
          </w:p>
        </w:tc>
      </w:tr>
      <w:tr w:rsidR="00510CAA" w14:paraId="71F3E5E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DC"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Operating days (4) </w:t>
            </w:r>
          </w:p>
        </w:tc>
        <w:tc>
          <w:tcPr>
            <w:tcW w:w="180" w:type="dxa"/>
            <w:tcBorders>
              <w:top w:val="nil"/>
              <w:left w:val="nil"/>
              <w:bottom w:val="nil"/>
              <w:right w:val="nil"/>
              <w:tl2br w:val="nil"/>
              <w:tr2bl w:val="nil"/>
            </w:tcBorders>
            <w:tcMar>
              <w:left w:w="0" w:type="dxa"/>
              <w:right w:w="0" w:type="dxa"/>
            </w:tcMar>
            <w:vAlign w:val="bottom"/>
          </w:tcPr>
          <w:p w14:paraId="71F3E5D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D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12,969</w:t>
            </w:r>
          </w:p>
        </w:tc>
        <w:tc>
          <w:tcPr>
            <w:tcW w:w="180" w:type="dxa"/>
            <w:tcBorders>
              <w:top w:val="nil"/>
              <w:left w:val="nil"/>
              <w:bottom w:val="nil"/>
              <w:right w:val="nil"/>
              <w:tl2br w:val="nil"/>
              <w:tr2bl w:val="nil"/>
            </w:tcBorders>
            <w:noWrap/>
            <w:tcMar>
              <w:left w:w="0" w:type="dxa"/>
              <w:right w:w="0" w:type="dxa"/>
            </w:tcMar>
          </w:tcPr>
          <w:p w14:paraId="71F3E5DF"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E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14,009</w:t>
            </w:r>
          </w:p>
        </w:tc>
        <w:tc>
          <w:tcPr>
            <w:tcW w:w="180" w:type="dxa"/>
            <w:tcBorders>
              <w:top w:val="nil"/>
              <w:left w:val="nil"/>
              <w:bottom w:val="nil"/>
              <w:right w:val="nil"/>
              <w:tl2br w:val="nil"/>
              <w:tr2bl w:val="nil"/>
            </w:tcBorders>
            <w:noWrap/>
            <w:tcMar>
              <w:left w:w="0" w:type="dxa"/>
              <w:right w:w="0" w:type="dxa"/>
            </w:tcMar>
          </w:tcPr>
          <w:p w14:paraId="71F3E5E1"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tcPr>
          <w:p w14:paraId="71F3E5E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14,824</w:t>
            </w:r>
          </w:p>
        </w:tc>
      </w:tr>
      <w:tr w:rsidR="00510CAA" w14:paraId="71F3E5E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tcMar>
              <w:left w:w="0" w:type="dxa"/>
              <w:right w:w="0" w:type="dxa"/>
            </w:tcMar>
            <w:vAlign w:val="bottom"/>
          </w:tcPr>
          <w:p w14:paraId="71F3E5E4"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Fleet utilization (5) </w:t>
            </w:r>
          </w:p>
        </w:tc>
        <w:tc>
          <w:tcPr>
            <w:tcW w:w="180" w:type="dxa"/>
            <w:tcBorders>
              <w:top w:val="nil"/>
              <w:left w:val="nil"/>
              <w:bottom w:val="nil"/>
              <w:right w:val="nil"/>
              <w:tl2br w:val="nil"/>
              <w:tr2bl w:val="nil"/>
            </w:tcBorders>
            <w:tcMar>
              <w:left w:w="0" w:type="dxa"/>
              <w:right w:w="0" w:type="dxa"/>
            </w:tcMar>
            <w:vAlign w:val="bottom"/>
          </w:tcPr>
          <w:p w14:paraId="71F3E5E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tcPr>
          <w:p w14:paraId="71F3E5E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99.7%</w:t>
            </w:r>
          </w:p>
        </w:tc>
        <w:tc>
          <w:tcPr>
            <w:tcW w:w="180" w:type="dxa"/>
            <w:tcBorders>
              <w:top w:val="nil"/>
              <w:left w:val="nil"/>
              <w:bottom w:val="nil"/>
              <w:right w:val="nil"/>
              <w:tl2br w:val="nil"/>
              <w:tr2bl w:val="nil"/>
            </w:tcBorders>
            <w:noWrap/>
            <w:tcMar>
              <w:left w:w="0" w:type="dxa"/>
              <w:right w:w="0" w:type="dxa"/>
            </w:tcMar>
          </w:tcPr>
          <w:p w14:paraId="71F3E5E7"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tcPr>
          <w:p w14:paraId="71F3E5E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99.7%</w:t>
            </w:r>
          </w:p>
        </w:tc>
        <w:tc>
          <w:tcPr>
            <w:tcW w:w="180" w:type="dxa"/>
            <w:tcBorders>
              <w:top w:val="nil"/>
              <w:left w:val="nil"/>
              <w:bottom w:val="nil"/>
              <w:right w:val="nil"/>
              <w:tl2br w:val="nil"/>
              <w:tr2bl w:val="nil"/>
            </w:tcBorders>
            <w:noWrap/>
            <w:tcMar>
              <w:left w:w="0" w:type="dxa"/>
              <w:right w:w="0" w:type="dxa"/>
            </w:tcMar>
          </w:tcPr>
          <w:p w14:paraId="71F3E5E9"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tcPr>
          <w:p w14:paraId="71F3E5E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99.7%</w:t>
            </w:r>
          </w:p>
        </w:tc>
      </w:tr>
    </w:tbl>
    <w:p w14:paraId="71F3E5EC" w14:textId="77777777" w:rsidR="00510CAA" w:rsidRDefault="00510CAA">
      <w:pPr>
        <w:rPr>
          <w:rFonts w:ascii="Arial" w:eastAsia="Arial" w:hAnsi="Arial" w:cs="Arial"/>
        </w:rPr>
      </w:pPr>
    </w:p>
    <w:tbl>
      <w:tblPr>
        <w:tblStyle w:val="CDMRange1"/>
        <w:tblW w:w="10155" w:type="dxa"/>
        <w:tblLayout w:type="fixed"/>
        <w:tblLook w:val="0600" w:firstRow="0" w:lastRow="0" w:firstColumn="0" w:lastColumn="0" w:noHBand="1" w:noVBand="1"/>
      </w:tblPr>
      <w:tblGrid>
        <w:gridCol w:w="5295"/>
        <w:gridCol w:w="180"/>
        <w:gridCol w:w="1440"/>
        <w:gridCol w:w="180"/>
        <w:gridCol w:w="1440"/>
        <w:gridCol w:w="180"/>
        <w:gridCol w:w="1440"/>
      </w:tblGrid>
      <w:tr w:rsidR="00510CAA" w14:paraId="71F3E5F4" w14:textId="77777777">
        <w:trPr>
          <w:cantSplit/>
          <w:trHeight w:hRule="exact" w:val="255"/>
        </w:trPr>
        <w:tc>
          <w:tcPr>
            <w:tcW w:w="5295" w:type="dxa"/>
            <w:tcBorders>
              <w:top w:val="nil"/>
              <w:left w:val="nil"/>
              <w:bottom w:val="nil"/>
              <w:right w:val="nil"/>
              <w:tl2br w:val="nil"/>
              <w:tr2bl w:val="nil"/>
            </w:tcBorders>
            <w:noWrap/>
            <w:tcMar>
              <w:left w:w="0" w:type="dxa"/>
              <w:right w:w="0" w:type="dxa"/>
            </w:tcMar>
            <w:vAlign w:val="bottom"/>
          </w:tcPr>
          <w:p w14:paraId="71F3E5ED" w14:textId="77777777" w:rsidR="00510CAA" w:rsidRDefault="003A4815">
            <w:pPr>
              <w:keepNext/>
              <w:rPr>
                <w:rFonts w:ascii="Arial" w:eastAsia="Arial" w:hAnsi="Arial" w:cs="Arial"/>
                <w:b/>
                <w:color w:val="000000"/>
                <w:sz w:val="20"/>
              </w:rPr>
            </w:pPr>
            <w:bookmarkStart w:id="157" w:name="RG_MARKER_22979"/>
            <w:r>
              <w:rPr>
                <w:rFonts w:ascii="Arial" w:eastAsia="Arial" w:hAnsi="Arial" w:cs="Arial"/>
                <w:b/>
                <w:color w:val="000000"/>
                <w:sz w:val="20"/>
              </w:rPr>
              <w:t>Average Daily Results:</w:t>
            </w:r>
            <w:bookmarkEnd w:id="157"/>
          </w:p>
        </w:tc>
        <w:tc>
          <w:tcPr>
            <w:tcW w:w="180" w:type="dxa"/>
            <w:tcBorders>
              <w:top w:val="nil"/>
              <w:left w:val="nil"/>
              <w:bottom w:val="nil"/>
              <w:right w:val="nil"/>
              <w:tl2br w:val="nil"/>
              <w:tr2bl w:val="nil"/>
            </w:tcBorders>
            <w:noWrap/>
            <w:tcMar>
              <w:left w:w="0" w:type="dxa"/>
              <w:right w:w="0" w:type="dxa"/>
            </w:tcMar>
            <w:vAlign w:val="bottom"/>
          </w:tcPr>
          <w:p w14:paraId="71F3E5EE"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E5EF"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5F0"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E5F1"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5F2"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E5F3" w14:textId="77777777" w:rsidR="00510CAA" w:rsidRDefault="00510CAA">
            <w:pPr>
              <w:keepNext/>
              <w:jc w:val="right"/>
              <w:rPr>
                <w:rFonts w:ascii="Arial" w:eastAsia="Arial" w:hAnsi="Arial" w:cs="Arial"/>
                <w:color w:val="000000"/>
                <w:sz w:val="20"/>
              </w:rPr>
            </w:pPr>
          </w:p>
        </w:tc>
      </w:tr>
      <w:tr w:rsidR="00510CAA" w14:paraId="71F3E5F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295" w:type="dxa"/>
            <w:tcBorders>
              <w:top w:val="nil"/>
              <w:left w:val="nil"/>
              <w:bottom w:val="nil"/>
              <w:right w:val="nil"/>
              <w:tl2br w:val="nil"/>
              <w:tr2bl w:val="nil"/>
            </w:tcBorders>
            <w:noWrap/>
            <w:tcMar>
              <w:left w:w="0" w:type="dxa"/>
              <w:right w:w="0" w:type="dxa"/>
            </w:tcMar>
            <w:vAlign w:val="bottom"/>
          </w:tcPr>
          <w:p w14:paraId="71F3E5F5"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Time charter equivalent (TCE) rate (6) </w:t>
            </w:r>
          </w:p>
        </w:tc>
        <w:tc>
          <w:tcPr>
            <w:tcW w:w="180" w:type="dxa"/>
            <w:tcBorders>
              <w:top w:val="nil"/>
              <w:left w:val="nil"/>
              <w:bottom w:val="nil"/>
              <w:right w:val="nil"/>
              <w:tl2br w:val="nil"/>
              <w:tr2bl w:val="nil"/>
            </w:tcBorders>
            <w:noWrap/>
            <w:tcMar>
              <w:left w:w="0" w:type="dxa"/>
              <w:right w:w="0" w:type="dxa"/>
            </w:tcMar>
            <w:vAlign w:val="bottom"/>
          </w:tcPr>
          <w:p w14:paraId="71F3E5F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E5F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15,454</w:t>
            </w:r>
          </w:p>
        </w:tc>
        <w:tc>
          <w:tcPr>
            <w:tcW w:w="180" w:type="dxa"/>
            <w:tcBorders>
              <w:top w:val="nil"/>
              <w:left w:val="nil"/>
              <w:bottom w:val="nil"/>
              <w:right w:val="nil"/>
              <w:tl2br w:val="nil"/>
              <w:tr2bl w:val="nil"/>
            </w:tcBorders>
            <w:noWrap/>
            <w:tcMar>
              <w:left w:w="0" w:type="dxa"/>
              <w:right w:w="0" w:type="dxa"/>
            </w:tcMar>
            <w:vAlign w:val="bottom"/>
          </w:tcPr>
          <w:p w14:paraId="71F3E5F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E5F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15,267</w:t>
            </w:r>
          </w:p>
        </w:tc>
        <w:tc>
          <w:tcPr>
            <w:tcW w:w="180" w:type="dxa"/>
            <w:tcBorders>
              <w:top w:val="nil"/>
              <w:left w:val="nil"/>
              <w:bottom w:val="nil"/>
              <w:right w:val="nil"/>
              <w:tl2br w:val="nil"/>
              <w:tr2bl w:val="nil"/>
            </w:tcBorders>
            <w:noWrap/>
            <w:tcMar>
              <w:left w:w="0" w:type="dxa"/>
              <w:right w:w="0" w:type="dxa"/>
            </w:tcMar>
            <w:vAlign w:val="bottom"/>
          </w:tcPr>
          <w:p w14:paraId="71F3E5F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E5F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16,713</w:t>
            </w:r>
          </w:p>
        </w:tc>
      </w:tr>
      <w:tr w:rsidR="00510CAA" w14:paraId="71F3E60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295" w:type="dxa"/>
            <w:tcBorders>
              <w:top w:val="nil"/>
              <w:left w:val="nil"/>
              <w:bottom w:val="nil"/>
              <w:right w:val="nil"/>
              <w:tl2br w:val="nil"/>
              <w:tr2bl w:val="nil"/>
            </w:tcBorders>
            <w:noWrap/>
            <w:tcMar>
              <w:left w:w="0" w:type="dxa"/>
              <w:right w:w="0" w:type="dxa"/>
            </w:tcMar>
            <w:vAlign w:val="bottom"/>
          </w:tcPr>
          <w:p w14:paraId="71F3E5FD"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Daily vessel operating expenses (7) </w:t>
            </w:r>
          </w:p>
        </w:tc>
        <w:tc>
          <w:tcPr>
            <w:tcW w:w="180" w:type="dxa"/>
            <w:tcBorders>
              <w:top w:val="nil"/>
              <w:left w:val="nil"/>
              <w:bottom w:val="nil"/>
              <w:right w:val="nil"/>
              <w:tl2br w:val="nil"/>
              <w:tr2bl w:val="nil"/>
            </w:tcBorders>
            <w:noWrap/>
            <w:tcMar>
              <w:left w:w="0" w:type="dxa"/>
              <w:right w:w="0" w:type="dxa"/>
            </w:tcMar>
            <w:vAlign w:val="bottom"/>
          </w:tcPr>
          <w:p w14:paraId="71F3E5FE"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E5F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5,986</w:t>
            </w:r>
          </w:p>
        </w:tc>
        <w:tc>
          <w:tcPr>
            <w:tcW w:w="180" w:type="dxa"/>
            <w:tcBorders>
              <w:top w:val="nil"/>
              <w:left w:val="nil"/>
              <w:bottom w:val="nil"/>
              <w:right w:val="nil"/>
              <w:tl2br w:val="nil"/>
              <w:tr2bl w:val="nil"/>
            </w:tcBorders>
            <w:noWrap/>
            <w:tcMar>
              <w:left w:w="0" w:type="dxa"/>
              <w:right w:w="0" w:type="dxa"/>
            </w:tcMar>
            <w:vAlign w:val="bottom"/>
          </w:tcPr>
          <w:p w14:paraId="71F3E600"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E60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5,808</w:t>
            </w:r>
          </w:p>
        </w:tc>
        <w:tc>
          <w:tcPr>
            <w:tcW w:w="180" w:type="dxa"/>
            <w:tcBorders>
              <w:top w:val="nil"/>
              <w:left w:val="nil"/>
              <w:bottom w:val="nil"/>
              <w:right w:val="nil"/>
              <w:tl2br w:val="nil"/>
              <w:tr2bl w:val="nil"/>
            </w:tcBorders>
            <w:noWrap/>
            <w:tcMar>
              <w:left w:w="0" w:type="dxa"/>
              <w:right w:w="0" w:type="dxa"/>
            </w:tcMar>
            <w:vAlign w:val="bottom"/>
          </w:tcPr>
          <w:p w14:paraId="71F3E602"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E60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5,704</w:t>
            </w:r>
          </w:p>
        </w:tc>
      </w:tr>
    </w:tbl>
    <w:p w14:paraId="71F3E605" w14:textId="77777777" w:rsidR="00510CAA" w:rsidRDefault="00510CAA">
      <w:pPr>
        <w:pBdr>
          <w:top w:val="nil"/>
          <w:left w:val="nil"/>
          <w:bottom w:val="nil"/>
          <w:right w:val="nil"/>
          <w:between w:val="nil"/>
          <w:bar w:val="nil"/>
        </w:pBdr>
        <w:rPr>
          <w:rFonts w:ascii="Arial" w:eastAsia="Arial" w:hAnsi="Arial" w:cs="Arial"/>
          <w:bdr w:val="nil"/>
        </w:rPr>
      </w:pPr>
    </w:p>
    <w:p w14:paraId="71F3E606" w14:textId="77777777" w:rsidR="00931116" w:rsidRDefault="003A4815" w:rsidP="006B2757">
      <w:pPr>
        <w:pStyle w:val="Listnumbered"/>
        <w:keepLines/>
        <w:numPr>
          <w:ilvl w:val="0"/>
          <w:numId w:val="0"/>
        </w:numPr>
        <w:pBdr>
          <w:top w:val="nil"/>
          <w:left w:val="nil"/>
          <w:bottom w:val="nil"/>
          <w:right w:val="nil"/>
          <w:between w:val="nil"/>
          <w:bar w:val="nil"/>
        </w:pBdr>
        <w:tabs>
          <w:tab w:val="left" w:pos="1080"/>
        </w:tabs>
        <w:rPr>
          <w:rFonts w:ascii="Arial" w:eastAsia="Arial" w:hAnsi="Arial" w:cs="Arial"/>
          <w:color w:val="auto"/>
          <w:bdr w:val="nil"/>
        </w:rPr>
      </w:pPr>
      <w:bookmarkStart w:id="158" w:name="RG_MARKER_22980"/>
      <w:r w:rsidRPr="00E02E4E">
        <w:rPr>
          <w:rFonts w:ascii="Arial" w:eastAsia="Arial" w:hAnsi="Arial" w:cs="Arial"/>
          <w:color w:val="auto"/>
        </w:rPr>
        <w:t>The following table reflects the calculation of our TCE rates for the periods presented:</w:t>
      </w:r>
      <w:bookmarkEnd w:id="158"/>
    </w:p>
    <w:p w14:paraId="71F3E607" w14:textId="77777777" w:rsidR="0022570F" w:rsidRPr="00E02E4E" w:rsidRDefault="0022570F" w:rsidP="00E02E4E">
      <w:pPr>
        <w:pStyle w:val="Listnumbered"/>
        <w:keepLines/>
        <w:numPr>
          <w:ilvl w:val="0"/>
          <w:numId w:val="0"/>
        </w:numPr>
        <w:pBdr>
          <w:top w:val="nil"/>
          <w:left w:val="nil"/>
          <w:bottom w:val="nil"/>
          <w:right w:val="nil"/>
          <w:between w:val="nil"/>
          <w:bar w:val="nil"/>
        </w:pBdr>
        <w:tabs>
          <w:tab w:val="left" w:pos="1080"/>
        </w:tabs>
        <w:ind w:left="1077" w:hanging="720"/>
        <w:rPr>
          <w:rFonts w:ascii="Arial" w:eastAsia="Arial" w:hAnsi="Arial" w:cs="Arial"/>
          <w:color w:val="auto"/>
          <w:bdr w:val="nil"/>
        </w:rPr>
      </w:pPr>
    </w:p>
    <w:tbl>
      <w:tblPr>
        <w:tblStyle w:val="CDMRange2"/>
        <w:tblW w:w="10185" w:type="dxa"/>
        <w:tblLayout w:type="fixed"/>
        <w:tblLook w:val="0600" w:firstRow="0" w:lastRow="0" w:firstColumn="0" w:lastColumn="0" w:noHBand="1" w:noVBand="1"/>
      </w:tblPr>
      <w:tblGrid>
        <w:gridCol w:w="5325"/>
        <w:gridCol w:w="180"/>
        <w:gridCol w:w="1440"/>
        <w:gridCol w:w="180"/>
        <w:gridCol w:w="1440"/>
        <w:gridCol w:w="180"/>
        <w:gridCol w:w="1440"/>
      </w:tblGrid>
      <w:tr w:rsidR="00510CAA" w14:paraId="71F3E60B" w14:textId="77777777">
        <w:trPr>
          <w:cantSplit/>
          <w:trHeight w:hRule="exact" w:val="255"/>
        </w:trPr>
        <w:tc>
          <w:tcPr>
            <w:tcW w:w="5325" w:type="dxa"/>
            <w:tcBorders>
              <w:top w:val="nil"/>
              <w:left w:val="nil"/>
              <w:bottom w:val="nil"/>
              <w:right w:val="nil"/>
              <w:tl2br w:val="nil"/>
              <w:tr2bl w:val="nil"/>
            </w:tcBorders>
            <w:noWrap/>
            <w:tcMar>
              <w:left w:w="0" w:type="dxa"/>
              <w:right w:w="0" w:type="dxa"/>
            </w:tcMar>
            <w:vAlign w:val="bottom"/>
          </w:tcPr>
          <w:p w14:paraId="71F3E608" w14:textId="77777777" w:rsidR="00510CAA" w:rsidRDefault="00510CAA">
            <w:pPr>
              <w:keepNext/>
              <w:rPr>
                <w:rFonts w:ascii="Arial" w:eastAsia="Arial" w:hAnsi="Arial" w:cs="Arial"/>
                <w:b/>
                <w:color w:val="000000"/>
                <w:sz w:val="20"/>
              </w:rPr>
            </w:pPr>
            <w:bookmarkStart w:id="159" w:name="RG_MARKER_22981"/>
            <w:bookmarkEnd w:id="159"/>
          </w:p>
        </w:tc>
        <w:tc>
          <w:tcPr>
            <w:tcW w:w="180" w:type="dxa"/>
            <w:tcBorders>
              <w:top w:val="nil"/>
              <w:left w:val="nil"/>
              <w:bottom w:val="nil"/>
              <w:right w:val="nil"/>
              <w:tl2br w:val="nil"/>
              <w:tr2bl w:val="nil"/>
            </w:tcBorders>
            <w:noWrap/>
            <w:tcMar>
              <w:left w:w="0" w:type="dxa"/>
              <w:right w:w="0" w:type="dxa"/>
            </w:tcMar>
            <w:vAlign w:val="bottom"/>
          </w:tcPr>
          <w:p w14:paraId="71F3E609" w14:textId="77777777" w:rsidR="00510CAA" w:rsidRDefault="00510CAA">
            <w:pPr>
              <w:keepNext/>
              <w:jc w:val="center"/>
              <w:rPr>
                <w:rFonts w:ascii="Arial" w:eastAsia="Arial" w:hAnsi="Arial" w:cs="Arial"/>
                <w:b/>
                <w:color w:val="000000"/>
                <w:sz w:val="20"/>
              </w:rPr>
            </w:pPr>
          </w:p>
        </w:tc>
        <w:tc>
          <w:tcPr>
            <w:tcW w:w="4680" w:type="dxa"/>
            <w:gridSpan w:val="5"/>
            <w:tcBorders>
              <w:top w:val="nil"/>
              <w:left w:val="nil"/>
              <w:bottom w:val="nil"/>
              <w:right w:val="nil"/>
              <w:tl2br w:val="nil"/>
              <w:tr2bl w:val="nil"/>
            </w:tcBorders>
            <w:noWrap/>
            <w:tcMar>
              <w:left w:w="0" w:type="dxa"/>
              <w:right w:w="0" w:type="dxa"/>
            </w:tcMar>
            <w:vAlign w:val="bottom"/>
          </w:tcPr>
          <w:p w14:paraId="71F3E60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Year Ended December 31,</w:t>
            </w:r>
          </w:p>
        </w:tc>
      </w:tr>
      <w:tr w:rsidR="00510CAA" w14:paraId="71F3E61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tcBorders>
              <w:top w:val="nil"/>
              <w:left w:val="nil"/>
              <w:bottom w:val="nil"/>
              <w:right w:val="nil"/>
              <w:tl2br w:val="nil"/>
              <w:tr2bl w:val="nil"/>
            </w:tcBorders>
            <w:noWrap/>
            <w:tcMar>
              <w:left w:w="0" w:type="dxa"/>
              <w:right w:w="0" w:type="dxa"/>
            </w:tcMar>
            <w:vAlign w:val="bottom"/>
          </w:tcPr>
          <w:p w14:paraId="71F3E60C"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60D" w14:textId="77777777" w:rsidR="00510CAA" w:rsidRDefault="00510CAA">
            <w:pPr>
              <w:keepNext/>
              <w:jc w:val="center"/>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60E"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noWrap/>
            <w:tcMar>
              <w:left w:w="0" w:type="dxa"/>
              <w:right w:w="0" w:type="dxa"/>
            </w:tcMar>
            <w:vAlign w:val="bottom"/>
          </w:tcPr>
          <w:p w14:paraId="71F3E60F" w14:textId="77777777" w:rsidR="00510CAA" w:rsidRDefault="00510CAA">
            <w:pPr>
              <w:keepNext/>
              <w:jc w:val="center"/>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610"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180" w:type="dxa"/>
            <w:tcBorders>
              <w:top w:val="nil"/>
              <w:left w:val="nil"/>
              <w:bottom w:val="nil"/>
              <w:right w:val="nil"/>
              <w:tl2br w:val="nil"/>
              <w:tr2bl w:val="nil"/>
            </w:tcBorders>
            <w:noWrap/>
            <w:tcMar>
              <w:left w:w="0" w:type="dxa"/>
              <w:right w:w="0" w:type="dxa"/>
            </w:tcMar>
            <w:vAlign w:val="bottom"/>
          </w:tcPr>
          <w:p w14:paraId="71F3E611" w14:textId="77777777" w:rsidR="00510CAA" w:rsidRDefault="00510CAA">
            <w:pPr>
              <w:keepNext/>
              <w:jc w:val="center"/>
              <w:rPr>
                <w:rFonts w:ascii="Arial" w:eastAsia="Arial" w:hAnsi="Arial" w:cs="Arial"/>
                <w:b/>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E612"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E61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vMerge w:val="restart"/>
            <w:tcBorders>
              <w:top w:val="nil"/>
              <w:left w:val="nil"/>
              <w:bottom w:val="nil"/>
              <w:right w:val="nil"/>
              <w:tl2br w:val="nil"/>
              <w:tr2bl w:val="nil"/>
            </w:tcBorders>
            <w:noWrap/>
            <w:tcMar>
              <w:left w:w="0" w:type="dxa"/>
              <w:right w:w="0" w:type="dxa"/>
            </w:tcMar>
            <w:vAlign w:val="bottom"/>
          </w:tcPr>
          <w:p w14:paraId="71F3E614" w14:textId="77777777" w:rsidR="00510CAA" w:rsidRDefault="00510CAA">
            <w:pPr>
              <w:keepNext/>
              <w:rPr>
                <w:rFonts w:ascii="Arial" w:eastAsia="Arial" w:hAnsi="Arial" w:cs="Arial"/>
                <w:color w:val="000000"/>
                <w:sz w:val="20"/>
              </w:rPr>
            </w:pPr>
          </w:p>
        </w:tc>
        <w:tc>
          <w:tcPr>
            <w:tcW w:w="180" w:type="dxa"/>
            <w:vMerge w:val="restart"/>
            <w:tcBorders>
              <w:top w:val="nil"/>
              <w:left w:val="nil"/>
              <w:bottom w:val="nil"/>
              <w:right w:val="nil"/>
              <w:tl2br w:val="nil"/>
              <w:tr2bl w:val="nil"/>
            </w:tcBorders>
            <w:noWrap/>
            <w:tcMar>
              <w:left w:w="0" w:type="dxa"/>
              <w:right w:w="0" w:type="dxa"/>
            </w:tcMar>
            <w:vAlign w:val="bottom"/>
          </w:tcPr>
          <w:p w14:paraId="71F3E615" w14:textId="77777777" w:rsidR="00510CAA" w:rsidRDefault="00510CAA">
            <w:pPr>
              <w:keepNext/>
              <w:jc w:val="center"/>
              <w:rPr>
                <w:rFonts w:ascii="Arial" w:eastAsia="Arial" w:hAnsi="Arial" w:cs="Arial"/>
                <w:b/>
                <w:color w:val="000000"/>
                <w:sz w:val="20"/>
              </w:rPr>
            </w:pPr>
          </w:p>
        </w:tc>
        <w:tc>
          <w:tcPr>
            <w:tcW w:w="4680" w:type="dxa"/>
            <w:gridSpan w:val="5"/>
            <w:vMerge w:val="restart"/>
            <w:tcBorders>
              <w:top w:val="nil"/>
              <w:left w:val="nil"/>
              <w:bottom w:val="nil"/>
              <w:right w:val="nil"/>
              <w:tl2br w:val="nil"/>
              <w:tr2bl w:val="nil"/>
            </w:tcBorders>
            <w:tcMar>
              <w:left w:w="0" w:type="dxa"/>
              <w:right w:w="0" w:type="dxa"/>
            </w:tcMar>
            <w:vAlign w:val="bottom"/>
          </w:tcPr>
          <w:p w14:paraId="71F3E61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(in thousands of U.S. dollars, except for TCE rates, which are expressed in U.S. dollars, and available days)</w:t>
            </w:r>
          </w:p>
        </w:tc>
      </w:tr>
      <w:tr w:rsidR="00510CAA" w14:paraId="71F3E61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325" w:type="dxa"/>
            <w:vMerge/>
            <w:tcBorders>
              <w:top w:val="nil"/>
              <w:left w:val="nil"/>
              <w:bottom w:val="nil"/>
              <w:right w:val="nil"/>
              <w:tl2br w:val="nil"/>
              <w:tr2bl w:val="nil"/>
            </w:tcBorders>
            <w:noWrap/>
            <w:tcMar>
              <w:left w:w="0" w:type="dxa"/>
              <w:right w:w="0" w:type="dxa"/>
            </w:tcMar>
            <w:vAlign w:val="bottom"/>
          </w:tcPr>
          <w:p w14:paraId="71F3E618" w14:textId="77777777" w:rsidR="00510CAA" w:rsidRDefault="00510CAA">
            <w:pPr>
              <w:keepNext/>
              <w:jc w:val="center"/>
              <w:rPr>
                <w:rFonts w:ascii="Arial" w:eastAsia="Arial" w:hAnsi="Arial" w:cs="Arial"/>
                <w:color w:val="000000"/>
                <w:sz w:val="20"/>
              </w:rPr>
            </w:pPr>
          </w:p>
        </w:tc>
        <w:tc>
          <w:tcPr>
            <w:tcW w:w="180" w:type="dxa"/>
            <w:vMerge/>
            <w:tcBorders>
              <w:top w:val="nil"/>
              <w:left w:val="nil"/>
              <w:bottom w:val="nil"/>
              <w:right w:val="nil"/>
              <w:tl2br w:val="nil"/>
              <w:tr2bl w:val="nil"/>
            </w:tcBorders>
            <w:noWrap/>
            <w:tcMar>
              <w:left w:w="0" w:type="dxa"/>
              <w:right w:w="0" w:type="dxa"/>
            </w:tcMar>
            <w:vAlign w:val="bottom"/>
          </w:tcPr>
          <w:p w14:paraId="71F3E619" w14:textId="77777777" w:rsidR="00510CAA" w:rsidRDefault="00510CAA">
            <w:pPr>
              <w:keepNext/>
              <w:jc w:val="center"/>
              <w:rPr>
                <w:rFonts w:ascii="Arial" w:eastAsia="Arial" w:hAnsi="Arial" w:cs="Arial"/>
                <w:b/>
                <w:color w:val="000000"/>
                <w:sz w:val="20"/>
              </w:rPr>
            </w:pPr>
          </w:p>
        </w:tc>
        <w:tc>
          <w:tcPr>
            <w:tcW w:w="4680" w:type="dxa"/>
            <w:gridSpan w:val="5"/>
            <w:vMerge/>
            <w:tcBorders>
              <w:top w:val="nil"/>
              <w:left w:val="nil"/>
              <w:bottom w:val="single" w:sz="4" w:space="0" w:color="000000"/>
              <w:right w:val="nil"/>
              <w:tl2br w:val="nil"/>
              <w:tr2bl w:val="nil"/>
            </w:tcBorders>
            <w:tcMar>
              <w:left w:w="0" w:type="dxa"/>
              <w:right w:w="0" w:type="dxa"/>
            </w:tcMar>
            <w:vAlign w:val="bottom"/>
          </w:tcPr>
          <w:p w14:paraId="71F3E61A" w14:textId="77777777" w:rsidR="00510CAA" w:rsidRDefault="00510CAA">
            <w:pPr>
              <w:keepNext/>
              <w:jc w:val="center"/>
              <w:rPr>
                <w:rFonts w:ascii="Arial" w:eastAsia="Arial" w:hAnsi="Arial" w:cs="Arial"/>
                <w:color w:val="000000"/>
                <w:sz w:val="18"/>
              </w:rPr>
            </w:pPr>
          </w:p>
        </w:tc>
      </w:tr>
      <w:tr w:rsidR="00510CAA" w14:paraId="71F3E62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tcMar>
              <w:left w:w="0" w:type="dxa"/>
              <w:right w:w="0" w:type="dxa"/>
            </w:tcMar>
            <w:vAlign w:val="bottom"/>
          </w:tcPr>
          <w:p w14:paraId="71F3E61C"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Time charter revenues </w:t>
            </w:r>
          </w:p>
        </w:tc>
        <w:tc>
          <w:tcPr>
            <w:tcW w:w="180" w:type="dxa"/>
            <w:tcBorders>
              <w:top w:val="nil"/>
              <w:left w:val="nil"/>
              <w:bottom w:val="nil"/>
              <w:right w:val="nil"/>
              <w:tl2br w:val="nil"/>
              <w:tr2bl w:val="nil"/>
            </w:tcBorders>
            <w:tcMar>
              <w:left w:w="0" w:type="dxa"/>
              <w:right w:w="0" w:type="dxa"/>
            </w:tcMar>
            <w:vAlign w:val="bottom"/>
          </w:tcPr>
          <w:p w14:paraId="71F3E61D"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E61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213,541</w:t>
            </w:r>
          </w:p>
        </w:tc>
        <w:tc>
          <w:tcPr>
            <w:tcW w:w="180" w:type="dxa"/>
            <w:tcBorders>
              <w:top w:val="single" w:sz="4" w:space="0" w:color="000000"/>
              <w:left w:val="nil"/>
              <w:bottom w:val="nil"/>
              <w:right w:val="nil"/>
              <w:tl2br w:val="nil"/>
              <w:tr2bl w:val="nil"/>
            </w:tcBorders>
            <w:tcMar>
              <w:left w:w="0" w:type="dxa"/>
              <w:right w:w="0" w:type="dxa"/>
            </w:tcMar>
            <w:vAlign w:val="bottom"/>
          </w:tcPr>
          <w:p w14:paraId="71F3E61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E62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228,209</w:t>
            </w:r>
          </w:p>
        </w:tc>
        <w:tc>
          <w:tcPr>
            <w:tcW w:w="180" w:type="dxa"/>
            <w:tcBorders>
              <w:top w:val="single" w:sz="4" w:space="0" w:color="000000"/>
              <w:left w:val="nil"/>
              <w:bottom w:val="nil"/>
              <w:right w:val="nil"/>
              <w:tl2br w:val="nil"/>
              <w:tr2bl w:val="nil"/>
            </w:tcBorders>
            <w:tcMar>
              <w:left w:w="0" w:type="dxa"/>
              <w:right w:w="60" w:type="dxa"/>
            </w:tcMar>
            <w:vAlign w:val="bottom"/>
          </w:tcPr>
          <w:p w14:paraId="71F3E62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E62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262,098</w:t>
            </w:r>
          </w:p>
        </w:tc>
      </w:tr>
      <w:tr w:rsidR="00510CAA" w14:paraId="71F3E62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tcMar>
              <w:left w:w="0" w:type="dxa"/>
              <w:right w:w="0" w:type="dxa"/>
            </w:tcMar>
            <w:vAlign w:val="bottom"/>
          </w:tcPr>
          <w:p w14:paraId="71F3E624"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Less: voyage expenses </w:t>
            </w:r>
          </w:p>
        </w:tc>
        <w:tc>
          <w:tcPr>
            <w:tcW w:w="180" w:type="dxa"/>
            <w:tcBorders>
              <w:top w:val="nil"/>
              <w:left w:val="nil"/>
              <w:bottom w:val="nil"/>
              <w:right w:val="nil"/>
              <w:tl2br w:val="nil"/>
              <w:tr2bl w:val="nil"/>
            </w:tcBorders>
            <w:tcMar>
              <w:left w:w="0" w:type="dxa"/>
              <w:right w:w="0" w:type="dxa"/>
            </w:tcMar>
            <w:vAlign w:val="bottom"/>
          </w:tcPr>
          <w:p w14:paraId="71F3E625"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E62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(12,417)</w:t>
            </w:r>
          </w:p>
        </w:tc>
        <w:tc>
          <w:tcPr>
            <w:tcW w:w="180" w:type="dxa"/>
            <w:tcBorders>
              <w:top w:val="nil"/>
              <w:left w:val="nil"/>
              <w:bottom w:val="nil"/>
              <w:right w:val="nil"/>
              <w:tl2br w:val="nil"/>
              <w:tr2bl w:val="nil"/>
            </w:tcBorders>
            <w:tcMar>
              <w:left w:w="0" w:type="dxa"/>
              <w:right w:w="0" w:type="dxa"/>
            </w:tcMar>
            <w:vAlign w:val="bottom"/>
          </w:tcPr>
          <w:p w14:paraId="71F3E627"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E62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(13,607)</w:t>
            </w:r>
          </w:p>
        </w:tc>
        <w:tc>
          <w:tcPr>
            <w:tcW w:w="180" w:type="dxa"/>
            <w:tcBorders>
              <w:top w:val="nil"/>
              <w:left w:val="nil"/>
              <w:bottom w:val="nil"/>
              <w:right w:val="nil"/>
              <w:tl2br w:val="nil"/>
              <w:tr2bl w:val="nil"/>
            </w:tcBorders>
            <w:tcMar>
              <w:left w:w="0" w:type="dxa"/>
              <w:right w:w="0" w:type="dxa"/>
            </w:tcMar>
            <w:vAlign w:val="bottom"/>
          </w:tcPr>
          <w:p w14:paraId="71F3E629"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E62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(13,621)</w:t>
            </w:r>
          </w:p>
        </w:tc>
      </w:tr>
      <w:tr w:rsidR="00510CAA" w14:paraId="71F3E63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tcMar>
              <w:left w:w="0" w:type="dxa"/>
              <w:right w:w="0" w:type="dxa"/>
            </w:tcMar>
            <w:vAlign w:val="bottom"/>
          </w:tcPr>
          <w:p w14:paraId="71F3E62C"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Time charter equivalent revenues </w:t>
            </w:r>
          </w:p>
        </w:tc>
        <w:tc>
          <w:tcPr>
            <w:tcW w:w="180" w:type="dxa"/>
            <w:tcBorders>
              <w:top w:val="nil"/>
              <w:left w:val="nil"/>
              <w:bottom w:val="nil"/>
              <w:right w:val="nil"/>
              <w:tl2br w:val="nil"/>
              <w:tr2bl w:val="nil"/>
            </w:tcBorders>
            <w:tcMar>
              <w:left w:w="0" w:type="dxa"/>
              <w:right w:w="0" w:type="dxa"/>
            </w:tcMar>
            <w:vAlign w:val="bottom"/>
          </w:tcPr>
          <w:p w14:paraId="71F3E62D"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E62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201,124</w:t>
            </w:r>
          </w:p>
        </w:tc>
        <w:tc>
          <w:tcPr>
            <w:tcW w:w="180" w:type="dxa"/>
            <w:tcBorders>
              <w:top w:val="nil"/>
              <w:left w:val="nil"/>
              <w:bottom w:val="nil"/>
              <w:right w:val="nil"/>
              <w:tl2br w:val="nil"/>
              <w:tr2bl w:val="nil"/>
            </w:tcBorders>
            <w:tcMar>
              <w:left w:w="0" w:type="dxa"/>
              <w:right w:w="60" w:type="dxa"/>
            </w:tcMar>
            <w:vAlign w:val="bottom"/>
          </w:tcPr>
          <w:p w14:paraId="71F3E62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E63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214,602</w:t>
            </w:r>
          </w:p>
        </w:tc>
        <w:tc>
          <w:tcPr>
            <w:tcW w:w="180" w:type="dxa"/>
            <w:tcBorders>
              <w:top w:val="nil"/>
              <w:left w:val="nil"/>
              <w:bottom w:val="nil"/>
              <w:right w:val="nil"/>
              <w:tl2br w:val="nil"/>
              <w:tr2bl w:val="nil"/>
            </w:tcBorders>
            <w:tcMar>
              <w:left w:w="0" w:type="dxa"/>
              <w:right w:w="60" w:type="dxa"/>
            </w:tcMar>
            <w:vAlign w:val="bottom"/>
          </w:tcPr>
          <w:p w14:paraId="71F3E63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E63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248,477</w:t>
            </w:r>
          </w:p>
        </w:tc>
      </w:tr>
      <w:tr w:rsidR="00510CAA" w14:paraId="71F3E63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noWrap/>
            <w:tcMar>
              <w:left w:w="0" w:type="dxa"/>
              <w:right w:w="0" w:type="dxa"/>
            </w:tcMar>
            <w:vAlign w:val="bottom"/>
          </w:tcPr>
          <w:p w14:paraId="71F3E634"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635" w14:textId="77777777" w:rsidR="00510CAA" w:rsidRDefault="00510CAA">
            <w:pPr>
              <w:keepNex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E636"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637"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E638"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E639"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E63A" w14:textId="77777777" w:rsidR="00510CAA" w:rsidRDefault="00510CAA">
            <w:pPr>
              <w:keepNext/>
              <w:jc w:val="right"/>
              <w:rPr>
                <w:rFonts w:ascii="Arial" w:eastAsia="Arial" w:hAnsi="Arial" w:cs="Arial"/>
                <w:color w:val="000000"/>
                <w:sz w:val="20"/>
              </w:rPr>
            </w:pPr>
          </w:p>
        </w:tc>
      </w:tr>
      <w:tr w:rsidR="00510CAA" w14:paraId="71F3E64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tcMar>
              <w:left w:w="0" w:type="dxa"/>
              <w:right w:w="0" w:type="dxa"/>
            </w:tcMar>
            <w:vAlign w:val="bottom"/>
          </w:tcPr>
          <w:p w14:paraId="71F3E63C"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Available days </w:t>
            </w:r>
          </w:p>
        </w:tc>
        <w:tc>
          <w:tcPr>
            <w:tcW w:w="180" w:type="dxa"/>
            <w:tcBorders>
              <w:top w:val="nil"/>
              <w:left w:val="nil"/>
              <w:bottom w:val="nil"/>
              <w:right w:val="nil"/>
              <w:tl2br w:val="nil"/>
              <w:tr2bl w:val="nil"/>
            </w:tcBorders>
            <w:tcMar>
              <w:left w:w="0" w:type="dxa"/>
              <w:right w:w="0" w:type="dxa"/>
            </w:tcMar>
            <w:vAlign w:val="bottom"/>
          </w:tcPr>
          <w:p w14:paraId="71F3E63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E63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13,014</w:t>
            </w:r>
          </w:p>
        </w:tc>
        <w:tc>
          <w:tcPr>
            <w:tcW w:w="180" w:type="dxa"/>
            <w:tcBorders>
              <w:top w:val="nil"/>
              <w:left w:val="nil"/>
              <w:bottom w:val="nil"/>
              <w:right w:val="nil"/>
              <w:tl2br w:val="nil"/>
              <w:tr2bl w:val="nil"/>
            </w:tcBorders>
            <w:tcMar>
              <w:left w:w="0" w:type="dxa"/>
              <w:right w:w="0" w:type="dxa"/>
            </w:tcMar>
            <w:vAlign w:val="bottom"/>
          </w:tcPr>
          <w:p w14:paraId="71F3E63F"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E64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14,057</w:t>
            </w:r>
          </w:p>
        </w:tc>
        <w:tc>
          <w:tcPr>
            <w:tcW w:w="180" w:type="dxa"/>
            <w:tcBorders>
              <w:top w:val="nil"/>
              <w:left w:val="nil"/>
              <w:bottom w:val="nil"/>
              <w:right w:val="nil"/>
              <w:tl2br w:val="nil"/>
              <w:tr2bl w:val="nil"/>
            </w:tcBorders>
            <w:tcMar>
              <w:left w:w="0" w:type="dxa"/>
              <w:right w:w="0" w:type="dxa"/>
            </w:tcMar>
            <w:vAlign w:val="bottom"/>
          </w:tcPr>
          <w:p w14:paraId="71F3E641"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E64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14,867</w:t>
            </w:r>
          </w:p>
        </w:tc>
      </w:tr>
      <w:tr w:rsidR="00510CAA" w14:paraId="71F3E64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325" w:type="dxa"/>
            <w:tcBorders>
              <w:top w:val="nil"/>
              <w:left w:val="nil"/>
              <w:bottom w:val="nil"/>
              <w:right w:val="nil"/>
              <w:tl2br w:val="nil"/>
              <w:tr2bl w:val="nil"/>
            </w:tcBorders>
            <w:tcMar>
              <w:left w:w="0" w:type="dxa"/>
              <w:right w:w="0" w:type="dxa"/>
            </w:tcMar>
            <w:vAlign w:val="bottom"/>
          </w:tcPr>
          <w:p w14:paraId="71F3E644"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Time charter equivalent (TCE) rate </w:t>
            </w:r>
          </w:p>
        </w:tc>
        <w:tc>
          <w:tcPr>
            <w:tcW w:w="180" w:type="dxa"/>
            <w:tcBorders>
              <w:top w:val="nil"/>
              <w:left w:val="nil"/>
              <w:bottom w:val="nil"/>
              <w:right w:val="nil"/>
              <w:tl2br w:val="nil"/>
              <w:tr2bl w:val="nil"/>
            </w:tcBorders>
            <w:tcMar>
              <w:left w:w="0" w:type="dxa"/>
              <w:right w:w="0" w:type="dxa"/>
            </w:tcMar>
            <w:vAlign w:val="bottom"/>
          </w:tcPr>
          <w:p w14:paraId="71F3E645"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tcMar>
              <w:left w:w="0" w:type="dxa"/>
              <w:right w:w="60" w:type="dxa"/>
            </w:tcMar>
            <w:vAlign w:val="bottom"/>
          </w:tcPr>
          <w:p w14:paraId="71F3E64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15,454</w:t>
            </w:r>
          </w:p>
        </w:tc>
        <w:tc>
          <w:tcPr>
            <w:tcW w:w="180" w:type="dxa"/>
            <w:tcBorders>
              <w:top w:val="nil"/>
              <w:left w:val="nil"/>
              <w:bottom w:val="nil"/>
              <w:right w:val="nil"/>
              <w:tl2br w:val="nil"/>
              <w:tr2bl w:val="nil"/>
            </w:tcBorders>
            <w:tcMar>
              <w:left w:w="0" w:type="dxa"/>
              <w:right w:w="60" w:type="dxa"/>
            </w:tcMar>
            <w:vAlign w:val="bottom"/>
          </w:tcPr>
          <w:p w14:paraId="71F3E64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tcMar>
              <w:left w:w="0" w:type="dxa"/>
              <w:right w:w="60" w:type="dxa"/>
            </w:tcMar>
            <w:vAlign w:val="bottom"/>
          </w:tcPr>
          <w:p w14:paraId="71F3E64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15,267</w:t>
            </w:r>
          </w:p>
        </w:tc>
        <w:tc>
          <w:tcPr>
            <w:tcW w:w="180" w:type="dxa"/>
            <w:tcBorders>
              <w:top w:val="nil"/>
              <w:left w:val="nil"/>
              <w:bottom w:val="nil"/>
              <w:right w:val="nil"/>
              <w:tl2br w:val="nil"/>
              <w:tr2bl w:val="nil"/>
            </w:tcBorders>
            <w:tcMar>
              <w:left w:w="0" w:type="dxa"/>
              <w:right w:w="60" w:type="dxa"/>
            </w:tcMar>
            <w:vAlign w:val="bottom"/>
          </w:tcPr>
          <w:p w14:paraId="71F3E64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tcMar>
              <w:left w:w="0" w:type="dxa"/>
              <w:right w:w="60" w:type="dxa"/>
            </w:tcMar>
            <w:vAlign w:val="bottom"/>
          </w:tcPr>
          <w:p w14:paraId="71F3E64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16,713</w:t>
            </w:r>
          </w:p>
        </w:tc>
      </w:tr>
    </w:tbl>
    <w:p w14:paraId="71F3E64C"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64D" w14:textId="77777777" w:rsidR="007C79D6"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bookmarkStart w:id="160" w:name="RG_MARKER_23065"/>
      <w:r w:rsidRPr="007A26F0">
        <w:rPr>
          <w:rFonts w:ascii="Arial" w:eastAsia="Arial" w:hAnsi="Arial" w:cs="Arial"/>
          <w:i w:val="0"/>
          <w:color w:val="000000"/>
          <w:szCs w:val="22"/>
          <w:lang w:val="en-US" w:eastAsia="el-GR"/>
        </w:rPr>
        <w:t>Time Charter Revenues</w:t>
      </w:r>
      <w:bookmarkEnd w:id="160"/>
    </w:p>
    <w:p w14:paraId="71F3E64E" w14:textId="77777777" w:rsidR="00AC2B02" w:rsidRPr="006264C6" w:rsidRDefault="00AC2B02" w:rsidP="00A65891">
      <w:pPr>
        <w:keepNext/>
        <w:keepLines/>
        <w:pBdr>
          <w:top w:val="nil"/>
          <w:left w:val="nil"/>
          <w:bottom w:val="nil"/>
          <w:right w:val="nil"/>
          <w:between w:val="nil"/>
          <w:bar w:val="nil"/>
        </w:pBdr>
        <w:jc w:val="both"/>
        <w:rPr>
          <w:rFonts w:ascii="Arial" w:eastAsia="Arial" w:hAnsi="Arial" w:cs="Arial"/>
          <w:color w:val="000000"/>
          <w:bdr w:val="nil"/>
          <w:lang w:val="en-US"/>
        </w:rPr>
      </w:pPr>
    </w:p>
    <w:p w14:paraId="71F3E64F" w14:textId="77777777" w:rsidR="007C79D6" w:rsidRPr="006264C6"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Our revenues are driven primarily by the number of vessels in our fleet, the number of days during which our vessels operate and the amount of daily charter hire rates that our vessels earn under charters, which, in turn, are affected by a number of factors, including:</w:t>
      </w:r>
    </w:p>
    <w:p w14:paraId="71F3E650" w14:textId="77777777" w:rsidR="00AC2B02" w:rsidRPr="006264C6" w:rsidRDefault="00AC2B02" w:rsidP="00A65891">
      <w:pPr>
        <w:pBdr>
          <w:top w:val="nil"/>
          <w:left w:val="nil"/>
          <w:bottom w:val="nil"/>
          <w:right w:val="nil"/>
          <w:between w:val="nil"/>
          <w:bar w:val="nil"/>
        </w:pBdr>
        <w:autoSpaceDE w:val="0"/>
        <w:autoSpaceDN w:val="0"/>
        <w:ind w:left="714"/>
        <w:jc w:val="both"/>
        <w:rPr>
          <w:rFonts w:ascii="Arial" w:eastAsia="Arial" w:hAnsi="Arial" w:cs="Arial"/>
          <w:color w:val="000000"/>
          <w:bdr w:val="nil"/>
          <w:lang w:val="en-US"/>
        </w:rPr>
      </w:pPr>
    </w:p>
    <w:p w14:paraId="71F3E651"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the duration of our charters;</w:t>
      </w:r>
    </w:p>
    <w:p w14:paraId="71F3E652"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3"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our decisions relating to vessel acquisitions and disposals;</w:t>
      </w:r>
    </w:p>
    <w:p w14:paraId="71F3E654"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5"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the amount of time that we spend positioning our vessels;</w:t>
      </w:r>
    </w:p>
    <w:p w14:paraId="71F3E656"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7"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the amount of time that our vessels spend in drydock undergoing repairs;</w:t>
      </w:r>
    </w:p>
    <w:p w14:paraId="71F3E658"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9"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maintenance and upgrade work;</w:t>
      </w:r>
    </w:p>
    <w:p w14:paraId="71F3E65A"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B"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the age, condition and specifications of our vessels;</w:t>
      </w:r>
    </w:p>
    <w:p w14:paraId="71F3E65C"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D" w14:textId="77777777" w:rsidR="007C79D6" w:rsidRPr="006264C6" w:rsidRDefault="003A4815" w:rsidP="00A65891">
      <w:pPr>
        <w:numPr>
          <w:ilvl w:val="0"/>
          <w:numId w:val="19"/>
        </w:numPr>
        <w:pBdr>
          <w:top w:val="nil"/>
          <w:left w:val="nil"/>
          <w:bottom w:val="nil"/>
          <w:right w:val="nil"/>
          <w:between w:val="nil"/>
          <w:bar w:val="nil"/>
        </w:pBdr>
        <w:tabs>
          <w:tab w:val="clear" w:pos="720"/>
          <w:tab w:val="num" w:pos="1077"/>
        </w:tabs>
        <w:autoSpaceDE w:val="0"/>
        <w:autoSpaceDN w:val="0"/>
        <w:ind w:left="1072" w:hanging="357"/>
        <w:jc w:val="both"/>
        <w:rPr>
          <w:rFonts w:ascii="Arial" w:eastAsia="Arial" w:hAnsi="Arial" w:cs="Arial"/>
          <w:color w:val="000000"/>
          <w:bdr w:val="nil"/>
          <w:lang w:val="en-US"/>
        </w:rPr>
      </w:pPr>
      <w:r w:rsidRPr="006264C6">
        <w:rPr>
          <w:rFonts w:ascii="Arial" w:eastAsia="Arial" w:hAnsi="Arial" w:cs="Arial"/>
          <w:color w:val="000000"/>
          <w:lang w:val="en-US"/>
        </w:rPr>
        <w:t>levels of supply and demand in the dry bulk shipping industry.</w:t>
      </w:r>
    </w:p>
    <w:p w14:paraId="71F3E65E" w14:textId="77777777" w:rsidR="00AC2B02" w:rsidRPr="006264C6" w:rsidRDefault="00AC2B02" w:rsidP="00A65891">
      <w:pPr>
        <w:pBdr>
          <w:top w:val="nil"/>
          <w:left w:val="nil"/>
          <w:bottom w:val="nil"/>
          <w:right w:val="nil"/>
          <w:between w:val="nil"/>
          <w:bar w:val="nil"/>
        </w:pBdr>
        <w:autoSpaceDE w:val="0"/>
        <w:autoSpaceDN w:val="0"/>
        <w:ind w:left="1072"/>
        <w:jc w:val="both"/>
        <w:rPr>
          <w:rFonts w:ascii="Arial" w:eastAsia="Arial" w:hAnsi="Arial" w:cs="Arial"/>
          <w:color w:val="000000"/>
          <w:bdr w:val="nil"/>
          <w:lang w:val="en-US"/>
        </w:rPr>
      </w:pPr>
    </w:p>
    <w:p w14:paraId="71F3E65F" w14:textId="77777777" w:rsidR="000856BE" w:rsidRPr="006264C6"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Vessels operating on time charters for a certain period of time provide more predictable cash flows over that period of time but can yield lower profit margins than vessels operating in the spot charter market during periods characterized by favorable market conditions. Vessels operating in the spot charter market generate revenues that are less predictable but may enable their owners to capture increased profit margins during periods of improvements in charter rates although their owners would be exposed to the risk of declining charter rates, which may have a material adverse impact on financial performance. As we employ vessels on period charters, future spot charter rates may be higher or lower than the rates at which we have employed our vessels on period charters. Our time charter agreements subject us to counterparty risk. In depressed market conditions, charterers may seek to renegotiate the terms of their existing charter parties or avoid their obligations under those contracts. Should a counterparty fail to honor their obligations under agreements with us, we could sustain significant losses which could have a material adverse effect on our business, financial condition, results of operations and cash flows.</w:t>
      </w:r>
      <w:r w:rsidR="00E0660E" w:rsidRPr="006264C6">
        <w:rPr>
          <w:rFonts w:ascii="Arial" w:eastAsia="Arial" w:hAnsi="Arial" w:cs="Arial"/>
          <w:color w:val="000000"/>
          <w:lang w:val="en-US"/>
        </w:rPr>
        <w:t xml:space="preserve"> </w:t>
      </w:r>
      <w:r w:rsidRPr="006264C6">
        <w:rPr>
          <w:rFonts w:ascii="Arial" w:eastAsia="Arial" w:hAnsi="Arial" w:cs="Arial"/>
          <w:color w:val="000000"/>
          <w:lang w:val="en-US"/>
        </w:rPr>
        <w:t xml:space="preserve">Revenues derived from time charter agreements in 2025 </w:t>
      </w:r>
      <w:r w:rsidR="00F67426">
        <w:rPr>
          <w:rFonts w:ascii="Arial" w:eastAsia="Arial" w:hAnsi="Arial" w:cs="Arial"/>
          <w:color w:val="000000"/>
          <w:lang w:val="en-US"/>
        </w:rPr>
        <w:t>decreased</w:t>
      </w:r>
      <w:r w:rsidR="00D73224" w:rsidRPr="006264C6">
        <w:rPr>
          <w:rFonts w:ascii="Arial" w:eastAsia="Arial" w:hAnsi="Arial" w:cs="Arial"/>
          <w:color w:val="000000"/>
          <w:lang w:val="en-US"/>
        </w:rPr>
        <w:t xml:space="preserve"> compared to previous years</w:t>
      </w:r>
      <w:r w:rsidRPr="006264C6">
        <w:rPr>
          <w:rFonts w:ascii="Arial" w:eastAsia="Arial" w:hAnsi="Arial" w:cs="Arial"/>
          <w:color w:val="000000"/>
          <w:lang w:val="en-US"/>
        </w:rPr>
        <w:t xml:space="preserve"> due to the </w:t>
      </w:r>
      <w:r>
        <w:rPr>
          <w:rFonts w:ascii="Arial" w:eastAsia="Arial" w:hAnsi="Arial" w:cs="Arial"/>
          <w:color w:val="000000"/>
          <w:lang w:val="en-US"/>
        </w:rPr>
        <w:t xml:space="preserve">decrease in the </w:t>
      </w:r>
      <w:r w:rsidR="00D73224" w:rsidRPr="006264C6">
        <w:rPr>
          <w:rFonts w:ascii="Arial" w:eastAsia="Arial" w:hAnsi="Arial" w:cs="Arial"/>
          <w:color w:val="000000"/>
          <w:lang w:val="en-US"/>
        </w:rPr>
        <w:t>size of our fleet</w:t>
      </w:r>
      <w:r w:rsidR="009B118E">
        <w:rPr>
          <w:rFonts w:ascii="Arial" w:eastAsia="Arial" w:hAnsi="Arial" w:cs="Arial"/>
          <w:color w:val="000000"/>
          <w:lang w:val="en-US"/>
        </w:rPr>
        <w:t xml:space="preserve"> following vessel sales described elsewhere in this annual report.</w:t>
      </w:r>
      <w:r w:rsidRPr="006264C6">
        <w:rPr>
          <w:rFonts w:ascii="Arial" w:eastAsia="Arial" w:hAnsi="Arial" w:cs="Arial"/>
          <w:color w:val="000000"/>
          <w:lang w:val="en-US"/>
        </w:rPr>
        <w:t xml:space="preserve"> </w:t>
      </w:r>
    </w:p>
    <w:p w14:paraId="71F3E660" w14:textId="77777777" w:rsidR="00666792" w:rsidRPr="006264C6" w:rsidRDefault="00666792" w:rsidP="00A65891">
      <w:pPr>
        <w:pBdr>
          <w:top w:val="nil"/>
          <w:left w:val="nil"/>
          <w:bottom w:val="nil"/>
          <w:right w:val="nil"/>
          <w:between w:val="nil"/>
          <w:bar w:val="nil"/>
        </w:pBdr>
        <w:jc w:val="both"/>
        <w:rPr>
          <w:rFonts w:ascii="Arial" w:eastAsia="Arial" w:hAnsi="Arial" w:cs="Arial"/>
          <w:color w:val="000000"/>
          <w:bdr w:val="nil"/>
          <w:lang w:val="en-US"/>
        </w:rPr>
      </w:pPr>
    </w:p>
    <w:p w14:paraId="71F3E661" w14:textId="77777777" w:rsidR="00AC2B02"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r w:rsidRPr="007A26F0">
        <w:rPr>
          <w:rFonts w:ascii="Arial" w:eastAsia="Arial" w:hAnsi="Arial" w:cs="Arial"/>
          <w:i w:val="0"/>
          <w:color w:val="000000"/>
          <w:szCs w:val="22"/>
          <w:lang w:val="en-US" w:eastAsia="el-GR"/>
        </w:rPr>
        <w:t>Voyage Expenses</w:t>
      </w:r>
    </w:p>
    <w:p w14:paraId="71F3E662" w14:textId="77777777" w:rsidR="00731F9C" w:rsidRPr="006264C6" w:rsidRDefault="00731F9C" w:rsidP="00A65891">
      <w:pPr>
        <w:keepNext/>
        <w:keepLines/>
        <w:pBdr>
          <w:top w:val="nil"/>
          <w:left w:val="nil"/>
          <w:bottom w:val="nil"/>
          <w:right w:val="nil"/>
          <w:between w:val="nil"/>
          <w:bar w:val="nil"/>
        </w:pBdr>
        <w:jc w:val="both"/>
        <w:rPr>
          <w:rFonts w:ascii="Arial" w:eastAsia="Arial" w:hAnsi="Arial" w:cs="Arial"/>
          <w:bdr w:val="nil"/>
          <w:lang w:val="en-US" w:eastAsia="el-GR"/>
        </w:rPr>
      </w:pPr>
    </w:p>
    <w:p w14:paraId="71F3E663" w14:textId="77777777" w:rsidR="00603807" w:rsidRPr="006264C6"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We incur voyage expenses that mainly include commissions because all of our vessels are employed under time charters that require the charterer to bear voyage expenses such as bunkers (fuel oil), port and canal charges. Although the charterer bears the cost of bunkers, we also have bunker gain or loss deriving from the price differences of bunkers. When a vessel is delivered to a charterer, bunkers are purchased by the charterer and sold back to us on the redelivery of the vessel. Bunker gain, or loss, result</w:t>
      </w:r>
      <w:r w:rsidR="0001415F" w:rsidRPr="006264C6">
        <w:rPr>
          <w:rFonts w:ascii="Arial" w:eastAsia="Arial" w:hAnsi="Arial" w:cs="Arial"/>
          <w:color w:val="000000"/>
          <w:lang w:val="en-US"/>
        </w:rPr>
        <w:t>s</w:t>
      </w:r>
      <w:r w:rsidRPr="006264C6">
        <w:rPr>
          <w:rFonts w:ascii="Arial" w:eastAsia="Arial" w:hAnsi="Arial" w:cs="Arial"/>
          <w:color w:val="000000"/>
          <w:lang w:val="en-US"/>
        </w:rPr>
        <w:t xml:space="preserve"> when a vessel is redelivered by her charterer and delivered to the next charterer at different bunker prices, or quantities.</w:t>
      </w:r>
    </w:p>
    <w:p w14:paraId="71F3E664" w14:textId="77777777" w:rsidR="00AA4011" w:rsidRPr="006264C6" w:rsidRDefault="00AA4011" w:rsidP="00A65891">
      <w:pPr>
        <w:pBdr>
          <w:top w:val="nil"/>
          <w:left w:val="nil"/>
          <w:bottom w:val="nil"/>
          <w:right w:val="nil"/>
          <w:between w:val="nil"/>
          <w:bar w:val="nil"/>
        </w:pBdr>
        <w:jc w:val="both"/>
        <w:rPr>
          <w:rFonts w:ascii="Arial" w:eastAsia="Arial" w:hAnsi="Arial" w:cs="Arial"/>
          <w:color w:val="000000"/>
          <w:bdr w:val="nil"/>
          <w:lang w:val="en-US"/>
        </w:rPr>
      </w:pPr>
    </w:p>
    <w:p w14:paraId="71F3E665" w14:textId="77777777" w:rsidR="000C5DCC" w:rsidRPr="006264C6"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 xml:space="preserve">We </w:t>
      </w:r>
      <w:r w:rsidR="009B118E">
        <w:rPr>
          <w:rFonts w:ascii="Arial" w:eastAsia="Arial" w:hAnsi="Arial" w:cs="Arial"/>
          <w:color w:val="000000"/>
          <w:lang w:val="en-US"/>
        </w:rPr>
        <w:t xml:space="preserve">usually </w:t>
      </w:r>
      <w:r w:rsidRPr="006264C6">
        <w:rPr>
          <w:rFonts w:ascii="Arial" w:eastAsia="Arial" w:hAnsi="Arial" w:cs="Arial"/>
          <w:color w:val="000000"/>
          <w:lang w:val="en-US"/>
        </w:rPr>
        <w:t xml:space="preserve">pay commissions ranging from 4.75% to 5.00% of the total daily charter hire rate of each charter to unaffiliated ship brokers, in-house brokers associated with the charterers, depending on the number of brokers involved with arranging the charter. In addition, we pay a commission to DWM and to DSS for those vessels for which they provide commercial management services. The commissions paid to DSS are eliminated from our consolidated financial statements as intercompany transactions. </w:t>
      </w:r>
    </w:p>
    <w:p w14:paraId="71F3E666" w14:textId="77777777" w:rsidR="00AC2B02" w:rsidRPr="006264C6" w:rsidRDefault="00AC2B02" w:rsidP="00A65891">
      <w:pPr>
        <w:pBdr>
          <w:top w:val="nil"/>
          <w:left w:val="nil"/>
          <w:bottom w:val="nil"/>
          <w:right w:val="nil"/>
          <w:between w:val="nil"/>
          <w:bar w:val="nil"/>
        </w:pBdr>
        <w:jc w:val="both"/>
        <w:rPr>
          <w:rFonts w:ascii="Arial" w:eastAsia="Arial" w:hAnsi="Arial" w:cs="Arial"/>
          <w:color w:val="000000"/>
          <w:bdr w:val="nil"/>
          <w:lang w:val="en-US"/>
        </w:rPr>
      </w:pPr>
    </w:p>
    <w:p w14:paraId="71F3E667" w14:textId="77777777" w:rsidR="007C79D6"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r w:rsidRPr="007A26F0">
        <w:rPr>
          <w:rFonts w:ascii="Arial" w:eastAsia="Arial" w:hAnsi="Arial" w:cs="Arial"/>
          <w:i w:val="0"/>
          <w:color w:val="000000"/>
          <w:szCs w:val="22"/>
          <w:lang w:val="en-US" w:eastAsia="el-GR"/>
        </w:rPr>
        <w:t>Vessel Operating Expenses</w:t>
      </w:r>
    </w:p>
    <w:p w14:paraId="71F3E668" w14:textId="77777777" w:rsidR="00AC2B02" w:rsidRPr="006264C6" w:rsidRDefault="00AC2B02" w:rsidP="00A65891">
      <w:pPr>
        <w:keepNext/>
        <w:keepLines/>
        <w:pBdr>
          <w:top w:val="nil"/>
          <w:left w:val="nil"/>
          <w:bottom w:val="nil"/>
          <w:right w:val="nil"/>
          <w:between w:val="nil"/>
          <w:bar w:val="nil"/>
        </w:pBdr>
        <w:jc w:val="both"/>
        <w:rPr>
          <w:rFonts w:ascii="Arial" w:eastAsia="Arial" w:hAnsi="Arial" w:cs="Arial"/>
          <w:color w:val="000000"/>
          <w:bdr w:val="nil"/>
          <w:lang w:val="en-US"/>
        </w:rPr>
      </w:pPr>
    </w:p>
    <w:p w14:paraId="71F3E669" w14:textId="77777777" w:rsidR="00AA29D1" w:rsidRPr="006264C6" w:rsidRDefault="003A4815" w:rsidP="009B118E">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 xml:space="preserve">Vessel operating expenses include crew wages and related costs, the cost of insurance, expenses relating to repairs and maintenance, the cost of spares and consumable stores, tonnage taxes, environmental plan costs and </w:t>
      </w:r>
      <w:r w:rsidR="00F238B1">
        <w:rPr>
          <w:rFonts w:ascii="Arial" w:eastAsia="Arial" w:hAnsi="Arial" w:cs="Arial"/>
          <w:color w:val="000000"/>
          <w:lang w:val="en-US"/>
        </w:rPr>
        <w:t>health, safety, quality (</w:t>
      </w:r>
      <w:r w:rsidRPr="006264C6">
        <w:rPr>
          <w:rFonts w:ascii="Arial" w:eastAsia="Arial" w:hAnsi="Arial" w:cs="Arial"/>
          <w:color w:val="000000"/>
          <w:lang w:val="en-US"/>
        </w:rPr>
        <w:t>HSQ</w:t>
      </w:r>
      <w:r w:rsidR="00F238B1">
        <w:rPr>
          <w:rFonts w:ascii="Arial" w:eastAsia="Arial" w:hAnsi="Arial" w:cs="Arial"/>
          <w:color w:val="000000"/>
          <w:lang w:val="en-US"/>
        </w:rPr>
        <w:t>)</w:t>
      </w:r>
      <w:r w:rsidRPr="006264C6">
        <w:rPr>
          <w:rFonts w:ascii="Arial" w:eastAsia="Arial" w:hAnsi="Arial" w:cs="Arial"/>
          <w:color w:val="000000"/>
          <w:lang w:val="en-US"/>
        </w:rPr>
        <w:t xml:space="preserve"> and vetting. Our vessel operating expenses </w:t>
      </w:r>
      <w:r w:rsidR="000F1ECB" w:rsidRPr="006264C6">
        <w:rPr>
          <w:rFonts w:ascii="Arial" w:eastAsia="Arial" w:hAnsi="Arial" w:cs="Arial"/>
          <w:color w:val="000000"/>
          <w:lang w:val="en-US"/>
        </w:rPr>
        <w:t>generally represent fixed costs</w:t>
      </w:r>
      <w:r w:rsidRPr="006264C6">
        <w:rPr>
          <w:rFonts w:ascii="Arial" w:eastAsia="Arial" w:hAnsi="Arial" w:cs="Arial"/>
          <w:color w:val="000000"/>
          <w:lang w:val="en-US"/>
        </w:rPr>
        <w:t>.</w:t>
      </w:r>
      <w:r w:rsidR="000D2F9D" w:rsidRPr="006264C6">
        <w:rPr>
          <w:rFonts w:ascii="Arial" w:eastAsia="Arial" w:hAnsi="Arial" w:cs="Arial"/>
          <w:color w:val="000000"/>
          <w:lang w:val="en-US"/>
        </w:rPr>
        <w:t xml:space="preserve"> </w:t>
      </w:r>
    </w:p>
    <w:p w14:paraId="71F3E66A" w14:textId="77777777" w:rsidR="007A26F0" w:rsidRPr="00F7681D" w:rsidRDefault="007A26F0" w:rsidP="00F7681D">
      <w:pPr>
        <w:keepNext/>
        <w:keepLines/>
        <w:pBdr>
          <w:top w:val="nil"/>
          <w:left w:val="nil"/>
          <w:bottom w:val="nil"/>
          <w:right w:val="nil"/>
          <w:between w:val="nil"/>
          <w:bar w:val="nil"/>
        </w:pBdr>
        <w:jc w:val="both"/>
        <w:rPr>
          <w:rFonts w:ascii="Arial" w:eastAsia="Arial" w:hAnsi="Arial" w:cs="Arial"/>
          <w:color w:val="000000"/>
          <w:bdr w:val="nil"/>
          <w:lang w:val="en-US"/>
        </w:rPr>
      </w:pPr>
    </w:p>
    <w:p w14:paraId="71F3E66B" w14:textId="77777777" w:rsidR="007C79D6"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r w:rsidRPr="007A26F0">
        <w:rPr>
          <w:rFonts w:ascii="Arial" w:eastAsia="Arial" w:hAnsi="Arial" w:cs="Arial"/>
          <w:i w:val="0"/>
          <w:color w:val="000000"/>
          <w:szCs w:val="22"/>
          <w:lang w:val="en-US" w:eastAsia="el-GR"/>
        </w:rPr>
        <w:t xml:space="preserve">Vessel Depreciation </w:t>
      </w:r>
    </w:p>
    <w:p w14:paraId="71F3E66C" w14:textId="77777777" w:rsidR="00AC2B02" w:rsidRPr="006264C6" w:rsidRDefault="00AC2B02" w:rsidP="00A65891">
      <w:pPr>
        <w:keepNext/>
        <w:keepLines/>
        <w:pBdr>
          <w:top w:val="nil"/>
          <w:left w:val="nil"/>
          <w:bottom w:val="nil"/>
          <w:right w:val="nil"/>
          <w:between w:val="nil"/>
          <w:bar w:val="nil"/>
        </w:pBdr>
        <w:jc w:val="both"/>
        <w:rPr>
          <w:rFonts w:ascii="Arial" w:eastAsia="Arial" w:hAnsi="Arial" w:cs="Arial"/>
          <w:color w:val="000000"/>
          <w:bdr w:val="nil"/>
          <w:lang w:val="en-US"/>
        </w:rPr>
      </w:pPr>
    </w:p>
    <w:p w14:paraId="71F3E66D" w14:textId="77777777" w:rsidR="000C5DCC" w:rsidRDefault="003A4815" w:rsidP="00A65891">
      <w:pPr>
        <w:pStyle w:val="Normal17"/>
        <w:pBdr>
          <w:top w:val="nil"/>
          <w:left w:val="nil"/>
          <w:bottom w:val="nil"/>
          <w:right w:val="nil"/>
          <w:between w:val="nil"/>
          <w:bar w:val="nil"/>
        </w:pBdr>
        <w:rPr>
          <w:rFonts w:ascii="Arial" w:eastAsia="Arial" w:hAnsi="Arial" w:cs="Arial"/>
          <w:color w:val="000000"/>
          <w:bdr w:val="nil"/>
          <w:lang w:val="en-US"/>
        </w:rPr>
      </w:pPr>
      <w:r w:rsidRPr="006264C6">
        <w:rPr>
          <w:rFonts w:ascii="Arial" w:eastAsia="Arial" w:hAnsi="Arial" w:cs="Arial"/>
          <w:color w:val="000000"/>
          <w:lang w:val="en-US"/>
        </w:rPr>
        <w:t>The cost of our vessels is depreciated on a straight-line basis over the estimated useful life of each vessel. Depreciation is based on the cost of the vessel less its estimated salvage value. We estimate the useful life of our dry bulk vessels to be 25 years from the date of initial delivery from the shipyard, which we believe is common in the dry bulk shipping industry. Furthermore, we estimate the salvage values of our vessels based on historical average prices of the cost of the light-weight ton of vessels being scrapped.</w:t>
      </w:r>
      <w:r w:rsidR="00150191" w:rsidRPr="00150191">
        <w:rPr>
          <w:rFonts w:ascii="Arial" w:eastAsia="Arial" w:hAnsi="Arial" w:cs="Arial"/>
          <w:lang w:val="en-US"/>
        </w:rPr>
        <w:t xml:space="preserve"> Effective July 1, 2023, the Company changed its estimated scrap rate of its vessels from $250 per lightweight ton to $400 per lightweight ton, calculated based on the average demolition prices in different markets, during the last 15 years.</w:t>
      </w:r>
      <w:r w:rsidR="00F4183E" w:rsidRPr="006264C6">
        <w:rPr>
          <w:rFonts w:ascii="Arial" w:eastAsia="Arial" w:hAnsi="Arial" w:cs="Arial"/>
          <w:color w:val="000000"/>
          <w:lang w:val="en-US"/>
        </w:rPr>
        <w:t xml:space="preserve"> </w:t>
      </w:r>
    </w:p>
    <w:p w14:paraId="71F3E66E" w14:textId="77777777" w:rsidR="007A26F0" w:rsidRPr="00F7681D" w:rsidRDefault="007A26F0" w:rsidP="00F7681D">
      <w:pPr>
        <w:keepNext/>
        <w:keepLines/>
        <w:pBdr>
          <w:top w:val="nil"/>
          <w:left w:val="nil"/>
          <w:bottom w:val="nil"/>
          <w:right w:val="nil"/>
          <w:between w:val="nil"/>
          <w:bar w:val="nil"/>
        </w:pBdr>
        <w:jc w:val="both"/>
        <w:rPr>
          <w:rFonts w:ascii="Arial" w:eastAsia="Arial" w:hAnsi="Arial" w:cs="Arial"/>
          <w:bdr w:val="nil"/>
          <w:lang w:val="en-US" w:eastAsia="el-GR"/>
        </w:rPr>
      </w:pPr>
    </w:p>
    <w:p w14:paraId="71F3E66F" w14:textId="77777777" w:rsidR="00AC2B02"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r w:rsidRPr="007A26F0">
        <w:rPr>
          <w:rFonts w:ascii="Arial" w:eastAsia="Arial" w:hAnsi="Arial" w:cs="Arial"/>
          <w:i w:val="0"/>
          <w:color w:val="000000"/>
          <w:szCs w:val="22"/>
          <w:lang w:val="en-US" w:eastAsia="el-GR"/>
        </w:rPr>
        <w:t>General and Administrative Expenses</w:t>
      </w:r>
    </w:p>
    <w:p w14:paraId="71F3E670" w14:textId="77777777" w:rsidR="00731F9C" w:rsidRPr="006264C6" w:rsidRDefault="00731F9C" w:rsidP="00A65891">
      <w:pPr>
        <w:keepNext/>
        <w:keepLines/>
        <w:pBdr>
          <w:top w:val="nil"/>
          <w:left w:val="nil"/>
          <w:bottom w:val="nil"/>
          <w:right w:val="nil"/>
          <w:between w:val="nil"/>
          <w:bar w:val="nil"/>
        </w:pBdr>
        <w:jc w:val="both"/>
        <w:rPr>
          <w:rFonts w:ascii="Arial" w:eastAsia="Arial" w:hAnsi="Arial" w:cs="Arial"/>
          <w:bdr w:val="nil"/>
          <w:lang w:val="en-US" w:eastAsia="el-GR"/>
        </w:rPr>
      </w:pPr>
    </w:p>
    <w:p w14:paraId="71F3E671" w14:textId="77777777" w:rsidR="000C5DCC" w:rsidRPr="006264C6"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We incur general and administrative expenses which include our onshore related expenses such as payroll expenses of employees, executive officers, directors and consultants, compensation cost of restricted stock awarded to senior management and non-executive directors, traveling, promotional and other expenses of the public company, such as legal and professional expenses and other general expenses.</w:t>
      </w:r>
      <w:r w:rsidR="00FF1124" w:rsidRPr="006264C6">
        <w:rPr>
          <w:rFonts w:ascii="Arial" w:eastAsia="Arial" w:hAnsi="Arial" w:cs="Arial"/>
          <w:color w:val="000000"/>
          <w:lang w:val="en-US"/>
        </w:rPr>
        <w:t xml:space="preserve"> General and administrative expenses </w:t>
      </w:r>
      <w:r w:rsidR="00E87E24" w:rsidRPr="006264C6">
        <w:rPr>
          <w:rFonts w:ascii="Arial" w:eastAsia="Arial" w:hAnsi="Arial" w:cs="Arial"/>
          <w:color w:val="000000"/>
          <w:lang w:val="en-US"/>
        </w:rPr>
        <w:t>are not affected</w:t>
      </w:r>
      <w:r w:rsidR="0004235C">
        <w:rPr>
          <w:rFonts w:ascii="Arial" w:eastAsia="Arial" w:hAnsi="Arial" w:cs="Arial"/>
          <w:color w:val="000000"/>
          <w:lang w:val="en-US"/>
        </w:rPr>
        <w:t xml:space="preserve"> significantly</w:t>
      </w:r>
      <w:r w:rsidR="00E87E24" w:rsidRPr="006264C6">
        <w:rPr>
          <w:rFonts w:ascii="Arial" w:eastAsia="Arial" w:hAnsi="Arial" w:cs="Arial"/>
          <w:color w:val="000000"/>
          <w:lang w:val="en-US"/>
        </w:rPr>
        <w:t xml:space="preserve"> by the size of the fleet</w:t>
      </w:r>
      <w:r w:rsidRPr="006264C6">
        <w:rPr>
          <w:rFonts w:ascii="Arial" w:eastAsia="Arial" w:hAnsi="Arial" w:cs="Arial"/>
          <w:color w:val="000000"/>
          <w:lang w:val="en-US"/>
        </w:rPr>
        <w:t>.</w:t>
      </w:r>
      <w:r w:rsidR="00E87E24" w:rsidRPr="006264C6">
        <w:rPr>
          <w:rFonts w:ascii="Arial" w:eastAsia="Arial" w:hAnsi="Arial" w:cs="Arial"/>
          <w:color w:val="000000"/>
          <w:lang w:val="en-US"/>
        </w:rPr>
        <w:t xml:space="preserve"> However, they are affected by the exchange rate of Euro to US Dollars</w:t>
      </w:r>
      <w:r w:rsidRPr="006264C6">
        <w:rPr>
          <w:rFonts w:ascii="Arial" w:eastAsia="Arial" w:hAnsi="Arial" w:cs="Arial"/>
          <w:color w:val="000000"/>
          <w:lang w:val="en-US"/>
        </w:rPr>
        <w:t>,</w:t>
      </w:r>
      <w:r w:rsidR="00E87E24" w:rsidRPr="006264C6">
        <w:rPr>
          <w:rFonts w:ascii="Arial" w:eastAsia="Arial" w:hAnsi="Arial" w:cs="Arial"/>
          <w:color w:val="000000"/>
          <w:lang w:val="en-US"/>
        </w:rPr>
        <w:t xml:space="preserve"> </w:t>
      </w:r>
      <w:r w:rsidRPr="006264C6">
        <w:rPr>
          <w:rFonts w:ascii="Arial" w:eastAsia="Arial" w:hAnsi="Arial" w:cs="Arial"/>
          <w:color w:val="000000"/>
          <w:lang w:val="en-US"/>
        </w:rPr>
        <w:t xml:space="preserve">as about half of </w:t>
      </w:r>
      <w:r w:rsidR="00FF1124" w:rsidRPr="006264C6">
        <w:rPr>
          <w:rFonts w:ascii="Arial" w:eastAsia="Arial" w:hAnsi="Arial" w:cs="Arial"/>
          <w:color w:val="000000"/>
          <w:lang w:val="en-US"/>
        </w:rPr>
        <w:t xml:space="preserve">our </w:t>
      </w:r>
      <w:r w:rsidRPr="006264C6">
        <w:rPr>
          <w:rFonts w:ascii="Arial" w:eastAsia="Arial" w:hAnsi="Arial" w:cs="Arial"/>
          <w:color w:val="000000"/>
          <w:lang w:val="en-US"/>
        </w:rPr>
        <w:t>administrative expenses are in Euro.</w:t>
      </w:r>
      <w:r w:rsidR="00FF1124" w:rsidRPr="006264C6">
        <w:rPr>
          <w:rFonts w:ascii="Arial" w:eastAsia="Arial" w:hAnsi="Arial" w:cs="Arial"/>
          <w:color w:val="000000"/>
          <w:lang w:val="en-US"/>
        </w:rPr>
        <w:t xml:space="preserve"> </w:t>
      </w:r>
    </w:p>
    <w:p w14:paraId="71F3E672" w14:textId="77777777" w:rsidR="009B121F" w:rsidRPr="006264C6" w:rsidRDefault="009B121F" w:rsidP="00A65891">
      <w:pPr>
        <w:pBdr>
          <w:top w:val="nil"/>
          <w:left w:val="nil"/>
          <w:bottom w:val="nil"/>
          <w:right w:val="nil"/>
          <w:between w:val="nil"/>
          <w:bar w:val="nil"/>
        </w:pBdr>
        <w:jc w:val="both"/>
        <w:rPr>
          <w:rFonts w:ascii="Arial" w:eastAsia="Arial" w:hAnsi="Arial" w:cs="Arial"/>
          <w:color w:val="000000"/>
          <w:bdr w:val="nil"/>
          <w:lang w:val="en-US"/>
        </w:rPr>
      </w:pPr>
    </w:p>
    <w:p w14:paraId="71F3E673" w14:textId="77777777" w:rsidR="007C79D6" w:rsidRPr="007A26F0" w:rsidRDefault="003A4815" w:rsidP="00A65891">
      <w:pPr>
        <w:pStyle w:val="Heading4"/>
        <w:keepLines/>
        <w:pBdr>
          <w:top w:val="nil"/>
          <w:left w:val="nil"/>
          <w:bottom w:val="nil"/>
          <w:right w:val="nil"/>
          <w:between w:val="nil"/>
          <w:bar w:val="nil"/>
        </w:pBdr>
        <w:rPr>
          <w:rFonts w:ascii="Arial" w:eastAsia="Arial" w:hAnsi="Arial" w:cs="Arial"/>
          <w:i w:val="0"/>
          <w:color w:val="000000"/>
          <w:bdr w:val="nil"/>
          <w:lang w:val="en-US" w:eastAsia="el-GR"/>
        </w:rPr>
      </w:pPr>
      <w:r w:rsidRPr="007A26F0">
        <w:rPr>
          <w:rFonts w:ascii="Arial" w:eastAsia="Arial" w:hAnsi="Arial" w:cs="Arial"/>
          <w:i w:val="0"/>
          <w:color w:val="000000"/>
          <w:szCs w:val="22"/>
          <w:lang w:val="en-US" w:eastAsia="el-GR"/>
        </w:rPr>
        <w:t>Interest and Finance Costs</w:t>
      </w:r>
    </w:p>
    <w:p w14:paraId="71F3E674" w14:textId="77777777" w:rsidR="009B121F" w:rsidRPr="006264C6" w:rsidRDefault="009B121F" w:rsidP="00A65891">
      <w:pPr>
        <w:keepNext/>
        <w:keepLines/>
        <w:pBdr>
          <w:top w:val="nil"/>
          <w:left w:val="nil"/>
          <w:bottom w:val="nil"/>
          <w:right w:val="nil"/>
          <w:between w:val="nil"/>
          <w:bar w:val="nil"/>
        </w:pBdr>
        <w:jc w:val="both"/>
        <w:rPr>
          <w:rFonts w:ascii="Arial" w:eastAsia="Arial" w:hAnsi="Arial" w:cs="Arial"/>
          <w:color w:val="000000"/>
          <w:bdr w:val="nil"/>
          <w:lang w:val="en-US"/>
        </w:rPr>
      </w:pPr>
    </w:p>
    <w:p w14:paraId="71F3E675" w14:textId="77777777" w:rsidR="006C4FD7" w:rsidRDefault="003A4815" w:rsidP="00A65891">
      <w:pPr>
        <w:pBdr>
          <w:top w:val="nil"/>
          <w:left w:val="nil"/>
          <w:bottom w:val="nil"/>
          <w:right w:val="nil"/>
          <w:between w:val="nil"/>
          <w:bar w:val="nil"/>
        </w:pBdr>
        <w:jc w:val="both"/>
        <w:rPr>
          <w:rFonts w:ascii="Arial" w:eastAsia="Arial" w:hAnsi="Arial" w:cs="Arial"/>
          <w:color w:val="000000"/>
          <w:bdr w:val="nil"/>
          <w:lang w:val="en-US"/>
        </w:rPr>
      </w:pPr>
      <w:r w:rsidRPr="006264C6">
        <w:rPr>
          <w:rFonts w:ascii="Arial" w:eastAsia="Arial" w:hAnsi="Arial" w:cs="Arial"/>
          <w:color w:val="000000"/>
          <w:lang w:val="en-US"/>
        </w:rPr>
        <w:t>We incur interest expense and financing costs in connection with vessel-specific debt</w:t>
      </w:r>
      <w:r w:rsidR="00FF1124" w:rsidRPr="006264C6">
        <w:rPr>
          <w:rFonts w:ascii="Arial" w:eastAsia="Arial" w:hAnsi="Arial" w:cs="Arial"/>
          <w:color w:val="000000"/>
          <w:lang w:val="en-US"/>
        </w:rPr>
        <w:t xml:space="preserve">, </w:t>
      </w:r>
      <w:r w:rsidRPr="006264C6">
        <w:rPr>
          <w:rFonts w:ascii="Arial" w:eastAsia="Arial" w:hAnsi="Arial" w:cs="Arial"/>
          <w:color w:val="000000"/>
          <w:lang w:val="en-US"/>
        </w:rPr>
        <w:t>senior unsecured bond</w:t>
      </w:r>
      <w:r w:rsidR="00FF1124" w:rsidRPr="006264C6">
        <w:rPr>
          <w:rFonts w:ascii="Arial" w:eastAsia="Arial" w:hAnsi="Arial" w:cs="Arial"/>
          <w:color w:val="000000"/>
          <w:lang w:val="en-US"/>
        </w:rPr>
        <w:t xml:space="preserve"> and </w:t>
      </w:r>
      <w:r w:rsidRPr="006264C6">
        <w:rPr>
          <w:rFonts w:ascii="Arial" w:eastAsia="Arial" w:hAnsi="Arial" w:cs="Arial"/>
          <w:color w:val="000000"/>
          <w:lang w:val="en-US"/>
        </w:rPr>
        <w:t xml:space="preserve">finance liabilities. As of December 31, 2025 our aggregate debt amounted to </w:t>
      </w:r>
      <w:r w:rsidRPr="006264C6">
        <w:rPr>
          <w:rFonts w:ascii="Arial" w:eastAsia="Arial" w:hAnsi="Arial" w:cs="Arial"/>
          <w:lang w:val="en-US"/>
        </w:rPr>
        <w:t>$529.2 million</w:t>
      </w:r>
      <w:r w:rsidR="00FF1124" w:rsidRPr="006264C6">
        <w:rPr>
          <w:rFonts w:ascii="Arial" w:eastAsia="Arial" w:hAnsi="Arial" w:cs="Arial"/>
          <w:lang w:val="en-US"/>
        </w:rPr>
        <w:t xml:space="preserve"> and our </w:t>
      </w:r>
      <w:r w:rsidRPr="006264C6">
        <w:rPr>
          <w:rFonts w:ascii="Arial" w:eastAsia="Arial" w:hAnsi="Arial" w:cs="Arial"/>
          <w:lang w:val="en-US"/>
        </w:rPr>
        <w:t>finance liabilities</w:t>
      </w:r>
      <w:r w:rsidR="00FF1124" w:rsidRPr="006264C6">
        <w:rPr>
          <w:rFonts w:ascii="Arial" w:eastAsia="Arial" w:hAnsi="Arial" w:cs="Arial"/>
          <w:lang w:val="en-US"/>
        </w:rPr>
        <w:t xml:space="preserve"> amounted to $114.1 million.</w:t>
      </w:r>
      <w:r w:rsidR="008A32E0" w:rsidRPr="006264C6">
        <w:rPr>
          <w:rFonts w:ascii="Arial" w:eastAsia="Arial" w:hAnsi="Arial" w:cs="Arial"/>
          <w:spacing w:val="-2"/>
          <w:lang w:val="en-US"/>
        </w:rPr>
        <w:t xml:space="preserve"> </w:t>
      </w:r>
      <w:r w:rsidR="00203985" w:rsidRPr="006264C6">
        <w:rPr>
          <w:rFonts w:ascii="Arial" w:eastAsia="Arial" w:hAnsi="Arial" w:cs="Arial"/>
          <w:lang w:val="en-US"/>
        </w:rPr>
        <w:t>During 202</w:t>
      </w:r>
      <w:r w:rsidR="00F67426">
        <w:rPr>
          <w:rFonts w:ascii="Arial" w:eastAsia="Arial" w:hAnsi="Arial" w:cs="Arial"/>
          <w:lang w:val="en-US"/>
        </w:rPr>
        <w:t>3</w:t>
      </w:r>
      <w:r w:rsidR="00203985" w:rsidRPr="006264C6">
        <w:rPr>
          <w:rFonts w:ascii="Arial" w:eastAsia="Arial" w:hAnsi="Arial" w:cs="Arial"/>
          <w:lang w:val="en-US"/>
        </w:rPr>
        <w:t xml:space="preserve">, we </w:t>
      </w:r>
      <w:r w:rsidR="00487743">
        <w:rPr>
          <w:rFonts w:ascii="Arial" w:eastAsia="Arial" w:hAnsi="Arial" w:cs="Arial"/>
          <w:lang w:val="en-US"/>
        </w:rPr>
        <w:t>replaced LIBOR, being the reference rate to calculate interest expense in our loan facilities having a floating rate, with term SOFR</w:t>
      </w:r>
      <w:r w:rsidRPr="006264C6">
        <w:rPr>
          <w:rFonts w:ascii="Arial" w:eastAsia="Arial" w:hAnsi="Arial" w:cs="Arial"/>
          <w:bdr w:val="none" w:sz="0" w:space="0" w:color="auto" w:frame="1"/>
          <w:lang w:val="en-US"/>
        </w:rPr>
        <w:t>.</w:t>
      </w:r>
      <w:r w:rsidR="00F55E3A" w:rsidRPr="006264C6">
        <w:rPr>
          <w:rFonts w:ascii="Arial" w:eastAsia="Arial" w:hAnsi="Arial" w:cs="Arial"/>
          <w:bdr w:val="none" w:sz="0" w:space="0" w:color="auto" w:frame="1"/>
          <w:lang w:val="en-US"/>
        </w:rPr>
        <w:t xml:space="preserve"> </w:t>
      </w:r>
      <w:r w:rsidR="00EF31E9" w:rsidRPr="00EF31E9">
        <w:rPr>
          <w:rFonts w:ascii="Arial" w:eastAsia="Arial" w:hAnsi="Arial" w:cs="Arial"/>
          <w:lang w:val="en-US"/>
        </w:rPr>
        <w:t>Interest rates, which had been increasing since the beginning of 2022, started to decrease in the third quarter of 2024 and continued to decline until the end of 2025</w:t>
      </w:r>
      <w:r w:rsidR="00B417AA">
        <w:rPr>
          <w:rFonts w:ascii="Arial" w:eastAsia="Arial" w:hAnsi="Arial" w:cs="Arial"/>
          <w:bdr w:val="none" w:sz="0" w:space="0" w:color="auto" w:frame="1"/>
          <w:lang w:val="en-US"/>
        </w:rPr>
        <w:t>.</w:t>
      </w:r>
      <w:r w:rsidR="009C2601" w:rsidRPr="009C2601">
        <w:rPr>
          <w:rFonts w:ascii="Arial" w:eastAsia="Arial" w:hAnsi="Arial" w:cs="Arial"/>
          <w:bdr w:val="none" w:sz="0" w:space="0" w:color="auto" w:frame="1"/>
          <w:lang w:val="en-US"/>
        </w:rPr>
        <w:t xml:space="preserve"> </w:t>
      </w:r>
    </w:p>
    <w:p w14:paraId="71F3E676" w14:textId="77777777" w:rsidR="006C4FD7" w:rsidRDefault="006C4FD7" w:rsidP="00A65891">
      <w:pPr>
        <w:pBdr>
          <w:top w:val="nil"/>
          <w:left w:val="nil"/>
          <w:bottom w:val="nil"/>
          <w:right w:val="nil"/>
          <w:between w:val="nil"/>
          <w:bar w:val="nil"/>
        </w:pBdr>
        <w:jc w:val="both"/>
        <w:rPr>
          <w:rFonts w:ascii="Arial" w:eastAsia="Arial" w:hAnsi="Arial" w:cs="Arial"/>
          <w:color w:val="000000"/>
          <w:bdr w:val="nil"/>
          <w:lang w:val="en-US"/>
        </w:rPr>
      </w:pPr>
    </w:p>
    <w:p w14:paraId="71F3E677" w14:textId="77777777" w:rsidR="00A60772" w:rsidRDefault="003A4815" w:rsidP="00A65891">
      <w:pPr>
        <w:pBdr>
          <w:top w:val="nil"/>
          <w:left w:val="nil"/>
          <w:bottom w:val="nil"/>
          <w:right w:val="nil"/>
          <w:between w:val="nil"/>
          <w:bar w:val="nil"/>
        </w:pBdr>
        <w:jc w:val="both"/>
        <w:rPr>
          <w:rFonts w:ascii="Arial" w:eastAsia="Arial" w:hAnsi="Arial" w:cs="Arial"/>
          <w:bdr w:val="nil"/>
          <w:lang w:val="en-US"/>
        </w:rPr>
      </w:pPr>
      <w:r w:rsidRPr="00B417AA">
        <w:rPr>
          <w:rFonts w:ascii="Arial" w:eastAsia="Arial" w:hAnsi="Arial" w:cs="Arial"/>
          <w:lang w:val="en-US"/>
        </w:rPr>
        <w:t xml:space="preserve">We manage our exposure to interest </w:t>
      </w:r>
      <w:r w:rsidR="00B417AA" w:rsidRPr="00B417AA">
        <w:rPr>
          <w:rFonts w:ascii="Arial" w:eastAsia="Arial" w:hAnsi="Arial" w:cs="Arial"/>
          <w:lang w:val="en-US"/>
        </w:rPr>
        <w:t>rates</w:t>
      </w:r>
      <w:r w:rsidRPr="00B417AA">
        <w:rPr>
          <w:rFonts w:ascii="Arial" w:eastAsia="Arial" w:hAnsi="Arial" w:cs="Arial"/>
          <w:lang w:val="en-US"/>
        </w:rPr>
        <w:t xml:space="preserve"> by </w:t>
      </w:r>
      <w:r w:rsidR="00C477BF" w:rsidRPr="00B417AA">
        <w:rPr>
          <w:rFonts w:ascii="Arial" w:eastAsia="Arial" w:hAnsi="Arial" w:cs="Arial"/>
          <w:lang w:val="en-US"/>
        </w:rPr>
        <w:t xml:space="preserve">maintaining a </w:t>
      </w:r>
      <w:r w:rsidR="00B417AA">
        <w:rPr>
          <w:rFonts w:ascii="Arial" w:eastAsia="Arial" w:hAnsi="Arial" w:cs="Arial"/>
          <w:lang w:val="en-US"/>
        </w:rPr>
        <w:t xml:space="preserve">mix of </w:t>
      </w:r>
      <w:r w:rsidRPr="00B417AA">
        <w:rPr>
          <w:rFonts w:ascii="Arial" w:eastAsia="Arial" w:hAnsi="Arial" w:cs="Arial"/>
          <w:lang w:val="en-US"/>
        </w:rPr>
        <w:t xml:space="preserve">floating </w:t>
      </w:r>
      <w:r w:rsidR="00C477BF" w:rsidRPr="00B417AA">
        <w:rPr>
          <w:rFonts w:ascii="Arial" w:eastAsia="Arial" w:hAnsi="Arial" w:cs="Arial"/>
          <w:lang w:val="en-US"/>
        </w:rPr>
        <w:t xml:space="preserve">and </w:t>
      </w:r>
      <w:r w:rsidRPr="00B417AA">
        <w:rPr>
          <w:rFonts w:ascii="Arial" w:eastAsia="Arial" w:hAnsi="Arial" w:cs="Arial"/>
          <w:lang w:val="en-US"/>
        </w:rPr>
        <w:t>fixed interest rate</w:t>
      </w:r>
      <w:r w:rsidR="00B417AA">
        <w:rPr>
          <w:rFonts w:ascii="Arial" w:eastAsia="Arial" w:hAnsi="Arial" w:cs="Arial"/>
          <w:lang w:val="en-US"/>
        </w:rPr>
        <w:t xml:space="preserve"> financing agreements</w:t>
      </w:r>
      <w:r w:rsidRPr="00B417AA">
        <w:rPr>
          <w:rFonts w:ascii="Arial" w:eastAsia="Arial" w:hAnsi="Arial" w:cs="Arial"/>
          <w:lang w:val="en-US"/>
        </w:rPr>
        <w:t xml:space="preserve">. </w:t>
      </w:r>
      <w:r w:rsidR="00B417AA">
        <w:rPr>
          <w:rFonts w:ascii="Arial" w:eastAsia="Arial" w:hAnsi="Arial" w:cs="Arial"/>
          <w:lang w:val="en-US"/>
        </w:rPr>
        <w:t xml:space="preserve">Floating rate agreements include secured loan facilities and fixed rate agreements include leases and our senior unsecured bond. </w:t>
      </w:r>
      <w:r w:rsidR="00C477BF" w:rsidRPr="00B417AA">
        <w:rPr>
          <w:rFonts w:ascii="Arial" w:eastAsia="Arial" w:hAnsi="Arial" w:cs="Arial"/>
          <w:color w:val="000000"/>
          <w:lang w:val="en-US"/>
        </w:rPr>
        <w:t xml:space="preserve">Also, </w:t>
      </w:r>
      <w:r w:rsidRPr="00B417AA">
        <w:rPr>
          <w:rFonts w:ascii="Arial" w:eastAsia="Arial" w:hAnsi="Arial" w:cs="Arial"/>
          <w:color w:val="000000"/>
          <w:lang w:val="en-US"/>
        </w:rPr>
        <w:t xml:space="preserve">in 2023, we entered into an interest rate swap for </w:t>
      </w:r>
      <w:r w:rsidRPr="00B417AA">
        <w:rPr>
          <w:rFonts w:ascii="Arial" w:eastAsia="Arial" w:hAnsi="Arial" w:cs="Arial"/>
          <w:lang w:val="en-US"/>
        </w:rPr>
        <w:t>30% of our $100 million loan facility with DNB, dated June 26, 2023, under which we pay fixed interest and receive floating</w:t>
      </w:r>
      <w:r w:rsidR="006C4FD7" w:rsidRPr="00B417AA">
        <w:rPr>
          <w:rFonts w:ascii="Arial" w:eastAsia="Arial" w:hAnsi="Arial" w:cs="Arial"/>
          <w:lang w:val="en-US"/>
        </w:rPr>
        <w:t xml:space="preserve">. </w:t>
      </w:r>
    </w:p>
    <w:p w14:paraId="71F3E678"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679" w14:textId="77777777" w:rsidR="00276051" w:rsidRPr="00E26242" w:rsidRDefault="003A4815" w:rsidP="00E26242">
      <w:pPr>
        <w:pStyle w:val="Heading3"/>
        <w:keepLines/>
        <w:pBdr>
          <w:top w:val="nil"/>
          <w:left w:val="nil"/>
          <w:bottom w:val="nil"/>
          <w:right w:val="nil"/>
          <w:between w:val="nil"/>
          <w:bar w:val="nil"/>
        </w:pBdr>
        <w:jc w:val="left"/>
        <w:rPr>
          <w:rFonts w:eastAsia="Arial" w:cs="Arial"/>
          <w:i w:val="0"/>
          <w:szCs w:val="22"/>
          <w:bdr w:val="nil"/>
          <w:lang w:val="en-US"/>
        </w:rPr>
      </w:pPr>
      <w:bookmarkStart w:id="161" w:name="RG_MARKER_23064"/>
      <w:r w:rsidRPr="00E26242">
        <w:rPr>
          <w:rFonts w:eastAsia="Arial" w:cs="Arial"/>
          <w:i w:val="0"/>
          <w:szCs w:val="22"/>
          <w:lang w:val="en-US"/>
        </w:rPr>
        <w:t>Lack of Historical Operating Data for Vessels before Their Acquisition</w:t>
      </w:r>
      <w:bookmarkEnd w:id="161"/>
    </w:p>
    <w:p w14:paraId="71F3E67A" w14:textId="77777777" w:rsidR="00731F9C" w:rsidRPr="00E26242" w:rsidRDefault="00731F9C" w:rsidP="00E26242">
      <w:pPr>
        <w:keepNext/>
        <w:keepLines/>
        <w:pBdr>
          <w:top w:val="nil"/>
          <w:left w:val="nil"/>
          <w:bottom w:val="nil"/>
          <w:right w:val="nil"/>
          <w:between w:val="nil"/>
          <w:bar w:val="nil"/>
        </w:pBdr>
        <w:rPr>
          <w:rFonts w:ascii="Arial" w:eastAsia="Arial" w:hAnsi="Arial" w:cs="Arial"/>
          <w:bdr w:val="nil"/>
          <w:lang w:val="en-US"/>
        </w:rPr>
      </w:pPr>
    </w:p>
    <w:p w14:paraId="71F3E67B" w14:textId="77777777" w:rsidR="00276051" w:rsidRPr="00E26242" w:rsidRDefault="003A4815" w:rsidP="00E26242">
      <w:pPr>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Although vessels are generally acquired free of charter, we have acquired (and may in the future acquire) some vessels with time charters. It is rare in the shipping industry for the last charterer of the vessel in the hands of the seller to continue as the first charterer of the vessel in the hands of the buyer. In most cases, when a vessel is under time charter and the buyer wishes to assume that charter, the vessel cannot be acquired without the charterer’s consent and the buyer entering into a separate direct agreement (called a “novation agreement”) with the charterer to assume the charter. The purchase of a vessel itself does not transfer the charter because it is a separate service agreement between the vessel owner and the charterer.</w:t>
      </w:r>
    </w:p>
    <w:p w14:paraId="71F3E67C"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7D" w14:textId="77777777" w:rsidR="00276051" w:rsidRPr="00E26242" w:rsidRDefault="003A4815" w:rsidP="00E26242">
      <w:pPr>
        <w:pBdr>
          <w:top w:val="nil"/>
          <w:left w:val="nil"/>
          <w:bottom w:val="nil"/>
          <w:right w:val="nil"/>
          <w:between w:val="nil"/>
          <w:bar w:val="nil"/>
        </w:pBdr>
        <w:jc w:val="both"/>
        <w:rPr>
          <w:rFonts w:ascii="Arial" w:eastAsia="Arial" w:hAnsi="Arial" w:cs="Arial"/>
          <w:bdr w:val="nil"/>
          <w:lang w:val="en-GB"/>
        </w:rPr>
      </w:pPr>
      <w:r w:rsidRPr="00E26242">
        <w:rPr>
          <w:rFonts w:ascii="Arial" w:eastAsia="Arial" w:hAnsi="Arial" w:cs="Arial"/>
          <w:color w:val="000000"/>
          <w:lang w:val="en-US"/>
        </w:rPr>
        <w:t xml:space="preserve">Where we identify any intangible assets or liabilities </w:t>
      </w:r>
      <w:r w:rsidRPr="00E26242">
        <w:rPr>
          <w:rFonts w:ascii="Arial" w:eastAsia="Arial" w:hAnsi="Arial" w:cs="Arial"/>
          <w:lang w:val="en-GB"/>
        </w:rPr>
        <w:t>associated with the acquisition of a vessel, we record all identified assets or liabilities at fair value. Fair value is determined by reference to market data. We value any asset or liability arising from the market value of the time charters assumed when a vessel is acquired. The amount to be recorded as an asset or liability at the date of vessel delivery is based on the difference between the current fair market value of the charter and the net present value of future contractual cash flows.  When the present value of the time charter assumed is greater than the current fair market value of such charter, the difference is recorded as prepaid charter revenue.  When the opposite situation occurs, any difference, capped to the vessel’s fair value on a charter-free basis, is recorded as deferred revenue.  Such assets and liabilities, respectively, are amortized as a reduction of, or an increase in, revenue over the period of the time charter assumed.</w:t>
      </w:r>
    </w:p>
    <w:p w14:paraId="71F3E67E"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7F" w14:textId="77777777" w:rsidR="00276051" w:rsidRPr="00E26242" w:rsidRDefault="003A4815" w:rsidP="003F44E1">
      <w:pPr>
        <w:keepNext/>
        <w:keepLines/>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When we purchase a vessel and assume or renegotiate a related time charter, among others, we must take the following steps before the vessel will be ready to commence operations:</w:t>
      </w:r>
    </w:p>
    <w:p w14:paraId="71F3E680" w14:textId="77777777" w:rsidR="00276051" w:rsidRPr="00E26242" w:rsidRDefault="00276051" w:rsidP="003F44E1">
      <w:pPr>
        <w:keepNext/>
        <w:keepLines/>
        <w:pBdr>
          <w:top w:val="nil"/>
          <w:left w:val="nil"/>
          <w:bottom w:val="nil"/>
          <w:right w:val="nil"/>
          <w:between w:val="nil"/>
          <w:bar w:val="nil"/>
        </w:pBdr>
        <w:jc w:val="both"/>
        <w:rPr>
          <w:rFonts w:ascii="Arial" w:eastAsia="Arial" w:hAnsi="Arial" w:cs="Arial"/>
          <w:color w:val="000000"/>
          <w:bdr w:val="nil"/>
          <w:lang w:val="en-US"/>
        </w:rPr>
      </w:pPr>
    </w:p>
    <w:p w14:paraId="71F3E681"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obtain the charterer’s consent to us as the new owner;</w:t>
      </w:r>
    </w:p>
    <w:p w14:paraId="71F3E682"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3"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obtain the charterer’s consent to a new technical manager;</w:t>
      </w:r>
    </w:p>
    <w:p w14:paraId="71F3E684"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5"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in some cases, obtain the charterer’s consent to a new flag for the vessel;</w:t>
      </w:r>
    </w:p>
    <w:p w14:paraId="71F3E686"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7"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arrange for a new crew for the vessel, and where the vessel is on charter, in some cases, the crew must be approved by the charterer;</w:t>
      </w:r>
    </w:p>
    <w:p w14:paraId="71F3E688"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9"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replace all hired equipment on board, such as gas cylinders and communication equipment;</w:t>
      </w:r>
    </w:p>
    <w:p w14:paraId="71F3E68A"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B"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negotiate and enter into new insurance contracts for the vessel through our own insurance brokers;</w:t>
      </w:r>
    </w:p>
    <w:p w14:paraId="71F3E68C"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D"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register the vessel under a flag state and perform the related inspections in order to obtain new trading certificates from the flag state;</w:t>
      </w:r>
    </w:p>
    <w:p w14:paraId="71F3E68E"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8F"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implement a new planned maintenance program for the vessel; and</w:t>
      </w:r>
    </w:p>
    <w:p w14:paraId="71F3E690"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91"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ensure that the new technical manager obtains new certificates for compliance with the safety and vessel security regulations of the flag state.</w:t>
      </w:r>
    </w:p>
    <w:p w14:paraId="71F3E692"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93" w14:textId="77777777" w:rsidR="00276051" w:rsidRPr="00E26242" w:rsidRDefault="003A4815" w:rsidP="00E26242">
      <w:pPr>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 xml:space="preserve">When we charter a vessel pursuant to a long-term time charter agreement with varying rates, we recognize revenue on a straight-line basis, equal to the average revenue during the term of the charter. </w:t>
      </w:r>
    </w:p>
    <w:p w14:paraId="71F3E694"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95" w14:textId="77777777" w:rsidR="00276051" w:rsidRPr="00E26242" w:rsidRDefault="003A4815" w:rsidP="00E26242">
      <w:pPr>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The following discussion is intended to help you understand how acquisitions of vessels affect our business and results of operations.</w:t>
      </w:r>
    </w:p>
    <w:p w14:paraId="71F3E696"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97" w14:textId="77777777" w:rsidR="00276051" w:rsidRPr="00E26242" w:rsidRDefault="003A4815" w:rsidP="003F44E1">
      <w:pPr>
        <w:keepNext/>
        <w:keepLines/>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Our business is mainly comprised of the following elements:</w:t>
      </w:r>
    </w:p>
    <w:p w14:paraId="71F3E698" w14:textId="77777777" w:rsidR="00276051" w:rsidRPr="00E26242" w:rsidRDefault="00276051" w:rsidP="003F44E1">
      <w:pPr>
        <w:keepNext/>
        <w:keepLines/>
        <w:pBdr>
          <w:top w:val="nil"/>
          <w:left w:val="nil"/>
          <w:bottom w:val="nil"/>
          <w:right w:val="nil"/>
          <w:between w:val="nil"/>
          <w:bar w:val="nil"/>
        </w:pBdr>
        <w:jc w:val="both"/>
        <w:rPr>
          <w:rFonts w:ascii="Arial" w:eastAsia="Arial" w:hAnsi="Arial" w:cs="Arial"/>
          <w:color w:val="000000"/>
          <w:bdr w:val="nil"/>
          <w:lang w:val="en-US"/>
        </w:rPr>
      </w:pPr>
    </w:p>
    <w:p w14:paraId="71F3E699"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employment and operation of our vessels; and</w:t>
      </w:r>
    </w:p>
    <w:p w14:paraId="71F3E69A"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9B"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management of the financial, general and administrative elements involved in the conduct of our business and ownership of our vessels.</w:t>
      </w:r>
    </w:p>
    <w:p w14:paraId="71F3E69C"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9D" w14:textId="77777777" w:rsidR="00276051" w:rsidRPr="00E26242" w:rsidRDefault="003A4815" w:rsidP="003F44E1">
      <w:pPr>
        <w:keepNext/>
        <w:keepLines/>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The employment and operation of our vessels mainly require the following components:</w:t>
      </w:r>
    </w:p>
    <w:p w14:paraId="71F3E69E" w14:textId="77777777" w:rsidR="00276051" w:rsidRPr="00E26242" w:rsidRDefault="00276051" w:rsidP="003F44E1">
      <w:pPr>
        <w:keepNext/>
        <w:keepLines/>
        <w:pBdr>
          <w:top w:val="nil"/>
          <w:left w:val="nil"/>
          <w:bottom w:val="nil"/>
          <w:right w:val="nil"/>
          <w:between w:val="nil"/>
          <w:bar w:val="nil"/>
        </w:pBdr>
        <w:jc w:val="both"/>
        <w:rPr>
          <w:rFonts w:ascii="Arial" w:eastAsia="Arial" w:hAnsi="Arial" w:cs="Arial"/>
          <w:color w:val="000000"/>
          <w:bdr w:val="nil"/>
          <w:lang w:val="en-US"/>
        </w:rPr>
      </w:pPr>
    </w:p>
    <w:p w14:paraId="71F3E69F"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vessel maintenance and repair;</w:t>
      </w:r>
    </w:p>
    <w:p w14:paraId="71F3E6A0"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1"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crew selection and training;</w:t>
      </w:r>
    </w:p>
    <w:p w14:paraId="71F3E6A2"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3"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vessel spares and stores supply;</w:t>
      </w:r>
    </w:p>
    <w:p w14:paraId="71F3E6A4"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5"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contingency response planning;</w:t>
      </w:r>
    </w:p>
    <w:p w14:paraId="71F3E6A6"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7"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onboard safety procedures auditing;</w:t>
      </w:r>
    </w:p>
    <w:p w14:paraId="71F3E6A8"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9"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accounting;</w:t>
      </w:r>
    </w:p>
    <w:p w14:paraId="71F3E6AA"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B"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vessel insurance arrangement;</w:t>
      </w:r>
    </w:p>
    <w:p w14:paraId="71F3E6AC"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D"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vessel chartering;</w:t>
      </w:r>
    </w:p>
    <w:p w14:paraId="71F3E6AE"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AF"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vessel security training and security response plans (ISPS);</w:t>
      </w:r>
    </w:p>
    <w:p w14:paraId="71F3E6B0" w14:textId="77777777" w:rsidR="00276051" w:rsidRPr="00E26242" w:rsidRDefault="00276051" w:rsidP="00E26242">
      <w:pPr>
        <w:pBdr>
          <w:top w:val="nil"/>
          <w:left w:val="nil"/>
          <w:bottom w:val="nil"/>
          <w:right w:val="nil"/>
          <w:between w:val="nil"/>
          <w:bar w:val="nil"/>
        </w:pBdr>
        <w:autoSpaceDE w:val="0"/>
        <w:autoSpaceDN w:val="0"/>
        <w:ind w:left="1083"/>
        <w:jc w:val="both"/>
        <w:rPr>
          <w:rFonts w:ascii="Arial" w:eastAsia="Arial" w:hAnsi="Arial" w:cs="Arial"/>
          <w:color w:val="000000"/>
          <w:bdr w:val="nil"/>
          <w:lang w:val="en-US"/>
        </w:rPr>
      </w:pPr>
    </w:p>
    <w:p w14:paraId="71F3E6B1"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89"/>
        </w:tabs>
        <w:autoSpaceDE w:val="0"/>
        <w:autoSpaceDN w:val="0"/>
        <w:ind w:left="1083" w:hanging="357"/>
        <w:jc w:val="both"/>
        <w:rPr>
          <w:rFonts w:ascii="Arial" w:eastAsia="Arial" w:hAnsi="Arial" w:cs="Arial"/>
          <w:color w:val="000000"/>
          <w:bdr w:val="nil"/>
          <w:lang w:val="en-US"/>
        </w:rPr>
      </w:pPr>
      <w:r w:rsidRPr="00E26242">
        <w:rPr>
          <w:rFonts w:ascii="Arial" w:eastAsia="Arial" w:hAnsi="Arial" w:cs="Arial"/>
          <w:color w:val="000000"/>
          <w:lang w:val="en-US"/>
        </w:rPr>
        <w:t>obtaining of ISM certification and audit for each vessel within the six months of taking over a vessel;</w:t>
      </w:r>
    </w:p>
    <w:p w14:paraId="71F3E6B2" w14:textId="77777777" w:rsidR="00276051" w:rsidRPr="00E26242" w:rsidRDefault="00276051" w:rsidP="00E26242">
      <w:pPr>
        <w:pBdr>
          <w:top w:val="nil"/>
          <w:left w:val="nil"/>
          <w:bottom w:val="nil"/>
          <w:right w:val="nil"/>
          <w:between w:val="nil"/>
          <w:bar w:val="nil"/>
        </w:pBdr>
        <w:autoSpaceDE w:val="0"/>
        <w:autoSpaceDN w:val="0"/>
        <w:ind w:left="1440"/>
        <w:jc w:val="both"/>
        <w:rPr>
          <w:rFonts w:ascii="Arial" w:eastAsia="Arial" w:hAnsi="Arial" w:cs="Arial"/>
          <w:color w:val="000000"/>
          <w:bdr w:val="nil"/>
          <w:lang w:val="en-US"/>
        </w:rPr>
      </w:pPr>
    </w:p>
    <w:p w14:paraId="71F3E6B3"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vessel hiring management;</w:t>
      </w:r>
    </w:p>
    <w:p w14:paraId="71F3E6B4"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B5"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vessel surveying; and</w:t>
      </w:r>
    </w:p>
    <w:p w14:paraId="71F3E6B6"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B7"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vessel performance monitoring.</w:t>
      </w:r>
    </w:p>
    <w:p w14:paraId="71F3E6B8"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B9" w14:textId="77777777" w:rsidR="00276051" w:rsidRPr="00E26242" w:rsidRDefault="003A4815" w:rsidP="003F44E1">
      <w:pPr>
        <w:keepNext/>
        <w:keepLines/>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The management of financial, general and administrative elements involved in the conduct of our business and ownership of our vessels mainly requires the following components:</w:t>
      </w:r>
    </w:p>
    <w:p w14:paraId="71F3E6BA" w14:textId="77777777" w:rsidR="00276051" w:rsidRPr="00E26242" w:rsidRDefault="00276051" w:rsidP="003F44E1">
      <w:pPr>
        <w:keepNext/>
        <w:keepLines/>
        <w:pBdr>
          <w:top w:val="nil"/>
          <w:left w:val="nil"/>
          <w:bottom w:val="nil"/>
          <w:right w:val="nil"/>
          <w:between w:val="nil"/>
          <w:bar w:val="nil"/>
        </w:pBdr>
        <w:jc w:val="both"/>
        <w:rPr>
          <w:rFonts w:ascii="Arial" w:eastAsia="Arial" w:hAnsi="Arial" w:cs="Arial"/>
          <w:color w:val="000000"/>
          <w:bdr w:val="nil"/>
          <w:lang w:val="en-US"/>
        </w:rPr>
      </w:pPr>
    </w:p>
    <w:p w14:paraId="71F3E6BB"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management of our financial resources, including banking relationships, i.e., administration of bank loans and bank accounts;</w:t>
      </w:r>
    </w:p>
    <w:p w14:paraId="71F3E6BC"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BD"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management of our accounting system and records and financial reporting;</w:t>
      </w:r>
    </w:p>
    <w:p w14:paraId="71F3E6BE"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BF"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administration of the legal and regulatory requirements affecting our business and assets; and</w:t>
      </w:r>
    </w:p>
    <w:p w14:paraId="71F3E6C0" w14:textId="77777777" w:rsidR="00276051" w:rsidRPr="00E26242" w:rsidRDefault="00276051" w:rsidP="00E26242">
      <w:pPr>
        <w:pBdr>
          <w:top w:val="nil"/>
          <w:left w:val="nil"/>
          <w:bottom w:val="nil"/>
          <w:right w:val="nil"/>
          <w:between w:val="nil"/>
          <w:bar w:val="nil"/>
        </w:pBdr>
        <w:autoSpaceDE w:val="0"/>
        <w:autoSpaceDN w:val="0"/>
        <w:ind w:left="1071"/>
        <w:jc w:val="both"/>
        <w:rPr>
          <w:rFonts w:ascii="Arial" w:eastAsia="Arial" w:hAnsi="Arial" w:cs="Arial"/>
          <w:color w:val="000000"/>
          <w:bdr w:val="nil"/>
          <w:lang w:val="en-US"/>
        </w:rPr>
      </w:pPr>
    </w:p>
    <w:p w14:paraId="71F3E6C1" w14:textId="77777777" w:rsidR="00276051" w:rsidRPr="00E26242" w:rsidRDefault="003A4815" w:rsidP="00E26242">
      <w:pPr>
        <w:numPr>
          <w:ilvl w:val="0"/>
          <w:numId w:val="20"/>
        </w:numPr>
        <w:pBdr>
          <w:top w:val="nil"/>
          <w:left w:val="nil"/>
          <w:bottom w:val="nil"/>
          <w:right w:val="nil"/>
          <w:between w:val="nil"/>
          <w:bar w:val="nil"/>
        </w:pBdr>
        <w:tabs>
          <w:tab w:val="clear" w:pos="720"/>
          <w:tab w:val="num" w:pos="1077"/>
        </w:tabs>
        <w:autoSpaceDE w:val="0"/>
        <w:autoSpaceDN w:val="0"/>
        <w:ind w:left="1071" w:hanging="357"/>
        <w:jc w:val="both"/>
        <w:rPr>
          <w:rFonts w:ascii="Arial" w:eastAsia="Arial" w:hAnsi="Arial" w:cs="Arial"/>
          <w:color w:val="000000"/>
          <w:bdr w:val="nil"/>
          <w:lang w:val="en-US"/>
        </w:rPr>
      </w:pPr>
      <w:r w:rsidRPr="00E26242">
        <w:rPr>
          <w:rFonts w:ascii="Arial" w:eastAsia="Arial" w:hAnsi="Arial" w:cs="Arial"/>
          <w:color w:val="000000"/>
          <w:lang w:val="en-US"/>
        </w:rPr>
        <w:t>management of the relationships with our service providers and customers.</w:t>
      </w:r>
    </w:p>
    <w:p w14:paraId="71F3E6C2" w14:textId="77777777" w:rsidR="00276051" w:rsidRPr="00E26242" w:rsidRDefault="00276051" w:rsidP="00E26242">
      <w:pPr>
        <w:pBdr>
          <w:top w:val="nil"/>
          <w:left w:val="nil"/>
          <w:bottom w:val="nil"/>
          <w:right w:val="nil"/>
          <w:between w:val="nil"/>
          <w:bar w:val="nil"/>
        </w:pBdr>
        <w:jc w:val="both"/>
        <w:rPr>
          <w:rFonts w:ascii="Arial" w:eastAsia="Arial" w:hAnsi="Arial" w:cs="Arial"/>
          <w:color w:val="000000"/>
          <w:bdr w:val="nil"/>
          <w:lang w:val="en-US"/>
        </w:rPr>
      </w:pPr>
    </w:p>
    <w:p w14:paraId="71F3E6C3" w14:textId="77777777" w:rsidR="00276051" w:rsidRPr="00E26242" w:rsidRDefault="003A4815" w:rsidP="003F44E1">
      <w:pPr>
        <w:keepNext/>
        <w:keepLines/>
        <w:pBdr>
          <w:top w:val="nil"/>
          <w:left w:val="nil"/>
          <w:bottom w:val="nil"/>
          <w:right w:val="nil"/>
          <w:between w:val="nil"/>
          <w:bar w:val="nil"/>
        </w:pBdr>
        <w:jc w:val="both"/>
        <w:rPr>
          <w:rFonts w:ascii="Arial" w:eastAsia="Arial" w:hAnsi="Arial" w:cs="Arial"/>
          <w:color w:val="000000"/>
          <w:bdr w:val="nil"/>
          <w:lang w:val="en-US"/>
        </w:rPr>
      </w:pPr>
      <w:r w:rsidRPr="00E26242">
        <w:rPr>
          <w:rFonts w:ascii="Arial" w:eastAsia="Arial" w:hAnsi="Arial" w:cs="Arial"/>
          <w:color w:val="000000"/>
          <w:lang w:val="en-US"/>
        </w:rPr>
        <w:t>The principal factors that affect our profitability, cash flows and shareholders’ return on investment include:</w:t>
      </w:r>
    </w:p>
    <w:p w14:paraId="71F3E6C4" w14:textId="77777777" w:rsidR="00276051" w:rsidRPr="00E26242" w:rsidRDefault="00276051" w:rsidP="003F44E1">
      <w:pPr>
        <w:keepNext/>
        <w:keepLines/>
        <w:pBdr>
          <w:top w:val="nil"/>
          <w:left w:val="nil"/>
          <w:bottom w:val="nil"/>
          <w:right w:val="nil"/>
          <w:between w:val="nil"/>
          <w:bar w:val="nil"/>
        </w:pBdr>
        <w:jc w:val="both"/>
        <w:rPr>
          <w:rFonts w:ascii="Arial" w:eastAsia="Arial" w:hAnsi="Arial" w:cs="Arial"/>
          <w:color w:val="000000"/>
          <w:bdr w:val="nil"/>
          <w:lang w:val="en-US"/>
        </w:rPr>
      </w:pPr>
    </w:p>
    <w:p w14:paraId="71F3E6C5" w14:textId="77777777" w:rsidR="00276051"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sidRPr="00E26242">
        <w:rPr>
          <w:rFonts w:ascii="Arial" w:eastAsia="Arial" w:hAnsi="Arial" w:cs="Arial"/>
          <w:color w:val="000000"/>
          <w:lang w:val="en-US"/>
        </w:rPr>
        <w:t>rates and periods of charter hire;</w:t>
      </w:r>
    </w:p>
    <w:p w14:paraId="71F3E6C6" w14:textId="77777777" w:rsidR="00276051" w:rsidRPr="00E26242" w:rsidRDefault="00276051" w:rsidP="00E26242">
      <w:pPr>
        <w:pBdr>
          <w:top w:val="nil"/>
          <w:left w:val="nil"/>
          <w:bottom w:val="nil"/>
          <w:right w:val="nil"/>
          <w:between w:val="nil"/>
          <w:bar w:val="nil"/>
        </w:pBdr>
        <w:autoSpaceDE w:val="0"/>
        <w:autoSpaceDN w:val="0"/>
        <w:ind w:left="717"/>
        <w:jc w:val="both"/>
        <w:rPr>
          <w:rFonts w:ascii="Arial" w:eastAsia="Arial" w:hAnsi="Arial" w:cs="Arial"/>
          <w:color w:val="000000"/>
          <w:bdr w:val="nil"/>
          <w:lang w:val="en-US"/>
        </w:rPr>
      </w:pPr>
    </w:p>
    <w:p w14:paraId="71F3E6C7" w14:textId="77777777" w:rsidR="00276051"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sidRPr="00E26242">
        <w:rPr>
          <w:rFonts w:ascii="Arial" w:eastAsia="Arial" w:hAnsi="Arial" w:cs="Arial"/>
          <w:color w:val="000000"/>
          <w:lang w:val="en-US"/>
        </w:rPr>
        <w:t>levels of vessel operating expenses;</w:t>
      </w:r>
    </w:p>
    <w:p w14:paraId="71F3E6C8" w14:textId="77777777" w:rsidR="00276051" w:rsidRPr="00E26242" w:rsidRDefault="00276051" w:rsidP="00E26242">
      <w:pPr>
        <w:pBdr>
          <w:top w:val="nil"/>
          <w:left w:val="nil"/>
          <w:bottom w:val="nil"/>
          <w:right w:val="nil"/>
          <w:between w:val="nil"/>
          <w:bar w:val="nil"/>
        </w:pBdr>
        <w:autoSpaceDE w:val="0"/>
        <w:autoSpaceDN w:val="0"/>
        <w:ind w:left="360"/>
        <w:jc w:val="both"/>
        <w:rPr>
          <w:rFonts w:ascii="Arial" w:eastAsia="Arial" w:hAnsi="Arial" w:cs="Arial"/>
          <w:color w:val="000000"/>
          <w:bdr w:val="nil"/>
          <w:lang w:val="en-US"/>
        </w:rPr>
      </w:pPr>
    </w:p>
    <w:p w14:paraId="71F3E6C9" w14:textId="77777777" w:rsidR="00276051"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sidRPr="00E26242">
        <w:rPr>
          <w:rFonts w:ascii="Arial" w:eastAsia="Arial" w:hAnsi="Arial" w:cs="Arial"/>
          <w:color w:val="000000"/>
          <w:lang w:val="en-US"/>
        </w:rPr>
        <w:t>depreciation expenses;</w:t>
      </w:r>
    </w:p>
    <w:p w14:paraId="71F3E6CA" w14:textId="77777777" w:rsidR="00276051" w:rsidRPr="00E26242" w:rsidRDefault="00276051" w:rsidP="00E26242">
      <w:pPr>
        <w:pBdr>
          <w:top w:val="nil"/>
          <w:left w:val="nil"/>
          <w:bottom w:val="nil"/>
          <w:right w:val="nil"/>
          <w:between w:val="nil"/>
          <w:bar w:val="nil"/>
        </w:pBdr>
        <w:autoSpaceDE w:val="0"/>
        <w:autoSpaceDN w:val="0"/>
        <w:ind w:left="717"/>
        <w:jc w:val="both"/>
        <w:rPr>
          <w:rFonts w:ascii="Arial" w:eastAsia="Arial" w:hAnsi="Arial" w:cs="Arial"/>
          <w:color w:val="000000"/>
          <w:bdr w:val="nil"/>
          <w:lang w:val="en-US"/>
        </w:rPr>
      </w:pPr>
    </w:p>
    <w:p w14:paraId="71F3E6CB" w14:textId="77777777" w:rsidR="00E62ECE"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sidRPr="00E26242">
        <w:rPr>
          <w:rFonts w:ascii="Arial" w:eastAsia="Arial" w:hAnsi="Arial" w:cs="Arial"/>
          <w:color w:val="000000"/>
          <w:lang w:val="en-US"/>
        </w:rPr>
        <w:t>financing costs;</w:t>
      </w:r>
    </w:p>
    <w:p w14:paraId="71F3E6CC" w14:textId="77777777" w:rsidR="00E62ECE" w:rsidRPr="002874EE" w:rsidRDefault="003A4815" w:rsidP="002874EE">
      <w:pPr>
        <w:pBdr>
          <w:top w:val="nil"/>
          <w:left w:val="nil"/>
          <w:bottom w:val="nil"/>
          <w:right w:val="nil"/>
          <w:between w:val="nil"/>
          <w:bar w:val="nil"/>
        </w:pBdr>
        <w:autoSpaceDE w:val="0"/>
        <w:autoSpaceDN w:val="0"/>
        <w:jc w:val="both"/>
        <w:rPr>
          <w:rFonts w:ascii="Arial" w:eastAsia="Arial" w:hAnsi="Arial" w:cs="Arial"/>
          <w:color w:val="000000"/>
          <w:bdr w:val="nil"/>
          <w:lang w:val="en-US"/>
        </w:rPr>
      </w:pPr>
      <w:r w:rsidRPr="00E26242">
        <w:rPr>
          <w:rFonts w:ascii="Arial" w:eastAsia="Arial" w:hAnsi="Arial" w:cs="Arial"/>
          <w:color w:val="000000"/>
          <w:lang w:val="en-US"/>
        </w:rPr>
        <w:t xml:space="preserve"> </w:t>
      </w:r>
    </w:p>
    <w:p w14:paraId="71F3E6CD" w14:textId="77777777" w:rsidR="00E70359"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Pr>
          <w:rFonts w:ascii="Arial" w:eastAsia="Arial" w:hAnsi="Arial" w:cs="Arial"/>
          <w:color w:val="000000"/>
          <w:lang w:val="en-US"/>
        </w:rPr>
        <w:t>global conflicts</w:t>
      </w:r>
      <w:r w:rsidR="00275574" w:rsidRPr="00E26242">
        <w:rPr>
          <w:rFonts w:ascii="Arial" w:eastAsia="Arial" w:hAnsi="Arial" w:cs="Arial"/>
          <w:color w:val="000000"/>
          <w:lang w:val="en-US"/>
        </w:rPr>
        <w:t xml:space="preserve">; </w:t>
      </w:r>
    </w:p>
    <w:p w14:paraId="71F3E6CE" w14:textId="77777777" w:rsidR="00E70359" w:rsidRDefault="00E70359" w:rsidP="00E70359">
      <w:pPr>
        <w:pStyle w:val="ListParagraph"/>
        <w:pBdr>
          <w:top w:val="nil"/>
          <w:left w:val="nil"/>
          <w:bottom w:val="nil"/>
          <w:right w:val="nil"/>
          <w:between w:val="nil"/>
          <w:bar w:val="nil"/>
        </w:pBdr>
        <w:contextualSpacing w:val="0"/>
        <w:rPr>
          <w:rFonts w:ascii="Arial" w:eastAsia="Arial" w:hAnsi="Arial" w:cs="Arial"/>
          <w:color w:val="000000"/>
          <w:bdr w:val="nil"/>
          <w:lang w:val="en-US"/>
        </w:rPr>
      </w:pPr>
    </w:p>
    <w:p w14:paraId="71F3E6CF" w14:textId="77777777" w:rsidR="00E62ECE"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Pr>
          <w:rFonts w:ascii="Arial" w:eastAsia="Arial" w:hAnsi="Arial" w:cs="Arial"/>
          <w:color w:val="000000"/>
          <w:lang w:val="en-US"/>
        </w:rPr>
        <w:t xml:space="preserve">inflation, </w:t>
      </w:r>
      <w:r w:rsidRPr="00E26242">
        <w:rPr>
          <w:rFonts w:ascii="Arial" w:eastAsia="Arial" w:hAnsi="Arial" w:cs="Arial"/>
          <w:color w:val="000000"/>
          <w:lang w:val="en-US"/>
        </w:rPr>
        <w:t xml:space="preserve">and </w:t>
      </w:r>
    </w:p>
    <w:p w14:paraId="71F3E6D0" w14:textId="77777777" w:rsidR="00276051" w:rsidRPr="00E26242" w:rsidRDefault="00276051" w:rsidP="00E26242">
      <w:pPr>
        <w:pBdr>
          <w:top w:val="nil"/>
          <w:left w:val="nil"/>
          <w:bottom w:val="nil"/>
          <w:right w:val="nil"/>
          <w:between w:val="nil"/>
          <w:bar w:val="nil"/>
        </w:pBdr>
        <w:rPr>
          <w:rFonts w:ascii="Arial" w:eastAsia="Arial" w:hAnsi="Arial" w:cs="Arial"/>
          <w:bdr w:val="nil"/>
          <w:lang w:val="en-US"/>
        </w:rPr>
      </w:pPr>
    </w:p>
    <w:p w14:paraId="71F3E6D1" w14:textId="77777777" w:rsidR="00276051" w:rsidRPr="00E26242" w:rsidRDefault="003A4815" w:rsidP="00E26242">
      <w:pPr>
        <w:numPr>
          <w:ilvl w:val="0"/>
          <w:numId w:val="21"/>
        </w:numPr>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r w:rsidRPr="00E26242">
        <w:rPr>
          <w:rFonts w:ascii="Arial" w:eastAsia="Arial" w:hAnsi="Arial" w:cs="Arial"/>
          <w:color w:val="000000"/>
          <w:lang w:val="en-US"/>
        </w:rPr>
        <w:t>fluctuations in foreign exchange rates.</w:t>
      </w:r>
    </w:p>
    <w:p w14:paraId="71F3E6D2"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6D3" w14:textId="77777777" w:rsidR="000A0BA7" w:rsidRPr="00E77F58" w:rsidRDefault="003A4815" w:rsidP="00E77F58">
      <w:pPr>
        <w:pStyle w:val="Heading3"/>
        <w:keepLines/>
        <w:pBdr>
          <w:top w:val="nil"/>
          <w:left w:val="nil"/>
          <w:bottom w:val="nil"/>
          <w:right w:val="nil"/>
          <w:between w:val="nil"/>
          <w:bar w:val="nil"/>
        </w:pBdr>
        <w:rPr>
          <w:rFonts w:eastAsia="Arial" w:cs="Arial"/>
          <w:i w:val="0"/>
          <w:szCs w:val="24"/>
          <w:bdr w:val="nil"/>
          <w:lang w:val="en-US"/>
        </w:rPr>
      </w:pPr>
      <w:bookmarkStart w:id="162" w:name="RG_MARKER_23066"/>
      <w:r w:rsidRPr="00E77F58">
        <w:rPr>
          <w:rFonts w:eastAsia="Arial" w:cs="Arial"/>
          <w:i w:val="0"/>
          <w:sz w:val="24"/>
          <w:szCs w:val="24"/>
          <w:lang w:val="en-US"/>
        </w:rPr>
        <w:t>Results of Operations</w:t>
      </w:r>
      <w:bookmarkEnd w:id="162"/>
    </w:p>
    <w:p w14:paraId="71F3E6D4" w14:textId="77777777" w:rsidR="009F5111" w:rsidRPr="00E77F58" w:rsidRDefault="009F5111" w:rsidP="00E77F58">
      <w:pPr>
        <w:keepNext/>
        <w:keepLines/>
        <w:pBdr>
          <w:top w:val="nil"/>
          <w:left w:val="nil"/>
          <w:bottom w:val="nil"/>
          <w:right w:val="nil"/>
          <w:between w:val="nil"/>
          <w:bar w:val="nil"/>
        </w:pBdr>
        <w:jc w:val="both"/>
        <w:rPr>
          <w:rFonts w:ascii="Arial" w:eastAsia="Arial" w:hAnsi="Arial" w:cs="Arial"/>
          <w:bdr w:val="nil"/>
          <w:lang w:val="en-US" w:eastAsia="el-GR"/>
        </w:rPr>
      </w:pPr>
    </w:p>
    <w:p w14:paraId="71F3E6D5" w14:textId="77777777" w:rsidR="00CC459A" w:rsidRPr="00E77F58" w:rsidRDefault="003A4815" w:rsidP="00E77F58">
      <w:pPr>
        <w:pStyle w:val="Heading4"/>
        <w:keepLines/>
        <w:pBdr>
          <w:top w:val="nil"/>
          <w:left w:val="nil"/>
          <w:bottom w:val="nil"/>
          <w:right w:val="nil"/>
          <w:between w:val="nil"/>
          <w:bar w:val="nil"/>
        </w:pBdr>
        <w:rPr>
          <w:rFonts w:ascii="Arial" w:eastAsia="Arial" w:hAnsi="Arial" w:cs="Arial"/>
          <w:iCs/>
          <w:color w:val="000000"/>
          <w:bdr w:val="nil"/>
          <w:lang w:val="en-US" w:eastAsia="el-GR"/>
        </w:rPr>
      </w:pPr>
      <w:r w:rsidRPr="00E77F58">
        <w:rPr>
          <w:rFonts w:ascii="Arial" w:eastAsia="Arial" w:hAnsi="Arial" w:cs="Arial"/>
          <w:iCs/>
          <w:color w:val="000000"/>
          <w:szCs w:val="22"/>
          <w:lang w:val="en-US" w:eastAsia="el-GR"/>
        </w:rPr>
        <w:t>Year ended December 31, 2025 compared to the year ended December 31, 2024</w:t>
      </w:r>
    </w:p>
    <w:p w14:paraId="71F3E6D6" w14:textId="77777777" w:rsidR="00046853" w:rsidRPr="00E77F58" w:rsidRDefault="00046853" w:rsidP="00E77F58">
      <w:pPr>
        <w:keepNext/>
        <w:keepLines/>
        <w:pBdr>
          <w:top w:val="nil"/>
          <w:left w:val="nil"/>
          <w:bottom w:val="nil"/>
          <w:right w:val="nil"/>
          <w:between w:val="nil"/>
          <w:bar w:val="nil"/>
        </w:pBdr>
        <w:jc w:val="both"/>
        <w:rPr>
          <w:rFonts w:ascii="Arial" w:eastAsia="Arial" w:hAnsi="Arial" w:cs="Arial"/>
          <w:bdr w:val="nil"/>
          <w:lang w:val="en-US" w:eastAsia="el-GR"/>
        </w:rPr>
      </w:pPr>
    </w:p>
    <w:p w14:paraId="71F3E6D7" w14:textId="77777777" w:rsidR="00745F6F" w:rsidRPr="00745F6F" w:rsidRDefault="003A4815" w:rsidP="00745F6F">
      <w:pPr>
        <w:pBdr>
          <w:top w:val="nil"/>
          <w:left w:val="nil"/>
          <w:bottom w:val="nil"/>
          <w:right w:val="nil"/>
          <w:between w:val="nil"/>
          <w:bar w:val="nil"/>
        </w:pBdr>
        <w:jc w:val="both"/>
        <w:rPr>
          <w:rFonts w:ascii="Arial" w:eastAsia="Arial" w:hAnsi="Arial" w:cs="Arial"/>
          <w:bdr w:val="nil"/>
          <w:lang w:val="en-US"/>
        </w:rPr>
      </w:pPr>
      <w:r w:rsidRPr="00E77F58">
        <w:rPr>
          <w:rFonts w:ascii="Arial" w:eastAsia="Arial" w:hAnsi="Arial" w:cs="Arial"/>
          <w:i/>
          <w:lang w:val="en-US"/>
        </w:rPr>
        <w:t>Time c</w:t>
      </w:r>
      <w:r w:rsidR="005E01EB" w:rsidRPr="00E77F58">
        <w:rPr>
          <w:rFonts w:ascii="Arial" w:eastAsia="Arial" w:hAnsi="Arial" w:cs="Arial"/>
          <w:i/>
          <w:lang w:val="en-US"/>
        </w:rPr>
        <w:t xml:space="preserve">harter </w:t>
      </w:r>
      <w:r w:rsidRPr="00E77F58">
        <w:rPr>
          <w:rFonts w:ascii="Arial" w:eastAsia="Arial" w:hAnsi="Arial" w:cs="Arial"/>
          <w:i/>
          <w:lang w:val="en-US"/>
        </w:rPr>
        <w:t>r</w:t>
      </w:r>
      <w:r w:rsidR="005E01EB" w:rsidRPr="00E77F58">
        <w:rPr>
          <w:rFonts w:ascii="Arial" w:eastAsia="Arial" w:hAnsi="Arial" w:cs="Arial"/>
          <w:i/>
          <w:lang w:val="en-US"/>
        </w:rPr>
        <w:t>evenues.</w:t>
      </w:r>
      <w:r w:rsidR="005E01EB" w:rsidRPr="00E77F58">
        <w:rPr>
          <w:rFonts w:ascii="Arial" w:eastAsia="Arial" w:hAnsi="Arial" w:cs="Arial"/>
          <w:lang w:val="en-US"/>
        </w:rPr>
        <w:t> Time charter revenues decreased by $14.7</w:t>
      </w:r>
      <w:r w:rsidRPr="00E77F58">
        <w:rPr>
          <w:rFonts w:ascii="Arial" w:eastAsia="Arial" w:hAnsi="Arial" w:cs="Arial"/>
          <w:lang w:val="en-US"/>
        </w:rPr>
        <w:t xml:space="preserve"> million, or 6%</w:t>
      </w:r>
      <w:r w:rsidR="005E01EB" w:rsidRPr="00E77F58">
        <w:rPr>
          <w:rFonts w:ascii="Arial" w:eastAsia="Arial" w:hAnsi="Arial" w:cs="Arial"/>
          <w:lang w:val="en-US"/>
        </w:rPr>
        <w:t xml:space="preserve">, to $213.5 million in 2025, compared to $228.2 million in 2024. </w:t>
      </w:r>
      <w:r w:rsidRPr="00745F6F">
        <w:rPr>
          <w:rFonts w:ascii="Arial" w:eastAsia="Arial" w:hAnsi="Arial" w:cs="Arial"/>
          <w:lang w:val="en-US"/>
        </w:rPr>
        <w:t xml:space="preserve">The decrease was primarily due to a </w:t>
      </w:r>
      <w:r w:rsidR="0025685F">
        <w:rPr>
          <w:rFonts w:ascii="Arial" w:eastAsia="Arial" w:hAnsi="Arial" w:cs="Arial"/>
          <w:lang w:val="en-US"/>
        </w:rPr>
        <w:t>decrease in the size of the fleet</w:t>
      </w:r>
      <w:r w:rsidRPr="00745F6F">
        <w:rPr>
          <w:rFonts w:ascii="Arial" w:eastAsia="Arial" w:hAnsi="Arial" w:cs="Arial"/>
          <w:lang w:val="en-US"/>
        </w:rPr>
        <w:t xml:space="preserve"> resulting from the sale of two vessels during</w:t>
      </w:r>
      <w:r w:rsidR="008257B5">
        <w:rPr>
          <w:rFonts w:ascii="Arial" w:eastAsia="Arial" w:hAnsi="Arial" w:cs="Arial"/>
          <w:lang w:val="en-US"/>
        </w:rPr>
        <w:t xml:space="preserve"> </w:t>
      </w:r>
      <w:r w:rsidR="008257B5" w:rsidRPr="00E77F58">
        <w:rPr>
          <w:rFonts w:ascii="Arial" w:eastAsia="Arial" w:hAnsi="Arial" w:cs="Arial"/>
          <w:lang w:val="en-US"/>
        </w:rPr>
        <w:t>2025</w:t>
      </w:r>
      <w:r w:rsidR="008257B5">
        <w:rPr>
          <w:rFonts w:ascii="Arial" w:eastAsia="Arial" w:hAnsi="Arial" w:cs="Arial"/>
          <w:lang w:val="en-US"/>
        </w:rPr>
        <w:t>, which decreased</w:t>
      </w:r>
      <w:r w:rsidR="008257B5" w:rsidRPr="00E77F58">
        <w:rPr>
          <w:rFonts w:ascii="Arial" w:eastAsia="Arial" w:hAnsi="Arial" w:cs="Arial"/>
          <w:lang w:val="en-US"/>
        </w:rPr>
        <w:t xml:space="preserve"> operating days during 2025, compared to last year.</w:t>
      </w:r>
      <w:r>
        <w:rPr>
          <w:rFonts w:ascii="Arial" w:eastAsia="Arial" w:hAnsi="Arial" w:cs="Arial"/>
          <w:lang w:val="en-US"/>
        </w:rPr>
        <w:t xml:space="preserve"> </w:t>
      </w:r>
      <w:r w:rsidRPr="00745F6F">
        <w:rPr>
          <w:rFonts w:ascii="Arial" w:eastAsia="Arial" w:hAnsi="Arial" w:cs="Arial"/>
          <w:lang w:val="en-US"/>
        </w:rPr>
        <w:t xml:space="preserve">Operating days declined to </w:t>
      </w:r>
      <w:r w:rsidRPr="00E77F58">
        <w:rPr>
          <w:rFonts w:ascii="Arial" w:eastAsia="Arial" w:hAnsi="Arial" w:cs="Arial"/>
          <w:lang w:val="en-US"/>
        </w:rPr>
        <w:t>12,969</w:t>
      </w:r>
      <w:r w:rsidRPr="00745F6F">
        <w:rPr>
          <w:rFonts w:ascii="Arial" w:eastAsia="Arial" w:hAnsi="Arial" w:cs="Arial"/>
          <w:lang w:val="en-US"/>
        </w:rPr>
        <w:t xml:space="preserve"> in </w:t>
      </w:r>
      <w:r w:rsidRPr="00E77F58">
        <w:rPr>
          <w:rFonts w:ascii="Arial" w:eastAsia="Arial" w:hAnsi="Arial" w:cs="Arial"/>
          <w:lang w:val="en-US"/>
        </w:rPr>
        <w:t>2025</w:t>
      </w:r>
      <w:r w:rsidRPr="00745F6F">
        <w:rPr>
          <w:rFonts w:ascii="Arial" w:eastAsia="Arial" w:hAnsi="Arial" w:cs="Arial"/>
          <w:lang w:val="en-US"/>
        </w:rPr>
        <w:t xml:space="preserve"> from </w:t>
      </w:r>
      <w:r w:rsidRPr="00E77F58">
        <w:rPr>
          <w:rFonts w:ascii="Arial" w:eastAsia="Arial" w:hAnsi="Arial" w:cs="Arial"/>
          <w:lang w:val="en-US"/>
        </w:rPr>
        <w:t>14,009</w:t>
      </w:r>
      <w:r w:rsidRPr="00745F6F">
        <w:rPr>
          <w:rFonts w:ascii="Arial" w:eastAsia="Arial" w:hAnsi="Arial" w:cs="Arial"/>
          <w:lang w:val="en-US"/>
        </w:rPr>
        <w:t xml:space="preserve"> in </w:t>
      </w:r>
      <w:r w:rsidRPr="00E77F58">
        <w:rPr>
          <w:rFonts w:ascii="Arial" w:eastAsia="Arial" w:hAnsi="Arial" w:cs="Arial"/>
          <w:lang w:val="en-US"/>
        </w:rPr>
        <w:t>2024</w:t>
      </w:r>
      <w:r w:rsidRPr="00745F6F">
        <w:rPr>
          <w:rFonts w:ascii="Arial" w:eastAsia="Arial" w:hAnsi="Arial" w:cs="Arial"/>
          <w:lang w:val="en-US"/>
        </w:rPr>
        <w:t>.</w:t>
      </w:r>
      <w:r>
        <w:rPr>
          <w:rFonts w:ascii="Arial" w:eastAsia="Arial" w:hAnsi="Arial" w:cs="Arial"/>
          <w:lang w:val="en-US"/>
        </w:rPr>
        <w:t xml:space="preserve"> </w:t>
      </w:r>
      <w:r w:rsidRPr="00745F6F">
        <w:rPr>
          <w:rFonts w:ascii="Arial" w:eastAsia="Arial" w:hAnsi="Arial" w:cs="Arial"/>
          <w:lang w:val="en-US"/>
        </w:rPr>
        <w:t xml:space="preserve">This </w:t>
      </w:r>
      <w:r w:rsidR="0025685F">
        <w:rPr>
          <w:rFonts w:ascii="Arial" w:eastAsia="Arial" w:hAnsi="Arial" w:cs="Arial"/>
          <w:lang w:val="en-US"/>
        </w:rPr>
        <w:t>reduction</w:t>
      </w:r>
      <w:r w:rsidRPr="00745F6F">
        <w:rPr>
          <w:rFonts w:ascii="Arial" w:eastAsia="Arial" w:hAnsi="Arial" w:cs="Arial"/>
          <w:lang w:val="en-US"/>
        </w:rPr>
        <w:t xml:space="preserve"> was partially offset by higher average time charter rates, as reflected in our TCE rate of </w:t>
      </w:r>
      <w:r w:rsidRPr="00E77F58">
        <w:rPr>
          <w:rFonts w:ascii="Arial" w:eastAsia="Arial" w:hAnsi="Arial" w:cs="Arial"/>
          <w:lang w:val="en-US"/>
        </w:rPr>
        <w:t xml:space="preserve">$15,454 in 2025 </w:t>
      </w:r>
      <w:r>
        <w:rPr>
          <w:rFonts w:ascii="Arial" w:eastAsia="Arial" w:hAnsi="Arial" w:cs="Arial"/>
          <w:lang w:val="en-US"/>
        </w:rPr>
        <w:t xml:space="preserve">compared to </w:t>
      </w:r>
      <w:r w:rsidRPr="00E77F58">
        <w:rPr>
          <w:rFonts w:ascii="Arial" w:eastAsia="Arial" w:hAnsi="Arial" w:cs="Arial"/>
          <w:lang w:val="en-US"/>
        </w:rPr>
        <w:t>$15,267 in 2024</w:t>
      </w:r>
      <w:r w:rsidRPr="00745F6F">
        <w:rPr>
          <w:rFonts w:ascii="Arial" w:eastAsia="Arial" w:hAnsi="Arial" w:cs="Arial"/>
          <w:lang w:val="en-US"/>
        </w:rPr>
        <w:t>.</w:t>
      </w:r>
    </w:p>
    <w:p w14:paraId="71F3E6D8" w14:textId="77777777" w:rsidR="005A2F95" w:rsidRPr="00E77F58" w:rsidRDefault="005A2F95" w:rsidP="00E77F58">
      <w:pPr>
        <w:pBdr>
          <w:top w:val="nil"/>
          <w:left w:val="nil"/>
          <w:bottom w:val="nil"/>
          <w:right w:val="nil"/>
          <w:between w:val="nil"/>
          <w:bar w:val="nil"/>
        </w:pBdr>
        <w:jc w:val="both"/>
        <w:rPr>
          <w:rFonts w:ascii="Arial" w:eastAsia="Arial" w:hAnsi="Arial" w:cs="Arial"/>
          <w:bdr w:val="nil"/>
          <w:lang w:val="en-US"/>
        </w:rPr>
      </w:pPr>
    </w:p>
    <w:p w14:paraId="71F3E6D9" w14:textId="77777777" w:rsidR="00EF0DBA" w:rsidRPr="00EE0212" w:rsidRDefault="003A4815" w:rsidP="00E77F58">
      <w:pPr>
        <w:pBdr>
          <w:top w:val="nil"/>
          <w:left w:val="nil"/>
          <w:bottom w:val="nil"/>
          <w:right w:val="nil"/>
          <w:between w:val="nil"/>
          <w:bar w:val="nil"/>
        </w:pBdr>
        <w:jc w:val="both"/>
        <w:rPr>
          <w:rFonts w:ascii="Arial" w:eastAsia="Arial" w:hAnsi="Arial" w:cs="Arial"/>
          <w:color w:val="000000"/>
          <w:bdr w:val="nil"/>
          <w:lang w:val="en-US"/>
        </w:rPr>
      </w:pPr>
      <w:r w:rsidRPr="002F16AC">
        <w:rPr>
          <w:rFonts w:ascii="Arial" w:eastAsia="Arial" w:hAnsi="Arial" w:cs="Arial"/>
          <w:i/>
          <w:color w:val="000000"/>
          <w:lang w:val="en-US"/>
        </w:rPr>
        <w:t>Voyage e</w:t>
      </w:r>
      <w:r w:rsidR="005E01EB" w:rsidRPr="002F16AC">
        <w:rPr>
          <w:rFonts w:ascii="Arial" w:eastAsia="Arial" w:hAnsi="Arial" w:cs="Arial"/>
          <w:i/>
          <w:color w:val="000000"/>
          <w:lang w:val="en-US"/>
        </w:rPr>
        <w:t>xpenses.</w:t>
      </w:r>
      <w:r w:rsidRPr="002F16AC">
        <w:rPr>
          <w:rFonts w:ascii="Arial" w:eastAsia="Arial" w:hAnsi="Arial" w:cs="Arial"/>
          <w:color w:val="000000"/>
          <w:lang w:val="en-US"/>
        </w:rPr>
        <w:t xml:space="preserve"> </w:t>
      </w:r>
      <w:r w:rsidRPr="00EF0DBA">
        <w:rPr>
          <w:rFonts w:ascii="Arial" w:eastAsia="Arial" w:hAnsi="Arial" w:cs="Arial"/>
          <w:color w:val="000000"/>
          <w:lang w:val="en-US"/>
        </w:rPr>
        <w:t xml:space="preserve">Voyage expenses decreased by $1.2 million, or 9%, to $12.4 million in 2025 as compared to $13.6 </w:t>
      </w:r>
      <w:r w:rsidR="00F86676">
        <w:rPr>
          <w:rFonts w:ascii="Arial" w:eastAsia="Arial" w:hAnsi="Arial" w:cs="Arial"/>
          <w:color w:val="000000"/>
          <w:lang w:val="en-US"/>
        </w:rPr>
        <w:t xml:space="preserve">million </w:t>
      </w:r>
      <w:r w:rsidRPr="00EF0DBA">
        <w:rPr>
          <w:rFonts w:ascii="Arial" w:eastAsia="Arial" w:hAnsi="Arial" w:cs="Arial"/>
          <w:color w:val="000000"/>
          <w:lang w:val="en-US"/>
        </w:rPr>
        <w:t xml:space="preserve">in 2024. </w:t>
      </w:r>
      <w:r w:rsidR="00EE0212" w:rsidRPr="00EE0212">
        <w:rPr>
          <w:rFonts w:ascii="Arial" w:eastAsia="Arial" w:hAnsi="Arial" w:cs="Arial"/>
          <w:color w:val="000000"/>
          <w:lang w:val="en-US"/>
        </w:rPr>
        <w:t xml:space="preserve">This decrease was mainly attributable to lower commissions, which amounted to $10.8 million in </w:t>
      </w:r>
      <w:r w:rsidR="00EE0212" w:rsidRPr="00E77F58">
        <w:rPr>
          <w:rFonts w:ascii="Arial" w:eastAsia="Arial" w:hAnsi="Arial" w:cs="Arial"/>
          <w:lang w:val="en-US"/>
        </w:rPr>
        <w:t>2025</w:t>
      </w:r>
      <w:r w:rsidR="00EE0212">
        <w:rPr>
          <w:rFonts w:ascii="Arial" w:eastAsia="Arial" w:hAnsi="Arial" w:cs="Arial"/>
          <w:lang w:val="en-US"/>
        </w:rPr>
        <w:t>, compared to</w:t>
      </w:r>
      <w:r w:rsidR="00EE0212" w:rsidRPr="00EE0212">
        <w:rPr>
          <w:rFonts w:ascii="Arial" w:eastAsia="Arial" w:hAnsi="Arial" w:cs="Arial"/>
          <w:color w:val="000000"/>
          <w:lang w:val="en-US"/>
        </w:rPr>
        <w:t xml:space="preserve"> $11.6 million in </w:t>
      </w:r>
      <w:r w:rsidR="00EE0212" w:rsidRPr="00E77F58">
        <w:rPr>
          <w:rFonts w:ascii="Arial" w:eastAsia="Arial" w:hAnsi="Arial" w:cs="Arial"/>
          <w:lang w:val="en-US"/>
        </w:rPr>
        <w:t>2024</w:t>
      </w:r>
      <w:r w:rsidR="00EE0212" w:rsidRPr="00EE0212">
        <w:rPr>
          <w:rFonts w:ascii="Arial" w:eastAsia="Arial" w:hAnsi="Arial" w:cs="Arial"/>
          <w:color w:val="000000"/>
          <w:lang w:val="en-US"/>
        </w:rPr>
        <w:t xml:space="preserve">. A further decrease was due to </w:t>
      </w:r>
      <w:r w:rsidR="0070151E">
        <w:rPr>
          <w:rFonts w:ascii="Arial" w:eastAsia="Arial" w:hAnsi="Arial" w:cs="Arial"/>
          <w:color w:val="000000"/>
          <w:lang w:val="en-US"/>
        </w:rPr>
        <w:t>voyage</w:t>
      </w:r>
      <w:r w:rsidR="00EE0212" w:rsidRPr="00EE0212">
        <w:rPr>
          <w:rFonts w:ascii="Arial" w:eastAsia="Arial" w:hAnsi="Arial" w:cs="Arial"/>
          <w:color w:val="000000"/>
          <w:lang w:val="en-US"/>
        </w:rPr>
        <w:t xml:space="preserve"> and port expenses, which </w:t>
      </w:r>
      <w:r w:rsidR="0010090F">
        <w:rPr>
          <w:rFonts w:ascii="Arial" w:eastAsia="Arial" w:hAnsi="Arial" w:cs="Arial"/>
          <w:color w:val="000000"/>
          <w:lang w:val="en-US"/>
        </w:rPr>
        <w:t xml:space="preserve">declined to </w:t>
      </w:r>
      <w:r w:rsidR="00EE0212" w:rsidRPr="00EE0212">
        <w:rPr>
          <w:rFonts w:ascii="Arial" w:eastAsia="Arial" w:hAnsi="Arial" w:cs="Arial"/>
          <w:color w:val="000000"/>
          <w:lang w:val="en-US"/>
        </w:rPr>
        <w:t xml:space="preserve">$0.9 million in </w:t>
      </w:r>
      <w:r w:rsidR="00EE0212" w:rsidRPr="00E77F58">
        <w:rPr>
          <w:rFonts w:ascii="Arial" w:eastAsia="Arial" w:hAnsi="Arial" w:cs="Arial"/>
          <w:lang w:val="en-US"/>
        </w:rPr>
        <w:t>2025</w:t>
      </w:r>
      <w:r w:rsidR="00EE0212" w:rsidRPr="00EE0212">
        <w:rPr>
          <w:rFonts w:ascii="Arial" w:eastAsia="Arial" w:hAnsi="Arial" w:cs="Arial"/>
          <w:color w:val="000000"/>
          <w:lang w:val="en-US"/>
        </w:rPr>
        <w:t xml:space="preserve"> </w:t>
      </w:r>
      <w:r w:rsidR="0010090F">
        <w:rPr>
          <w:rFonts w:ascii="Arial" w:eastAsia="Arial" w:hAnsi="Arial" w:cs="Arial"/>
          <w:color w:val="000000"/>
          <w:lang w:val="en-US"/>
        </w:rPr>
        <w:t xml:space="preserve">from </w:t>
      </w:r>
      <w:r w:rsidR="00EE0212" w:rsidRPr="00EE0212">
        <w:rPr>
          <w:rFonts w:ascii="Arial" w:eastAsia="Arial" w:hAnsi="Arial" w:cs="Arial"/>
          <w:color w:val="000000"/>
          <w:lang w:val="en-US"/>
        </w:rPr>
        <w:t xml:space="preserve">$1.2 million in </w:t>
      </w:r>
      <w:r w:rsidR="00EE0212" w:rsidRPr="00E77F58">
        <w:rPr>
          <w:rFonts w:ascii="Arial" w:eastAsia="Arial" w:hAnsi="Arial" w:cs="Arial"/>
          <w:lang w:val="en-US"/>
        </w:rPr>
        <w:t>2024</w:t>
      </w:r>
      <w:r w:rsidR="00EE0212" w:rsidRPr="00EE0212">
        <w:rPr>
          <w:rFonts w:ascii="Arial" w:eastAsia="Arial" w:hAnsi="Arial" w:cs="Arial"/>
          <w:color w:val="000000"/>
          <w:lang w:val="en-US"/>
        </w:rPr>
        <w:t>.</w:t>
      </w:r>
      <w:r w:rsidRPr="00EF0DBA">
        <w:rPr>
          <w:rFonts w:ascii="Arial" w:eastAsia="Arial" w:hAnsi="Arial" w:cs="Arial"/>
          <w:color w:val="000000"/>
          <w:lang w:val="en-US"/>
        </w:rPr>
        <w:t xml:space="preserve"> </w:t>
      </w:r>
    </w:p>
    <w:p w14:paraId="71F3E6DA" w14:textId="77777777" w:rsidR="005A2F95" w:rsidRPr="00E77F58" w:rsidRDefault="005A2F95"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DB" w14:textId="77777777" w:rsidR="0037663E" w:rsidRDefault="003A4815" w:rsidP="00E77F58">
      <w:pPr>
        <w:pBdr>
          <w:top w:val="nil"/>
          <w:left w:val="nil"/>
          <w:bottom w:val="nil"/>
          <w:right w:val="nil"/>
          <w:between w:val="nil"/>
          <w:bar w:val="nil"/>
        </w:pBdr>
        <w:jc w:val="both"/>
        <w:rPr>
          <w:rFonts w:ascii="Arial" w:eastAsia="Arial" w:hAnsi="Arial" w:cs="Arial"/>
          <w:bdr w:val="nil"/>
          <w:lang w:val="en-US"/>
        </w:rPr>
      </w:pPr>
      <w:r w:rsidRPr="00DC4D48">
        <w:rPr>
          <w:rFonts w:ascii="Arial" w:eastAsia="Arial" w:hAnsi="Arial" w:cs="Arial"/>
          <w:i/>
          <w:lang w:val="en-US"/>
        </w:rPr>
        <w:t xml:space="preserve">Vessel </w:t>
      </w:r>
      <w:r w:rsidR="00C32815" w:rsidRPr="00DC4D48">
        <w:rPr>
          <w:rFonts w:ascii="Arial" w:eastAsia="Arial" w:hAnsi="Arial" w:cs="Arial"/>
          <w:i/>
          <w:lang w:val="en-US"/>
        </w:rPr>
        <w:t>operating e</w:t>
      </w:r>
      <w:r w:rsidRPr="00DC4D48">
        <w:rPr>
          <w:rFonts w:ascii="Arial" w:eastAsia="Arial" w:hAnsi="Arial" w:cs="Arial"/>
          <w:i/>
          <w:lang w:val="en-US"/>
        </w:rPr>
        <w:t>xpenses.</w:t>
      </w:r>
      <w:r w:rsidRPr="00E77F58">
        <w:rPr>
          <w:rFonts w:ascii="Arial" w:eastAsia="Arial" w:hAnsi="Arial" w:cs="Arial"/>
          <w:i/>
          <w:lang w:val="en-US"/>
        </w:rPr>
        <w:t xml:space="preserve"> </w:t>
      </w:r>
      <w:r w:rsidRPr="00B27FFD">
        <w:rPr>
          <w:rFonts w:ascii="Arial" w:eastAsia="Arial" w:hAnsi="Arial" w:cs="Arial"/>
          <w:lang w:val="en-US"/>
        </w:rPr>
        <w:t>V</w:t>
      </w:r>
      <w:r w:rsidRPr="00E77F58">
        <w:rPr>
          <w:rFonts w:ascii="Arial" w:eastAsia="Arial" w:hAnsi="Arial" w:cs="Arial"/>
          <w:lang w:val="en-US"/>
        </w:rPr>
        <w:t xml:space="preserve">essel operating expenses decreased by $2.4 million, or 3%, to $80.2 million in 2025 compared to $82.6 million in 2024. </w:t>
      </w:r>
      <w:r w:rsidR="00A77AC2" w:rsidRPr="00A77AC2">
        <w:rPr>
          <w:rFonts w:ascii="Arial" w:eastAsia="Arial" w:hAnsi="Arial" w:cs="Arial"/>
          <w:lang w:val="en-US"/>
        </w:rPr>
        <w:t xml:space="preserve">The decrease was mainly attributable to fewer ownership days in </w:t>
      </w:r>
      <w:r w:rsidR="00A77AC2" w:rsidRPr="00E77F58">
        <w:rPr>
          <w:rFonts w:ascii="Arial" w:eastAsia="Arial" w:hAnsi="Arial" w:cs="Arial"/>
          <w:lang w:val="en-US"/>
        </w:rPr>
        <w:t>2025</w:t>
      </w:r>
      <w:r w:rsidR="00A77AC2" w:rsidRPr="00A77AC2">
        <w:rPr>
          <w:rFonts w:ascii="Arial" w:eastAsia="Arial" w:hAnsi="Arial" w:cs="Arial"/>
          <w:lang w:val="en-US"/>
        </w:rPr>
        <w:t xml:space="preserve"> following the sale of</w:t>
      </w:r>
      <w:r>
        <w:rPr>
          <w:rFonts w:ascii="Arial" w:eastAsia="Arial" w:hAnsi="Arial" w:cs="Arial"/>
          <w:lang w:val="en-US"/>
        </w:rPr>
        <w:t xml:space="preserve"> two</w:t>
      </w:r>
      <w:r w:rsidR="00A77AC2" w:rsidRPr="00A77AC2">
        <w:rPr>
          <w:rFonts w:ascii="Arial" w:eastAsia="Arial" w:hAnsi="Arial" w:cs="Arial"/>
          <w:lang w:val="en-US"/>
        </w:rPr>
        <w:t xml:space="preserve"> vessels discussed above. </w:t>
      </w:r>
      <w:r w:rsidRPr="0037663E">
        <w:rPr>
          <w:rFonts w:ascii="Arial" w:eastAsia="Arial" w:hAnsi="Arial" w:cs="Arial"/>
          <w:lang w:val="en-US"/>
        </w:rPr>
        <w:t xml:space="preserve">This decrease was </w:t>
      </w:r>
      <w:r w:rsidR="00AA560E">
        <w:rPr>
          <w:rFonts w:ascii="Arial" w:eastAsia="Arial" w:hAnsi="Arial" w:cs="Arial"/>
          <w:lang w:val="en-US"/>
        </w:rPr>
        <w:t xml:space="preserve">partially </w:t>
      </w:r>
      <w:r w:rsidR="00B27FFD" w:rsidRPr="00B27FFD">
        <w:rPr>
          <w:rFonts w:ascii="Arial" w:eastAsia="Arial" w:hAnsi="Arial" w:cs="Arial"/>
          <w:lang w:val="en-US"/>
        </w:rPr>
        <w:t>offset</w:t>
      </w:r>
      <w:r w:rsidR="00B27FFD">
        <w:rPr>
          <w:rFonts w:ascii="Arial" w:eastAsia="Arial" w:hAnsi="Arial" w:cs="Arial"/>
          <w:lang w:val="en-US"/>
        </w:rPr>
        <w:t xml:space="preserve"> by</w:t>
      </w:r>
      <w:r>
        <w:rPr>
          <w:rFonts w:ascii="Arial" w:eastAsia="Arial" w:hAnsi="Arial" w:cs="Arial"/>
          <w:lang w:val="en-US"/>
        </w:rPr>
        <w:t xml:space="preserve"> a 3% increase in daily vessel operating expenses, which rose to </w:t>
      </w:r>
      <w:r w:rsidRPr="00E77F58">
        <w:rPr>
          <w:rFonts w:ascii="Arial" w:eastAsia="Arial" w:hAnsi="Arial" w:cs="Arial"/>
          <w:lang w:val="en-US"/>
        </w:rPr>
        <w:t>$5,986</w:t>
      </w:r>
      <w:r>
        <w:rPr>
          <w:rFonts w:ascii="Arial" w:eastAsia="Arial" w:hAnsi="Arial" w:cs="Arial"/>
          <w:lang w:val="en-US"/>
        </w:rPr>
        <w:t xml:space="preserve"> </w:t>
      </w:r>
      <w:r w:rsidRPr="00E77F58">
        <w:rPr>
          <w:rFonts w:ascii="Arial" w:eastAsia="Arial" w:hAnsi="Arial" w:cs="Arial"/>
          <w:lang w:val="en-US"/>
        </w:rPr>
        <w:t>in 2025</w:t>
      </w:r>
      <w:r>
        <w:rPr>
          <w:rFonts w:ascii="Arial" w:eastAsia="Arial" w:hAnsi="Arial" w:cs="Arial"/>
          <w:lang w:val="en-US"/>
        </w:rPr>
        <w:t xml:space="preserve">, from </w:t>
      </w:r>
      <w:r w:rsidRPr="00E77F58">
        <w:rPr>
          <w:rFonts w:ascii="Arial" w:eastAsia="Arial" w:hAnsi="Arial" w:cs="Arial"/>
          <w:lang w:val="en-US"/>
        </w:rPr>
        <w:t>$5,808 in 2024</w:t>
      </w:r>
      <w:r>
        <w:rPr>
          <w:rFonts w:ascii="Arial" w:eastAsia="Arial" w:hAnsi="Arial" w:cs="Arial"/>
          <w:lang w:val="en-US"/>
        </w:rPr>
        <w:t>, mainly due to higher crew-related costs.</w:t>
      </w:r>
    </w:p>
    <w:p w14:paraId="71F3E6DC" w14:textId="77777777" w:rsidR="005A2F95" w:rsidRPr="00E77F58" w:rsidRDefault="005A2F95"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DD" w14:textId="77777777" w:rsidR="00A176F6" w:rsidRPr="009B59B1" w:rsidRDefault="003A4815" w:rsidP="00D9398D">
      <w:pPr>
        <w:pBdr>
          <w:top w:val="nil"/>
          <w:left w:val="nil"/>
          <w:bottom w:val="nil"/>
          <w:right w:val="nil"/>
          <w:between w:val="nil"/>
          <w:bar w:val="nil"/>
        </w:pBdr>
        <w:jc w:val="both"/>
        <w:rPr>
          <w:rFonts w:ascii="Arial" w:eastAsia="Arial" w:hAnsi="Arial" w:cs="Arial"/>
          <w:iCs/>
          <w:bdr w:val="nil"/>
          <w:lang w:val="en-US"/>
        </w:rPr>
      </w:pPr>
      <w:r w:rsidRPr="00ED157E">
        <w:rPr>
          <w:rFonts w:ascii="Arial" w:eastAsia="Arial" w:hAnsi="Arial" w:cs="Arial"/>
          <w:i/>
          <w:color w:val="000000"/>
          <w:lang w:val="en-US"/>
        </w:rPr>
        <w:t xml:space="preserve">Depreciation and </w:t>
      </w:r>
      <w:r w:rsidR="00C32815" w:rsidRPr="00ED157E">
        <w:rPr>
          <w:rFonts w:ascii="Arial" w:eastAsia="Arial" w:hAnsi="Arial" w:cs="Arial"/>
          <w:i/>
          <w:color w:val="000000"/>
          <w:lang w:val="en-US"/>
        </w:rPr>
        <w:t>amortization of d</w:t>
      </w:r>
      <w:r w:rsidRPr="00ED157E">
        <w:rPr>
          <w:rFonts w:ascii="Arial" w:eastAsia="Arial" w:hAnsi="Arial" w:cs="Arial"/>
          <w:i/>
          <w:color w:val="000000"/>
          <w:lang w:val="en-US"/>
        </w:rPr>
        <w:t xml:space="preserve">eferred </w:t>
      </w:r>
      <w:r w:rsidR="00C32815" w:rsidRPr="00ED157E">
        <w:rPr>
          <w:rFonts w:ascii="Arial" w:eastAsia="Arial" w:hAnsi="Arial" w:cs="Arial"/>
          <w:i/>
          <w:color w:val="000000"/>
          <w:lang w:val="en-US"/>
        </w:rPr>
        <w:t>c</w:t>
      </w:r>
      <w:r w:rsidRPr="00ED157E">
        <w:rPr>
          <w:rFonts w:ascii="Arial" w:eastAsia="Arial" w:hAnsi="Arial" w:cs="Arial"/>
          <w:i/>
          <w:color w:val="000000"/>
          <w:lang w:val="en-US"/>
        </w:rPr>
        <w:t>harges. </w:t>
      </w:r>
      <w:r w:rsidRPr="009B59B1">
        <w:rPr>
          <w:rFonts w:ascii="Arial" w:eastAsia="Arial" w:hAnsi="Arial" w:cs="Arial"/>
          <w:iCs/>
          <w:lang w:val="en-US"/>
        </w:rPr>
        <w:t xml:space="preserve">Depreciation and amortization of deferred charges </w:t>
      </w:r>
      <w:r w:rsidRPr="009B59B1">
        <w:rPr>
          <w:rFonts w:ascii="Arial" w:eastAsia="Arial" w:hAnsi="Arial" w:cs="Arial"/>
          <w:iCs/>
          <w:spacing w:val="-2"/>
          <w:lang w:val="en-US"/>
        </w:rPr>
        <w:t xml:space="preserve">increased by $1.8 million, or 4%, to $46.5 million in 2025, compared to $44.7 million in 2024. </w:t>
      </w:r>
      <w:r w:rsidR="00161F1F" w:rsidRPr="00161F1F">
        <w:rPr>
          <w:rFonts w:ascii="Arial" w:eastAsia="Arial" w:hAnsi="Arial" w:cs="Arial"/>
          <w:iCs/>
          <w:bdr w:val="none" w:sz="0" w:space="0" w:color="auto" w:frame="1"/>
          <w:lang w:val="en-US"/>
        </w:rPr>
        <w:t>The increase was primarily due to higher amortization of deferred drydock costs, as f</w:t>
      </w:r>
      <w:r w:rsidR="007E17BA">
        <w:rPr>
          <w:rFonts w:ascii="Arial" w:eastAsia="Arial" w:hAnsi="Arial" w:cs="Arial"/>
          <w:iCs/>
          <w:bdr w:val="none" w:sz="0" w:space="0" w:color="auto" w:frame="1"/>
          <w:lang w:val="en-US"/>
        </w:rPr>
        <w:t>ourteen</w:t>
      </w:r>
      <w:r w:rsidR="00161F1F" w:rsidRPr="00161F1F">
        <w:rPr>
          <w:rFonts w:ascii="Arial" w:eastAsia="Arial" w:hAnsi="Arial" w:cs="Arial"/>
          <w:iCs/>
          <w:bdr w:val="none" w:sz="0" w:space="0" w:color="auto" w:frame="1"/>
          <w:lang w:val="en-US"/>
        </w:rPr>
        <w:t xml:space="preserve"> vessels underwent drydock surveys in </w:t>
      </w:r>
      <w:r w:rsidR="00161F1F" w:rsidRPr="009B59B1">
        <w:rPr>
          <w:rFonts w:ascii="Arial" w:eastAsia="Arial" w:hAnsi="Arial" w:cs="Arial"/>
          <w:iCs/>
          <w:spacing w:val="-2"/>
          <w:lang w:val="en-US"/>
        </w:rPr>
        <w:t>2025</w:t>
      </w:r>
      <w:r w:rsidR="00161F1F" w:rsidRPr="00161F1F">
        <w:rPr>
          <w:rFonts w:ascii="Arial" w:eastAsia="Arial" w:hAnsi="Arial" w:cs="Arial"/>
          <w:iCs/>
          <w:bdr w:val="none" w:sz="0" w:space="0" w:color="auto" w:frame="1"/>
          <w:lang w:val="en-US"/>
        </w:rPr>
        <w:t xml:space="preserve"> compared to six</w:t>
      </w:r>
      <w:r w:rsidR="003B0AB4">
        <w:rPr>
          <w:rFonts w:ascii="Arial" w:eastAsia="Arial" w:hAnsi="Arial" w:cs="Arial"/>
          <w:iCs/>
          <w:bdr w:val="none" w:sz="0" w:space="0" w:color="auto" w:frame="1"/>
          <w:lang w:val="en-US"/>
        </w:rPr>
        <w:t xml:space="preserve"> vessels</w:t>
      </w:r>
      <w:r w:rsidR="00161F1F" w:rsidRPr="00161F1F">
        <w:rPr>
          <w:rFonts w:ascii="Arial" w:eastAsia="Arial" w:hAnsi="Arial" w:cs="Arial"/>
          <w:iCs/>
          <w:bdr w:val="none" w:sz="0" w:space="0" w:color="auto" w:frame="1"/>
          <w:lang w:val="en-US"/>
        </w:rPr>
        <w:t xml:space="preserve"> in </w:t>
      </w:r>
      <w:r w:rsidR="00161F1F" w:rsidRPr="009B59B1">
        <w:rPr>
          <w:rFonts w:ascii="Arial" w:eastAsia="Arial" w:hAnsi="Arial" w:cs="Arial"/>
          <w:iCs/>
          <w:spacing w:val="-2"/>
          <w:lang w:val="en-US"/>
        </w:rPr>
        <w:t>2024</w:t>
      </w:r>
      <w:r w:rsidR="00161F1F" w:rsidRPr="00161F1F">
        <w:rPr>
          <w:rFonts w:ascii="Arial" w:eastAsia="Arial" w:hAnsi="Arial" w:cs="Arial"/>
          <w:iCs/>
          <w:bdr w:val="none" w:sz="0" w:space="0" w:color="auto" w:frame="1"/>
          <w:lang w:val="en-US"/>
        </w:rPr>
        <w:t xml:space="preserve">. This increase was partially offset by lower depreciation expenses resulting from reduced ownership days following the sale of two vessels during </w:t>
      </w:r>
      <w:r w:rsidR="00161F1F" w:rsidRPr="009B59B1">
        <w:rPr>
          <w:rFonts w:ascii="Arial" w:eastAsia="Arial" w:hAnsi="Arial" w:cs="Arial"/>
          <w:iCs/>
          <w:spacing w:val="-2"/>
          <w:lang w:val="en-US"/>
        </w:rPr>
        <w:t>2025</w:t>
      </w:r>
      <w:r w:rsidR="00161F1F" w:rsidRPr="00161F1F">
        <w:rPr>
          <w:rFonts w:ascii="Arial" w:eastAsia="Arial" w:hAnsi="Arial" w:cs="Arial"/>
          <w:iCs/>
          <w:bdr w:val="none" w:sz="0" w:space="0" w:color="auto" w:frame="1"/>
          <w:lang w:val="en-US"/>
        </w:rPr>
        <w:t>.</w:t>
      </w:r>
    </w:p>
    <w:p w14:paraId="71F3E6DE" w14:textId="77777777" w:rsidR="005A2F95" w:rsidRPr="00E77F58" w:rsidRDefault="005A2F95"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DF" w14:textId="77777777" w:rsidR="00A80236" w:rsidRPr="00487369" w:rsidRDefault="003A4815" w:rsidP="00E77F58">
      <w:pPr>
        <w:pBdr>
          <w:top w:val="nil"/>
          <w:left w:val="nil"/>
          <w:bottom w:val="nil"/>
          <w:right w:val="nil"/>
          <w:between w:val="nil"/>
          <w:bar w:val="nil"/>
        </w:pBdr>
        <w:jc w:val="both"/>
        <w:rPr>
          <w:rFonts w:ascii="Arial" w:eastAsia="Arial" w:hAnsi="Arial" w:cs="Arial"/>
          <w:spacing w:val="-2"/>
          <w:bdr w:val="nil"/>
          <w:lang w:val="en-US"/>
        </w:rPr>
      </w:pPr>
      <w:r w:rsidRPr="00E77F58">
        <w:rPr>
          <w:rFonts w:ascii="Arial" w:eastAsia="Arial" w:hAnsi="Arial" w:cs="Arial"/>
          <w:i/>
          <w:lang w:val="en-US"/>
        </w:rPr>
        <w:t xml:space="preserve">General and </w:t>
      </w:r>
      <w:r w:rsidR="00C32815" w:rsidRPr="00E77F58">
        <w:rPr>
          <w:rFonts w:ascii="Arial" w:eastAsia="Arial" w:hAnsi="Arial" w:cs="Arial"/>
          <w:i/>
          <w:lang w:val="en-US"/>
        </w:rPr>
        <w:t>a</w:t>
      </w:r>
      <w:r w:rsidRPr="00E77F58">
        <w:rPr>
          <w:rFonts w:ascii="Arial" w:eastAsia="Arial" w:hAnsi="Arial" w:cs="Arial"/>
          <w:i/>
          <w:lang w:val="en-US"/>
        </w:rPr>
        <w:t xml:space="preserve">dministrative </w:t>
      </w:r>
      <w:r w:rsidR="00C32815" w:rsidRPr="00E77F58">
        <w:rPr>
          <w:rFonts w:ascii="Arial" w:eastAsia="Arial" w:hAnsi="Arial" w:cs="Arial"/>
          <w:i/>
          <w:lang w:val="en-US"/>
        </w:rPr>
        <w:t>e</w:t>
      </w:r>
      <w:r w:rsidRPr="00E77F58">
        <w:rPr>
          <w:rFonts w:ascii="Arial" w:eastAsia="Arial" w:hAnsi="Arial" w:cs="Arial"/>
          <w:i/>
          <w:lang w:val="en-US"/>
        </w:rPr>
        <w:t>xpenses</w:t>
      </w:r>
      <w:r w:rsidRPr="00E77F58">
        <w:rPr>
          <w:rFonts w:ascii="Arial" w:eastAsia="Arial" w:hAnsi="Arial" w:cs="Arial"/>
          <w:lang w:val="en-US"/>
        </w:rPr>
        <w:t>. </w:t>
      </w:r>
      <w:r w:rsidRPr="00E77F58">
        <w:rPr>
          <w:rFonts w:ascii="Arial" w:eastAsia="Arial" w:hAnsi="Arial" w:cs="Arial"/>
          <w:spacing w:val="-2"/>
          <w:lang w:val="en-US"/>
        </w:rPr>
        <w:t xml:space="preserve">General and </w:t>
      </w:r>
      <w:r w:rsidR="003F6A14" w:rsidRPr="00E77F58">
        <w:rPr>
          <w:rFonts w:ascii="Arial" w:eastAsia="Arial" w:hAnsi="Arial" w:cs="Arial"/>
          <w:spacing w:val="-2"/>
          <w:lang w:val="en-US"/>
        </w:rPr>
        <w:t>a</w:t>
      </w:r>
      <w:r w:rsidRPr="00E77F58">
        <w:rPr>
          <w:rFonts w:ascii="Arial" w:eastAsia="Arial" w:hAnsi="Arial" w:cs="Arial"/>
          <w:spacing w:val="-2"/>
          <w:lang w:val="en-US"/>
        </w:rPr>
        <w:t>dmini</w:t>
      </w:r>
      <w:r w:rsidRPr="00E77F58">
        <w:rPr>
          <w:rFonts w:ascii="Arial" w:eastAsia="Arial" w:hAnsi="Arial" w:cs="Arial"/>
          <w:i/>
          <w:lang w:val="en-US"/>
        </w:rPr>
        <w:t>strati</w:t>
      </w:r>
      <w:r w:rsidRPr="00E77F58">
        <w:rPr>
          <w:rFonts w:ascii="Arial" w:eastAsia="Arial" w:hAnsi="Arial" w:cs="Arial"/>
          <w:spacing w:val="-2"/>
          <w:lang w:val="en-US"/>
        </w:rPr>
        <w:t xml:space="preserve">ve </w:t>
      </w:r>
      <w:r w:rsidR="003F6A14" w:rsidRPr="00E77F58">
        <w:rPr>
          <w:rFonts w:ascii="Arial" w:eastAsia="Arial" w:hAnsi="Arial" w:cs="Arial"/>
          <w:spacing w:val="-2"/>
          <w:lang w:val="en-US"/>
        </w:rPr>
        <w:t>e</w:t>
      </w:r>
      <w:r w:rsidRPr="00E77F58">
        <w:rPr>
          <w:rFonts w:ascii="Arial" w:eastAsia="Arial" w:hAnsi="Arial" w:cs="Arial"/>
          <w:spacing w:val="-2"/>
          <w:lang w:val="en-US"/>
        </w:rPr>
        <w:t>xpenses increased by $0.7 million, or 2%, to $34.1 million in 2025 compared to $33.4 million in</w:t>
      </w:r>
      <w:r w:rsidRPr="00E77F58">
        <w:rPr>
          <w:rFonts w:ascii="Arial" w:eastAsia="Arial" w:hAnsi="Arial" w:cs="Arial"/>
          <w:lang w:val="en-US"/>
        </w:rPr>
        <w:t xml:space="preserve"> </w:t>
      </w:r>
      <w:r w:rsidRPr="00E77F58">
        <w:rPr>
          <w:rFonts w:ascii="Arial" w:eastAsia="Arial" w:hAnsi="Arial" w:cs="Arial"/>
          <w:spacing w:val="-2"/>
          <w:lang w:val="en-US"/>
        </w:rPr>
        <w:t xml:space="preserve">2024. </w:t>
      </w:r>
      <w:r w:rsidR="00487369" w:rsidRPr="00487369">
        <w:rPr>
          <w:rFonts w:ascii="Arial" w:eastAsia="Arial" w:hAnsi="Arial" w:cs="Arial"/>
          <w:spacing w:val="-2"/>
          <w:lang w:val="en-US"/>
        </w:rPr>
        <w:t>The increase was primarily driven by higher payroll and legal expenses, partially offset by lower tax expenses.</w:t>
      </w:r>
      <w:r w:rsidR="00AA560E">
        <w:rPr>
          <w:rFonts w:ascii="Arial" w:eastAsia="Arial" w:hAnsi="Arial" w:cs="Arial"/>
          <w:spacing w:val="-2"/>
          <w:lang w:val="en-US"/>
        </w:rPr>
        <w:t xml:space="preserve"> Additionally, as almost half of our general and administrative expenses are denominated in Euro, </w:t>
      </w:r>
      <w:r w:rsidR="00AA560E" w:rsidRPr="00AA560E">
        <w:rPr>
          <w:rFonts w:ascii="Arial" w:eastAsia="Arial" w:hAnsi="Arial" w:cs="Arial"/>
          <w:spacing w:val="-2"/>
          <w:lang w:val="en-US"/>
        </w:rPr>
        <w:t xml:space="preserve">general and administrative expenses were </w:t>
      </w:r>
      <w:r w:rsidR="00AA560E">
        <w:rPr>
          <w:rFonts w:ascii="Arial" w:eastAsia="Arial" w:hAnsi="Arial" w:cs="Arial"/>
          <w:spacing w:val="-2"/>
          <w:lang w:val="en-US"/>
        </w:rPr>
        <w:t xml:space="preserve">also </w:t>
      </w:r>
      <w:r w:rsidR="00AA560E" w:rsidRPr="00AA560E">
        <w:rPr>
          <w:rFonts w:ascii="Arial" w:eastAsia="Arial" w:hAnsi="Arial" w:cs="Arial"/>
          <w:spacing w:val="-2"/>
          <w:lang w:val="en-US"/>
        </w:rPr>
        <w:t xml:space="preserve">affected by movements in the euro/U.S. dollar exchange rate </w:t>
      </w:r>
      <w:r w:rsidR="00AA560E">
        <w:rPr>
          <w:rFonts w:ascii="Arial" w:eastAsia="Arial" w:hAnsi="Arial" w:cs="Arial"/>
          <w:spacing w:val="-2"/>
          <w:lang w:val="en-US"/>
        </w:rPr>
        <w:t>during 2025.</w:t>
      </w:r>
    </w:p>
    <w:p w14:paraId="71F3E6E0" w14:textId="77777777" w:rsidR="006723AC" w:rsidRPr="00E77F58" w:rsidRDefault="006723AC"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E1" w14:textId="77777777" w:rsidR="001731DB" w:rsidRPr="001731DB" w:rsidRDefault="003A4815" w:rsidP="001731DB">
      <w:pPr>
        <w:pBdr>
          <w:top w:val="nil"/>
          <w:left w:val="nil"/>
          <w:bottom w:val="nil"/>
          <w:right w:val="nil"/>
          <w:between w:val="nil"/>
          <w:bar w:val="nil"/>
        </w:pBdr>
        <w:jc w:val="both"/>
        <w:rPr>
          <w:rFonts w:ascii="Arial" w:eastAsia="Arial" w:hAnsi="Arial" w:cs="Arial"/>
          <w:spacing w:val="-2"/>
          <w:bdr w:val="nil"/>
          <w:lang w:val="en-US"/>
        </w:rPr>
      </w:pPr>
      <w:r w:rsidRPr="008520B2">
        <w:rPr>
          <w:rFonts w:ascii="Arial" w:eastAsia="Arial" w:hAnsi="Arial" w:cs="Arial"/>
          <w:i/>
          <w:lang w:val="en-US"/>
        </w:rPr>
        <w:t>Management fees</w:t>
      </w:r>
      <w:r w:rsidRPr="00E77F58">
        <w:rPr>
          <w:rFonts w:ascii="Arial" w:eastAsia="Arial" w:hAnsi="Arial" w:cs="Arial"/>
          <w:i/>
          <w:lang w:val="en-US"/>
        </w:rPr>
        <w:t xml:space="preserve"> to</w:t>
      </w:r>
      <w:r w:rsidR="00951D1A">
        <w:rPr>
          <w:rFonts w:ascii="Arial" w:eastAsia="Arial" w:hAnsi="Arial" w:cs="Arial"/>
          <w:i/>
          <w:lang w:val="en-US"/>
        </w:rPr>
        <w:t xml:space="preserve"> a</w:t>
      </w:r>
      <w:r w:rsidRPr="00E77F58">
        <w:rPr>
          <w:rFonts w:ascii="Arial" w:eastAsia="Arial" w:hAnsi="Arial" w:cs="Arial"/>
          <w:i/>
          <w:lang w:val="en-US"/>
        </w:rPr>
        <w:t xml:space="preserve"> related party.</w:t>
      </w:r>
      <w:r w:rsidRPr="00E77F58">
        <w:rPr>
          <w:rFonts w:ascii="Arial" w:eastAsia="Arial" w:hAnsi="Arial" w:cs="Arial"/>
          <w:lang w:val="en-US"/>
        </w:rPr>
        <w:t> </w:t>
      </w:r>
      <w:r w:rsidRPr="00E77F58">
        <w:rPr>
          <w:rFonts w:ascii="Arial" w:eastAsia="Arial" w:hAnsi="Arial" w:cs="Arial"/>
          <w:spacing w:val="-2"/>
          <w:lang w:val="en-US"/>
        </w:rPr>
        <w:t>Management fees to a related party</w:t>
      </w:r>
      <w:r w:rsidR="009E546C">
        <w:rPr>
          <w:rFonts w:ascii="Arial" w:eastAsia="Arial" w:hAnsi="Arial" w:cs="Arial"/>
          <w:spacing w:val="-2"/>
          <w:lang w:val="en-US"/>
        </w:rPr>
        <w:t xml:space="preserve"> decreased by $0.1 million, or 8%, </w:t>
      </w:r>
      <w:r w:rsidR="008E6CCC" w:rsidRPr="00E77F58">
        <w:rPr>
          <w:rFonts w:ascii="Arial" w:eastAsia="Arial" w:hAnsi="Arial" w:cs="Arial"/>
          <w:spacing w:val="-2"/>
          <w:lang w:val="en-US"/>
        </w:rPr>
        <w:t xml:space="preserve">to </w:t>
      </w:r>
      <w:r w:rsidRPr="00E77F58">
        <w:rPr>
          <w:rFonts w:ascii="Arial" w:eastAsia="Arial" w:hAnsi="Arial" w:cs="Arial"/>
          <w:spacing w:val="-2"/>
          <w:lang w:val="en-US"/>
        </w:rPr>
        <w:t>$1.2 million</w:t>
      </w:r>
      <w:r>
        <w:rPr>
          <w:rFonts w:ascii="Arial" w:eastAsia="Arial" w:hAnsi="Arial" w:cs="Arial"/>
          <w:spacing w:val="-2"/>
          <w:lang w:val="en-US"/>
        </w:rPr>
        <w:t xml:space="preserve"> </w:t>
      </w:r>
      <w:r w:rsidRPr="00E77F58">
        <w:rPr>
          <w:rFonts w:ascii="Arial" w:eastAsia="Arial" w:hAnsi="Arial" w:cs="Arial"/>
          <w:spacing w:val="-2"/>
          <w:lang w:val="en-US"/>
        </w:rPr>
        <w:t>in 2025</w:t>
      </w:r>
      <w:r w:rsidR="009E546C">
        <w:rPr>
          <w:rFonts w:ascii="Arial" w:eastAsia="Arial" w:hAnsi="Arial" w:cs="Arial"/>
          <w:spacing w:val="-2"/>
          <w:lang w:val="en-US"/>
        </w:rPr>
        <w:t>, compared to $1.3 million in</w:t>
      </w:r>
      <w:r w:rsidRPr="00E77F58">
        <w:rPr>
          <w:rFonts w:ascii="Arial" w:eastAsia="Arial" w:hAnsi="Arial" w:cs="Arial"/>
          <w:spacing w:val="-2"/>
          <w:lang w:val="en-US"/>
        </w:rPr>
        <w:t xml:space="preserve"> 2024</w:t>
      </w:r>
      <w:r w:rsidR="009E546C">
        <w:rPr>
          <w:rFonts w:ascii="Arial" w:eastAsia="Arial" w:hAnsi="Arial" w:cs="Arial"/>
          <w:spacing w:val="-2"/>
          <w:lang w:val="en-US"/>
        </w:rPr>
        <w:t xml:space="preserve">. </w:t>
      </w:r>
      <w:r w:rsidRPr="001731DB">
        <w:rPr>
          <w:rFonts w:ascii="Arial" w:eastAsia="Arial" w:hAnsi="Arial" w:cs="Arial"/>
          <w:spacing w:val="-2"/>
          <w:lang w:val="en-US"/>
        </w:rPr>
        <w:t xml:space="preserve">The decrease was attributable to a reduction in the number of vessels managed by DWM in </w:t>
      </w:r>
      <w:r w:rsidRPr="00E77F58">
        <w:rPr>
          <w:rFonts w:ascii="Arial" w:eastAsia="Arial" w:hAnsi="Arial" w:cs="Arial"/>
          <w:spacing w:val="-2"/>
          <w:lang w:val="en-US"/>
        </w:rPr>
        <w:t>2025</w:t>
      </w:r>
      <w:r w:rsidRPr="001731DB">
        <w:rPr>
          <w:rFonts w:ascii="Arial" w:eastAsia="Arial" w:hAnsi="Arial" w:cs="Arial"/>
          <w:spacing w:val="-2"/>
          <w:lang w:val="en-US"/>
        </w:rPr>
        <w:t xml:space="preserve">, following the sale of one </w:t>
      </w:r>
      <w:r w:rsidR="001F4234">
        <w:rPr>
          <w:rFonts w:ascii="Arial" w:eastAsia="Arial" w:hAnsi="Arial" w:cs="Arial"/>
          <w:spacing w:val="-2"/>
          <w:lang w:val="en-US"/>
        </w:rPr>
        <w:t xml:space="preserve">managed </w:t>
      </w:r>
      <w:r w:rsidRPr="001731DB">
        <w:rPr>
          <w:rFonts w:ascii="Arial" w:eastAsia="Arial" w:hAnsi="Arial" w:cs="Arial"/>
          <w:spacing w:val="-2"/>
          <w:lang w:val="en-US"/>
        </w:rPr>
        <w:t>vessel during the year</w:t>
      </w:r>
      <w:r>
        <w:rPr>
          <w:rFonts w:ascii="Arial" w:eastAsia="Arial" w:hAnsi="Arial" w:cs="Arial"/>
          <w:spacing w:val="-2"/>
          <w:lang w:val="en-US"/>
        </w:rPr>
        <w:t>.</w:t>
      </w:r>
    </w:p>
    <w:p w14:paraId="71F3E6E2" w14:textId="77777777" w:rsidR="00F65A8B" w:rsidRPr="00E77F58" w:rsidRDefault="00F65A8B"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E3" w14:textId="77777777" w:rsidR="001B3C16" w:rsidRPr="00E77F58" w:rsidRDefault="003A4815" w:rsidP="00E77F58">
      <w:pPr>
        <w:pBdr>
          <w:top w:val="nil"/>
          <w:left w:val="nil"/>
          <w:bottom w:val="nil"/>
          <w:right w:val="nil"/>
          <w:between w:val="nil"/>
          <w:bar w:val="nil"/>
        </w:pBdr>
        <w:jc w:val="both"/>
        <w:rPr>
          <w:rFonts w:ascii="Arial" w:eastAsia="Arial" w:hAnsi="Arial" w:cs="Arial"/>
          <w:spacing w:val="-2"/>
          <w:bdr w:val="nil"/>
          <w:lang w:val="en-US"/>
        </w:rPr>
      </w:pPr>
      <w:r w:rsidRPr="00E77F58">
        <w:rPr>
          <w:rFonts w:ascii="Arial" w:eastAsia="Arial" w:hAnsi="Arial" w:cs="Arial"/>
          <w:i/>
          <w:spacing w:val="-2"/>
          <w:lang w:val="en-US"/>
        </w:rPr>
        <w:t>Gain on</w:t>
      </w:r>
      <w:r w:rsidR="003857CC" w:rsidRPr="00E77F58">
        <w:rPr>
          <w:rFonts w:ascii="Arial" w:eastAsia="Arial" w:hAnsi="Arial" w:cs="Arial"/>
          <w:i/>
          <w:spacing w:val="-2"/>
          <w:lang w:val="en-US"/>
        </w:rPr>
        <w:t xml:space="preserve"> sale of vessels.</w:t>
      </w:r>
      <w:r w:rsidR="003857CC" w:rsidRPr="00E77F58">
        <w:rPr>
          <w:rFonts w:ascii="Arial" w:eastAsia="Arial" w:hAnsi="Arial" w:cs="Arial"/>
          <w:spacing w:val="-2"/>
          <w:lang w:val="en-US"/>
        </w:rPr>
        <w:t xml:space="preserve"> </w:t>
      </w:r>
      <w:r w:rsidRPr="009E2511">
        <w:rPr>
          <w:rFonts w:ascii="Arial" w:eastAsia="Arial" w:hAnsi="Arial" w:cs="Arial"/>
          <w:iCs/>
          <w:spacing w:val="-2"/>
          <w:lang w:val="en-US"/>
        </w:rPr>
        <w:t>Gain</w:t>
      </w:r>
      <w:r w:rsidR="003857CC" w:rsidRPr="009E2511">
        <w:rPr>
          <w:rFonts w:ascii="Arial" w:eastAsia="Arial" w:hAnsi="Arial" w:cs="Arial"/>
          <w:iCs/>
          <w:spacing w:val="-2"/>
          <w:lang w:val="en-US"/>
        </w:rPr>
        <w:t xml:space="preserve"> </w:t>
      </w:r>
      <w:r w:rsidRPr="009E2511">
        <w:rPr>
          <w:rFonts w:ascii="Arial" w:eastAsia="Arial" w:hAnsi="Arial" w:cs="Arial"/>
          <w:iCs/>
          <w:spacing w:val="-2"/>
          <w:lang w:val="en-US"/>
        </w:rPr>
        <w:t>on</w:t>
      </w:r>
      <w:r w:rsidR="003857CC" w:rsidRPr="009E2511">
        <w:rPr>
          <w:rFonts w:ascii="Arial" w:eastAsia="Arial" w:hAnsi="Arial" w:cs="Arial"/>
          <w:iCs/>
          <w:spacing w:val="-2"/>
          <w:lang w:val="en-US"/>
        </w:rPr>
        <w:t xml:space="preserve"> sale of vessels </w:t>
      </w:r>
      <w:r w:rsidR="001731DB" w:rsidRPr="009E2511">
        <w:rPr>
          <w:rFonts w:ascii="Arial" w:eastAsia="Arial" w:hAnsi="Arial" w:cs="Arial"/>
          <w:iCs/>
          <w:spacing w:val="-2"/>
          <w:lang w:val="en-US"/>
        </w:rPr>
        <w:t>decreased by $2.1</w:t>
      </w:r>
      <w:r w:rsidRPr="009E2511">
        <w:rPr>
          <w:rFonts w:ascii="Arial" w:eastAsia="Arial" w:hAnsi="Arial" w:cs="Arial"/>
          <w:iCs/>
          <w:spacing w:val="-2"/>
          <w:lang w:val="en-US"/>
        </w:rPr>
        <w:t xml:space="preserve"> million, or 36%,</w:t>
      </w:r>
      <w:r w:rsidR="00FA3BB5" w:rsidRPr="009E2511">
        <w:rPr>
          <w:rFonts w:ascii="Arial" w:eastAsia="Arial" w:hAnsi="Arial" w:cs="Arial"/>
          <w:iCs/>
          <w:spacing w:val="-2"/>
          <w:lang w:val="en-US"/>
        </w:rPr>
        <w:t xml:space="preserve"> to </w:t>
      </w:r>
      <w:r w:rsidR="00C56FF8" w:rsidRPr="009E2511">
        <w:rPr>
          <w:rFonts w:ascii="Arial" w:eastAsia="Arial" w:hAnsi="Arial" w:cs="Arial"/>
          <w:iCs/>
          <w:spacing w:val="-2"/>
          <w:lang w:val="en-US"/>
        </w:rPr>
        <w:t>$3.7 million</w:t>
      </w:r>
      <w:r w:rsidR="004410EB" w:rsidRPr="009E2511">
        <w:rPr>
          <w:rFonts w:ascii="Arial" w:eastAsia="Arial" w:hAnsi="Arial" w:cs="Arial"/>
          <w:iCs/>
          <w:spacing w:val="-2"/>
          <w:lang w:val="en-US"/>
        </w:rPr>
        <w:t xml:space="preserve"> in 2025</w:t>
      </w:r>
      <w:r w:rsidRPr="009E2511">
        <w:rPr>
          <w:rFonts w:ascii="Arial" w:eastAsia="Arial" w:hAnsi="Arial" w:cs="Arial"/>
          <w:iCs/>
          <w:spacing w:val="-2"/>
          <w:lang w:val="en-US"/>
        </w:rPr>
        <w:t xml:space="preserve"> </w:t>
      </w:r>
      <w:r w:rsidR="004410EB" w:rsidRPr="009E2511">
        <w:rPr>
          <w:rFonts w:ascii="Arial" w:eastAsia="Arial" w:hAnsi="Arial" w:cs="Arial"/>
          <w:iCs/>
          <w:spacing w:val="-2"/>
          <w:lang w:val="en-US"/>
        </w:rPr>
        <w:t>due to the</w:t>
      </w:r>
      <w:r w:rsidRPr="009E2511">
        <w:rPr>
          <w:rFonts w:ascii="Arial" w:eastAsia="Arial" w:hAnsi="Arial" w:cs="Arial"/>
          <w:iCs/>
          <w:spacing w:val="-2"/>
          <w:lang w:val="en-US"/>
        </w:rPr>
        <w:t xml:space="preserve"> sale of </w:t>
      </w:r>
      <w:r w:rsidR="00BB4877" w:rsidRPr="009E2511">
        <w:rPr>
          <w:rFonts w:ascii="Arial" w:eastAsia="Arial" w:hAnsi="Arial" w:cs="Arial"/>
          <w:iCs/>
          <w:spacing w:val="-2"/>
          <w:lang w:val="en-US"/>
        </w:rPr>
        <w:t>vesse</w:t>
      </w:r>
      <w:r w:rsidRPr="009E2511">
        <w:rPr>
          <w:rFonts w:ascii="Arial" w:eastAsia="Arial" w:hAnsi="Arial" w:cs="Arial"/>
          <w:iCs/>
          <w:spacing w:val="-2"/>
          <w:lang w:val="en-US"/>
        </w:rPr>
        <w:t>ls</w:t>
      </w:r>
      <w:r w:rsidR="00BB4877" w:rsidRPr="009E2511">
        <w:rPr>
          <w:rFonts w:ascii="Arial" w:eastAsia="Arial" w:hAnsi="Arial" w:cs="Arial"/>
          <w:iCs/>
          <w:spacing w:val="-2"/>
          <w:lang w:val="en-US"/>
        </w:rPr>
        <w:t xml:space="preserve"> </w:t>
      </w:r>
      <w:r w:rsidR="001731DB">
        <w:rPr>
          <w:rFonts w:ascii="Arial" w:eastAsia="Arial" w:hAnsi="Arial" w:cs="Arial"/>
          <w:i/>
          <w:spacing w:val="-2"/>
          <w:lang w:val="en-US"/>
        </w:rPr>
        <w:t>Alcmene</w:t>
      </w:r>
      <w:r w:rsidR="00BB4877">
        <w:rPr>
          <w:rFonts w:ascii="Arial" w:eastAsia="Arial" w:hAnsi="Arial" w:cs="Arial"/>
          <w:i/>
          <w:spacing w:val="-2"/>
          <w:lang w:val="en-US"/>
        </w:rPr>
        <w:t xml:space="preserve"> and </w:t>
      </w:r>
      <w:r w:rsidR="001731DB">
        <w:rPr>
          <w:rFonts w:ascii="Arial" w:eastAsia="Arial" w:hAnsi="Arial" w:cs="Arial"/>
          <w:i/>
          <w:spacing w:val="-2"/>
          <w:lang w:val="en-US"/>
        </w:rPr>
        <w:t>Selina</w:t>
      </w:r>
      <w:r w:rsidR="004410EB">
        <w:rPr>
          <w:rFonts w:ascii="Arial" w:eastAsia="Arial" w:hAnsi="Arial" w:cs="Arial"/>
          <w:i/>
          <w:spacing w:val="-2"/>
          <w:lang w:val="en-US"/>
        </w:rPr>
        <w:t>,</w:t>
      </w:r>
      <w:r w:rsidRPr="00E77F58">
        <w:rPr>
          <w:rFonts w:ascii="Arial" w:eastAsia="Arial" w:hAnsi="Arial" w:cs="Arial"/>
          <w:i/>
          <w:spacing w:val="-2"/>
          <w:lang w:val="en-US"/>
        </w:rPr>
        <w:t xml:space="preserve"> </w:t>
      </w:r>
      <w:r w:rsidR="003857CC" w:rsidRPr="00E77F58">
        <w:rPr>
          <w:rFonts w:ascii="Arial" w:eastAsia="Arial" w:hAnsi="Arial" w:cs="Arial"/>
          <w:spacing w:val="-2"/>
          <w:lang w:val="en-US"/>
        </w:rPr>
        <w:t>compared to</w:t>
      </w:r>
      <w:r w:rsidRPr="00E77F58">
        <w:rPr>
          <w:rFonts w:ascii="Arial" w:eastAsia="Arial" w:hAnsi="Arial" w:cs="Arial"/>
          <w:spacing w:val="-2"/>
          <w:lang w:val="en-US"/>
        </w:rPr>
        <w:t xml:space="preserve"> $5.8</w:t>
      </w:r>
      <w:r w:rsidR="00FA3BB5" w:rsidRPr="00E77F58">
        <w:rPr>
          <w:rFonts w:ascii="Arial" w:eastAsia="Arial" w:hAnsi="Arial" w:cs="Arial"/>
          <w:spacing w:val="-2"/>
          <w:lang w:val="en-US"/>
        </w:rPr>
        <w:t xml:space="preserve"> million in </w:t>
      </w:r>
      <w:r w:rsidRPr="00E77F58">
        <w:rPr>
          <w:rFonts w:ascii="Arial" w:eastAsia="Arial" w:hAnsi="Arial" w:cs="Arial"/>
          <w:spacing w:val="-2"/>
          <w:lang w:val="en-US"/>
        </w:rPr>
        <w:t>2024</w:t>
      </w:r>
      <w:r w:rsidR="00FA3BB5" w:rsidRPr="00E77F58">
        <w:rPr>
          <w:rFonts w:ascii="Arial" w:eastAsia="Arial" w:hAnsi="Arial" w:cs="Arial"/>
          <w:spacing w:val="-2"/>
          <w:lang w:val="en-US"/>
        </w:rPr>
        <w:t xml:space="preserve"> </w:t>
      </w:r>
      <w:r w:rsidR="001731DB" w:rsidRPr="00E77F58">
        <w:rPr>
          <w:rFonts w:ascii="Arial" w:eastAsia="Arial" w:hAnsi="Arial" w:cs="Arial"/>
          <w:spacing w:val="-2"/>
          <w:lang w:val="en-US"/>
        </w:rPr>
        <w:t xml:space="preserve">which </w:t>
      </w:r>
      <w:r w:rsidR="004410EB">
        <w:rPr>
          <w:rFonts w:ascii="Arial" w:eastAsia="Arial" w:hAnsi="Arial" w:cs="Arial"/>
          <w:spacing w:val="-2"/>
          <w:lang w:val="en-US"/>
        </w:rPr>
        <w:t>related</w:t>
      </w:r>
      <w:r w:rsidR="001731DB" w:rsidRPr="00E77F58">
        <w:rPr>
          <w:rFonts w:ascii="Arial" w:eastAsia="Arial" w:hAnsi="Arial" w:cs="Arial"/>
          <w:spacing w:val="-2"/>
          <w:lang w:val="en-US"/>
        </w:rPr>
        <w:t xml:space="preserve"> </w:t>
      </w:r>
      <w:r w:rsidR="004410EB">
        <w:rPr>
          <w:rFonts w:ascii="Arial" w:eastAsia="Arial" w:hAnsi="Arial" w:cs="Arial"/>
          <w:spacing w:val="-2"/>
          <w:lang w:val="en-US"/>
        </w:rPr>
        <w:t>to</w:t>
      </w:r>
      <w:r w:rsidR="001731DB" w:rsidRPr="00E77F58">
        <w:rPr>
          <w:rFonts w:ascii="Arial" w:eastAsia="Arial" w:hAnsi="Arial" w:cs="Arial"/>
          <w:spacing w:val="-2"/>
          <w:lang w:val="en-US"/>
        </w:rPr>
        <w:t xml:space="preserve"> the sale of </w:t>
      </w:r>
      <w:r w:rsidR="001731DB">
        <w:rPr>
          <w:rFonts w:ascii="Arial" w:eastAsia="Arial" w:hAnsi="Arial" w:cs="Arial"/>
          <w:spacing w:val="-2"/>
          <w:lang w:val="en-US"/>
        </w:rPr>
        <w:t xml:space="preserve">vessels </w:t>
      </w:r>
      <w:r w:rsidR="001731DB">
        <w:rPr>
          <w:rFonts w:ascii="Arial" w:eastAsia="Arial" w:hAnsi="Arial" w:cs="Arial"/>
          <w:i/>
          <w:spacing w:val="-2"/>
          <w:lang w:val="en-US"/>
        </w:rPr>
        <w:t>Artemis and Houston</w:t>
      </w:r>
      <w:r w:rsidR="008E6788">
        <w:rPr>
          <w:rFonts w:ascii="Arial" w:eastAsia="Arial" w:hAnsi="Arial" w:cs="Arial"/>
          <w:spacing w:val="-2"/>
          <w:lang w:val="en-US"/>
        </w:rPr>
        <w:t>.</w:t>
      </w:r>
    </w:p>
    <w:p w14:paraId="71F3E6E4" w14:textId="77777777" w:rsidR="006723AC" w:rsidRPr="00E77F58" w:rsidRDefault="006723AC" w:rsidP="00E77F58">
      <w:pPr>
        <w:pBdr>
          <w:top w:val="nil"/>
          <w:left w:val="nil"/>
          <w:bottom w:val="nil"/>
          <w:right w:val="nil"/>
          <w:between w:val="nil"/>
          <w:bar w:val="nil"/>
        </w:pBdr>
        <w:tabs>
          <w:tab w:val="left" w:pos="7200"/>
        </w:tabs>
        <w:jc w:val="both"/>
        <w:rPr>
          <w:rFonts w:ascii="Arial" w:eastAsia="Arial" w:hAnsi="Arial" w:cs="Arial"/>
          <w:color w:val="000000"/>
          <w:bdr w:val="nil"/>
          <w:lang w:val="en-US"/>
        </w:rPr>
      </w:pPr>
    </w:p>
    <w:p w14:paraId="71F3E6E5" w14:textId="77777777" w:rsidR="00AA560E" w:rsidRDefault="003A4815" w:rsidP="00AA560E">
      <w:pPr>
        <w:pBdr>
          <w:top w:val="nil"/>
          <w:left w:val="nil"/>
          <w:bottom w:val="nil"/>
          <w:right w:val="nil"/>
          <w:between w:val="nil"/>
          <w:bar w:val="nil"/>
        </w:pBdr>
        <w:tabs>
          <w:tab w:val="left" w:pos="7200"/>
        </w:tabs>
        <w:jc w:val="both"/>
        <w:rPr>
          <w:rFonts w:ascii="Arial" w:eastAsia="Arial" w:hAnsi="Arial" w:cs="Arial"/>
          <w:iCs/>
          <w:spacing w:val="-2"/>
          <w:bdr w:val="nil"/>
          <w:lang w:val="en-US"/>
        </w:rPr>
      </w:pPr>
      <w:r w:rsidRPr="00E77F58">
        <w:rPr>
          <w:rFonts w:ascii="Arial" w:eastAsia="Arial" w:hAnsi="Arial" w:cs="Arial"/>
          <w:i/>
          <w:lang w:val="en-US"/>
        </w:rPr>
        <w:t>Interest expense and finance costs.</w:t>
      </w:r>
      <w:r w:rsidRPr="00E77F58">
        <w:rPr>
          <w:rFonts w:ascii="Arial" w:eastAsia="Arial" w:hAnsi="Arial" w:cs="Arial"/>
          <w:lang w:val="en-US"/>
        </w:rPr>
        <w:t> </w:t>
      </w:r>
      <w:r w:rsidRPr="009E2511">
        <w:rPr>
          <w:rFonts w:ascii="Arial" w:eastAsia="Arial" w:hAnsi="Arial" w:cs="Arial"/>
          <w:iCs/>
          <w:spacing w:val="-2"/>
          <w:lang w:val="en-US"/>
        </w:rPr>
        <w:t xml:space="preserve">Interest </w:t>
      </w:r>
      <w:r w:rsidR="008E6CCC" w:rsidRPr="009E2511">
        <w:rPr>
          <w:rFonts w:ascii="Arial" w:eastAsia="Arial" w:hAnsi="Arial" w:cs="Arial"/>
          <w:iCs/>
          <w:spacing w:val="-2"/>
          <w:lang w:val="en-US"/>
        </w:rPr>
        <w:t xml:space="preserve">expense </w:t>
      </w:r>
      <w:r w:rsidRPr="009E2511">
        <w:rPr>
          <w:rFonts w:ascii="Arial" w:eastAsia="Arial" w:hAnsi="Arial" w:cs="Arial"/>
          <w:iCs/>
          <w:spacing w:val="-2"/>
          <w:lang w:val="en-US"/>
        </w:rPr>
        <w:t xml:space="preserve">and finance costs </w:t>
      </w:r>
      <w:r w:rsidR="00412F1A" w:rsidRPr="009E2511">
        <w:rPr>
          <w:rFonts w:ascii="Arial" w:eastAsia="Arial" w:hAnsi="Arial" w:cs="Arial"/>
          <w:iCs/>
          <w:spacing w:val="-2"/>
          <w:lang w:val="en-US"/>
        </w:rPr>
        <w:t>decreased by $4.5</w:t>
      </w:r>
      <w:r w:rsidRPr="009E2511">
        <w:rPr>
          <w:rFonts w:ascii="Arial" w:eastAsia="Arial" w:hAnsi="Arial" w:cs="Arial"/>
          <w:iCs/>
          <w:spacing w:val="-2"/>
          <w:lang w:val="en-US"/>
        </w:rPr>
        <w:t xml:space="preserve"> million</w:t>
      </w:r>
      <w:r w:rsidR="00D43E76" w:rsidRPr="009E2511">
        <w:rPr>
          <w:rFonts w:ascii="Arial" w:eastAsia="Arial" w:hAnsi="Arial" w:cs="Arial"/>
          <w:iCs/>
          <w:spacing w:val="-2"/>
          <w:lang w:val="en-US"/>
        </w:rPr>
        <w:t xml:space="preserve"> or </w:t>
      </w:r>
      <w:r w:rsidR="00412F1A" w:rsidRPr="009E2511">
        <w:rPr>
          <w:rFonts w:ascii="Arial" w:eastAsia="Arial" w:hAnsi="Arial" w:cs="Arial"/>
          <w:iCs/>
          <w:spacing w:val="-2"/>
          <w:lang w:val="en-US"/>
        </w:rPr>
        <w:t>9%</w:t>
      </w:r>
      <w:r w:rsidRPr="009E2511">
        <w:rPr>
          <w:rFonts w:ascii="Arial" w:eastAsia="Arial" w:hAnsi="Arial" w:cs="Arial"/>
          <w:iCs/>
          <w:spacing w:val="-2"/>
          <w:lang w:val="en-US"/>
        </w:rPr>
        <w:t xml:space="preserve"> to $43.0 million in 2025 compared to $47.5 million in 2024. The decrease was mainly due to lower average interest rates in 2025 compared to 2024.</w:t>
      </w:r>
    </w:p>
    <w:p w14:paraId="71F3E6E6" w14:textId="77777777" w:rsidR="00D47C1F" w:rsidRPr="009F6B91" w:rsidRDefault="003A4815" w:rsidP="00AA560E">
      <w:pPr>
        <w:pBdr>
          <w:top w:val="nil"/>
          <w:left w:val="nil"/>
          <w:bottom w:val="nil"/>
          <w:right w:val="nil"/>
          <w:between w:val="nil"/>
          <w:bar w:val="nil"/>
        </w:pBdr>
        <w:tabs>
          <w:tab w:val="left" w:pos="7200"/>
        </w:tabs>
        <w:jc w:val="both"/>
        <w:rPr>
          <w:rFonts w:ascii="Arial" w:eastAsia="Arial" w:hAnsi="Arial" w:cs="Arial"/>
          <w:spacing w:val="-2"/>
          <w:bdr w:val="nil"/>
          <w:lang w:val="en-US"/>
        </w:rPr>
      </w:pPr>
      <w:r w:rsidRPr="00E77F58">
        <w:rPr>
          <w:rFonts w:ascii="Arial" w:eastAsia="Arial" w:hAnsi="Arial" w:cs="Arial"/>
          <w:i/>
          <w:lang w:val="en-US"/>
        </w:rPr>
        <w:t>Interest and other income</w:t>
      </w:r>
      <w:r w:rsidRPr="00E77F58">
        <w:rPr>
          <w:rFonts w:ascii="Arial" w:eastAsia="Arial" w:hAnsi="Arial" w:cs="Arial"/>
          <w:lang w:val="en-US"/>
        </w:rPr>
        <w:t>.</w:t>
      </w:r>
      <w:r w:rsidR="006A1217" w:rsidRPr="00E77F58">
        <w:rPr>
          <w:rFonts w:ascii="Arial" w:eastAsia="Arial" w:hAnsi="Arial" w:cs="Arial"/>
          <w:lang w:val="en-US"/>
        </w:rPr>
        <w:t xml:space="preserve"> </w:t>
      </w:r>
      <w:r w:rsidRPr="009E2511">
        <w:rPr>
          <w:rFonts w:ascii="Arial" w:eastAsia="Arial" w:hAnsi="Arial" w:cs="Arial"/>
          <w:iCs/>
          <w:spacing w:val="-2"/>
          <w:lang w:val="en-US"/>
        </w:rPr>
        <w:t>Interest and other income decreased by $0.9 million, or 11%, to $7.5 million in 2025 compared to $8.4 million in 2024.</w:t>
      </w:r>
      <w:r w:rsidR="00E42EB6" w:rsidRPr="009E2511">
        <w:rPr>
          <w:rFonts w:ascii="Arial" w:eastAsia="Arial" w:hAnsi="Arial" w:cs="Arial"/>
          <w:iCs/>
          <w:spacing w:val="-2"/>
          <w:lang w:val="en-US"/>
        </w:rPr>
        <w:t xml:space="preserve"> </w:t>
      </w:r>
      <w:r w:rsidRPr="009E2511">
        <w:rPr>
          <w:rFonts w:ascii="Arial" w:eastAsia="Arial" w:hAnsi="Arial" w:cs="Arial"/>
          <w:iCs/>
          <w:spacing w:val="-2"/>
          <w:lang w:val="en-US"/>
        </w:rPr>
        <w:t>The decrease was mainly attributable to a lower amount of time deposits placed during 2025 and further impacted by lower deposit rates achieved in 2025 compared to 2024.</w:t>
      </w:r>
    </w:p>
    <w:p w14:paraId="71F3E6E7" w14:textId="77777777" w:rsidR="00B07AA0" w:rsidRPr="009F6B91" w:rsidRDefault="00B07AA0" w:rsidP="009F6B91">
      <w:pPr>
        <w:pBdr>
          <w:top w:val="nil"/>
          <w:left w:val="nil"/>
          <w:bottom w:val="nil"/>
          <w:right w:val="nil"/>
          <w:between w:val="nil"/>
          <w:bar w:val="nil"/>
        </w:pBdr>
        <w:jc w:val="both"/>
        <w:rPr>
          <w:rFonts w:ascii="Arial" w:eastAsia="Arial" w:hAnsi="Arial" w:cs="Arial"/>
          <w:spacing w:val="-2"/>
          <w:bdr w:val="nil"/>
          <w:lang w:val="en-US"/>
        </w:rPr>
      </w:pPr>
    </w:p>
    <w:p w14:paraId="71F3E6E8" w14:textId="77777777" w:rsidR="0039232C" w:rsidRPr="009F6B91" w:rsidRDefault="003A4815" w:rsidP="009F6B91">
      <w:pPr>
        <w:pBdr>
          <w:top w:val="nil"/>
          <w:left w:val="nil"/>
          <w:bottom w:val="nil"/>
          <w:right w:val="nil"/>
          <w:between w:val="nil"/>
          <w:bar w:val="nil"/>
        </w:pBdr>
        <w:jc w:val="both"/>
        <w:rPr>
          <w:rFonts w:ascii="Arial" w:eastAsia="Arial" w:hAnsi="Arial" w:cs="Arial"/>
          <w:spacing w:val="-2"/>
          <w:bdr w:val="nil"/>
          <w:lang w:val="en-US"/>
        </w:rPr>
      </w:pPr>
      <w:r w:rsidRPr="009F6B91">
        <w:rPr>
          <w:rFonts w:ascii="Arial" w:eastAsia="Arial" w:hAnsi="Arial" w:cs="Arial"/>
          <w:spacing w:val="-2"/>
          <w:lang w:val="en-US"/>
        </w:rPr>
        <w:t xml:space="preserve">Loss </w:t>
      </w:r>
      <w:r w:rsidR="00A419DC" w:rsidRPr="009F6B91">
        <w:rPr>
          <w:rFonts w:ascii="Arial" w:eastAsia="Arial" w:hAnsi="Arial" w:cs="Arial"/>
          <w:spacing w:val="-2"/>
          <w:lang w:val="en-US"/>
        </w:rPr>
        <w:t>on extinguishment of debt</w:t>
      </w:r>
      <w:r w:rsidRPr="009F6B91">
        <w:rPr>
          <w:rFonts w:ascii="Arial" w:eastAsia="Arial" w:hAnsi="Arial" w:cs="Arial"/>
          <w:spacing w:val="-2"/>
          <w:lang w:val="en-US"/>
        </w:rPr>
        <w:t xml:space="preserve">. </w:t>
      </w:r>
      <w:r w:rsidR="00491CEB" w:rsidRPr="009E2511">
        <w:rPr>
          <w:rFonts w:ascii="Arial" w:eastAsia="Arial" w:hAnsi="Arial" w:cs="Arial"/>
          <w:iCs/>
          <w:spacing w:val="-2"/>
          <w:lang w:val="en-US"/>
        </w:rPr>
        <w:t xml:space="preserve">In 2024, </w:t>
      </w:r>
      <w:r w:rsidR="006025B2" w:rsidRPr="009E2511">
        <w:rPr>
          <w:rFonts w:ascii="Arial" w:eastAsia="Arial" w:hAnsi="Arial" w:cs="Arial"/>
          <w:iCs/>
          <w:spacing w:val="-2"/>
          <w:lang w:val="en-US"/>
        </w:rPr>
        <w:t xml:space="preserve">the </w:t>
      </w:r>
      <w:r w:rsidR="00491CEB" w:rsidRPr="009E2511">
        <w:rPr>
          <w:rFonts w:ascii="Arial" w:eastAsia="Arial" w:hAnsi="Arial" w:cs="Arial"/>
          <w:iCs/>
          <w:spacing w:val="-2"/>
          <w:lang w:val="en-US"/>
        </w:rPr>
        <w:t xml:space="preserve">loss on extinguishment of debt </w:t>
      </w:r>
      <w:r w:rsidR="000468FF" w:rsidRPr="009E2511">
        <w:rPr>
          <w:rFonts w:ascii="Arial" w:eastAsia="Arial" w:hAnsi="Arial" w:cs="Arial"/>
          <w:iCs/>
          <w:spacing w:val="-2"/>
          <w:lang w:val="en-US"/>
        </w:rPr>
        <w:t>consisted of the prepayment of the 8.375% Senior Unsecured bond at a price equal to 103.35% of nominal value, with the proceeds from the new bond.</w:t>
      </w:r>
      <w:r w:rsidRPr="009F6B91">
        <w:rPr>
          <w:rFonts w:ascii="Arial" w:eastAsia="Arial" w:hAnsi="Arial" w:cs="Arial"/>
          <w:spacing w:val="-2"/>
          <w:lang w:val="en-US"/>
        </w:rPr>
        <w:t xml:space="preserve"> </w:t>
      </w:r>
    </w:p>
    <w:p w14:paraId="71F3E6E9" w14:textId="77777777" w:rsidR="00CF4A47" w:rsidRPr="009F6B91" w:rsidRDefault="00CF4A47" w:rsidP="009F6B91">
      <w:pPr>
        <w:pBdr>
          <w:top w:val="nil"/>
          <w:left w:val="nil"/>
          <w:bottom w:val="nil"/>
          <w:right w:val="nil"/>
          <w:between w:val="nil"/>
          <w:bar w:val="nil"/>
        </w:pBdr>
        <w:jc w:val="both"/>
        <w:rPr>
          <w:rFonts w:ascii="Arial" w:eastAsia="Arial" w:hAnsi="Arial" w:cs="Arial"/>
          <w:spacing w:val="-2"/>
          <w:bdr w:val="nil"/>
          <w:lang w:val="en-US"/>
        </w:rPr>
      </w:pPr>
    </w:p>
    <w:p w14:paraId="71F3E6EA" w14:textId="77777777" w:rsidR="00B451B6" w:rsidRPr="009F6B91" w:rsidRDefault="003A4815" w:rsidP="009F6B91">
      <w:pPr>
        <w:pBdr>
          <w:top w:val="nil"/>
          <w:left w:val="nil"/>
          <w:bottom w:val="nil"/>
          <w:right w:val="nil"/>
          <w:between w:val="nil"/>
          <w:bar w:val="nil"/>
        </w:pBdr>
        <w:jc w:val="both"/>
        <w:rPr>
          <w:rFonts w:ascii="Arial" w:eastAsia="Arial" w:hAnsi="Arial" w:cs="Arial"/>
          <w:spacing w:val="-2"/>
          <w:bdr w:val="nil"/>
          <w:lang w:val="en-US"/>
        </w:rPr>
      </w:pPr>
      <w:r w:rsidRPr="009F6B91">
        <w:rPr>
          <w:rFonts w:ascii="Arial" w:eastAsia="Arial" w:hAnsi="Arial" w:cs="Arial"/>
          <w:spacing w:val="-2"/>
          <w:lang w:val="en-US"/>
        </w:rPr>
        <w:t>Gain/(l</w:t>
      </w:r>
      <w:r w:rsidR="00C449AB" w:rsidRPr="009F6B91">
        <w:rPr>
          <w:rFonts w:ascii="Arial" w:eastAsia="Arial" w:hAnsi="Arial" w:cs="Arial"/>
          <w:spacing w:val="-2"/>
          <w:lang w:val="en-US"/>
        </w:rPr>
        <w:t>oss</w:t>
      </w:r>
      <w:r w:rsidRPr="009F6B91">
        <w:rPr>
          <w:rFonts w:ascii="Arial" w:eastAsia="Arial" w:hAnsi="Arial" w:cs="Arial"/>
          <w:spacing w:val="-2"/>
          <w:lang w:val="en-US"/>
        </w:rPr>
        <w:t>)</w:t>
      </w:r>
      <w:r w:rsidR="00C449AB" w:rsidRPr="009F6B91">
        <w:rPr>
          <w:rFonts w:ascii="Arial" w:eastAsia="Arial" w:hAnsi="Arial" w:cs="Arial"/>
          <w:spacing w:val="-2"/>
          <w:lang w:val="en-US"/>
        </w:rPr>
        <w:t xml:space="preserve"> on derivatives. </w:t>
      </w:r>
      <w:r w:rsidRPr="009E2511">
        <w:rPr>
          <w:rFonts w:ascii="Arial" w:eastAsia="Arial" w:hAnsi="Arial" w:cs="Arial"/>
          <w:iCs/>
          <w:spacing w:val="-2"/>
          <w:lang w:val="en-US"/>
        </w:rPr>
        <w:t xml:space="preserve">In 2025, </w:t>
      </w:r>
      <w:r w:rsidR="00047848" w:rsidRPr="009E2511">
        <w:rPr>
          <w:rFonts w:ascii="Arial" w:eastAsia="Arial" w:hAnsi="Arial" w:cs="Arial"/>
          <w:iCs/>
          <w:spacing w:val="-2"/>
          <w:lang w:val="en-US"/>
        </w:rPr>
        <w:t>loss</w:t>
      </w:r>
      <w:r w:rsidR="00C449AB" w:rsidRPr="009E2511">
        <w:rPr>
          <w:rFonts w:ascii="Arial" w:eastAsia="Arial" w:hAnsi="Arial" w:cs="Arial"/>
          <w:iCs/>
          <w:spacing w:val="-2"/>
          <w:lang w:val="en-US"/>
        </w:rPr>
        <w:t xml:space="preserve"> on derivates </w:t>
      </w:r>
      <w:r w:rsidRPr="009E2511">
        <w:rPr>
          <w:rFonts w:ascii="Arial" w:eastAsia="Arial" w:hAnsi="Arial" w:cs="Arial"/>
          <w:iCs/>
          <w:spacing w:val="-2"/>
          <w:lang w:val="en-US"/>
        </w:rPr>
        <w:t>amounted</w:t>
      </w:r>
      <w:r w:rsidR="00C449AB" w:rsidRPr="009E2511">
        <w:rPr>
          <w:rFonts w:ascii="Arial" w:eastAsia="Arial" w:hAnsi="Arial" w:cs="Arial"/>
          <w:iCs/>
          <w:spacing w:val="-2"/>
          <w:lang w:val="en-US"/>
        </w:rPr>
        <w:t xml:space="preserve"> to</w:t>
      </w:r>
      <w:r w:rsidRPr="009E2511">
        <w:rPr>
          <w:rFonts w:ascii="Arial" w:eastAsia="Arial" w:hAnsi="Arial" w:cs="Arial"/>
          <w:iCs/>
          <w:spacing w:val="-2"/>
          <w:lang w:val="en-US"/>
        </w:rPr>
        <w:t xml:space="preserve"> $0.2 </w:t>
      </w:r>
      <w:r w:rsidR="00C449AB" w:rsidRPr="009E2511">
        <w:rPr>
          <w:rFonts w:ascii="Arial" w:eastAsia="Arial" w:hAnsi="Arial" w:cs="Arial"/>
          <w:iCs/>
          <w:spacing w:val="-2"/>
          <w:lang w:val="en-US"/>
        </w:rPr>
        <w:t>million</w:t>
      </w:r>
      <w:r w:rsidRPr="009E2511">
        <w:rPr>
          <w:rFonts w:ascii="Arial" w:eastAsia="Arial" w:hAnsi="Arial" w:cs="Arial"/>
          <w:iCs/>
          <w:spacing w:val="-2"/>
          <w:lang w:val="en-US"/>
        </w:rPr>
        <w:t xml:space="preserve">, as compared to a </w:t>
      </w:r>
      <w:r w:rsidR="00047848" w:rsidRPr="009E2511">
        <w:rPr>
          <w:rFonts w:ascii="Arial" w:eastAsia="Arial" w:hAnsi="Arial" w:cs="Arial"/>
          <w:iCs/>
          <w:spacing w:val="-2"/>
          <w:lang w:val="en-US"/>
        </w:rPr>
        <w:t>gain</w:t>
      </w:r>
      <w:r w:rsidRPr="009E2511">
        <w:rPr>
          <w:rFonts w:ascii="Arial" w:eastAsia="Arial" w:hAnsi="Arial" w:cs="Arial"/>
          <w:iCs/>
          <w:spacing w:val="-2"/>
          <w:lang w:val="en-US"/>
        </w:rPr>
        <w:t xml:space="preserve"> of $0.3 million in 2024. Gain/(loss) on derivative instruments</w:t>
      </w:r>
      <w:r w:rsidR="00AF73EA" w:rsidRPr="009E2511">
        <w:rPr>
          <w:rFonts w:ascii="Arial" w:eastAsia="Arial" w:hAnsi="Arial" w:cs="Arial"/>
          <w:iCs/>
          <w:spacing w:val="-2"/>
          <w:lang w:val="en-US"/>
        </w:rPr>
        <w:t xml:space="preserve"> </w:t>
      </w:r>
      <w:r w:rsidR="009F6B91" w:rsidRPr="009E2511">
        <w:rPr>
          <w:rFonts w:ascii="Arial" w:eastAsia="Arial" w:hAnsi="Arial" w:cs="Arial"/>
          <w:iCs/>
          <w:spacing w:val="-2"/>
          <w:lang w:val="en-US"/>
        </w:rPr>
        <w:t>reflects</w:t>
      </w:r>
      <w:r w:rsidR="006B0B2F">
        <w:rPr>
          <w:rFonts w:ascii="Arial" w:eastAsia="Arial" w:hAnsi="Arial" w:cs="Arial"/>
          <w:iCs/>
          <w:spacing w:val="-2"/>
          <w:lang w:val="en-US"/>
        </w:rPr>
        <w:t xml:space="preserve"> the decrease in interest rates affecting</w:t>
      </w:r>
      <w:r w:rsidR="009F6B91" w:rsidRPr="009E2511">
        <w:rPr>
          <w:rFonts w:ascii="Arial" w:eastAsia="Arial" w:hAnsi="Arial" w:cs="Arial"/>
          <w:iCs/>
          <w:spacing w:val="-2"/>
          <w:lang w:val="en-US"/>
        </w:rPr>
        <w:t xml:space="preserve"> the change in fair value of </w:t>
      </w:r>
      <w:r w:rsidR="00A162D0">
        <w:rPr>
          <w:rFonts w:ascii="Arial" w:eastAsia="Arial" w:hAnsi="Arial" w:cs="Arial"/>
          <w:iCs/>
          <w:spacing w:val="-2"/>
          <w:lang w:val="en-US"/>
        </w:rPr>
        <w:t>the</w:t>
      </w:r>
      <w:r w:rsidR="009F6B91" w:rsidRPr="009E2511">
        <w:rPr>
          <w:rFonts w:ascii="Arial" w:eastAsia="Arial" w:hAnsi="Arial" w:cs="Arial"/>
          <w:iCs/>
          <w:spacing w:val="-2"/>
          <w:lang w:val="en-US"/>
        </w:rPr>
        <w:t xml:space="preserve"> interest rate swap dated July 6, 2023, which we entered into with DNB for a notional amount of $30 million, under which we pay a fixed rate of 4.268% and receive floating interest based on term SOFR.</w:t>
      </w:r>
    </w:p>
    <w:p w14:paraId="71F3E6EB" w14:textId="77777777" w:rsidR="009F6B91" w:rsidRPr="009F6B91" w:rsidRDefault="009F6B91" w:rsidP="009F6B91">
      <w:pPr>
        <w:pBdr>
          <w:top w:val="nil"/>
          <w:left w:val="nil"/>
          <w:bottom w:val="nil"/>
          <w:right w:val="nil"/>
          <w:between w:val="nil"/>
          <w:bar w:val="nil"/>
        </w:pBdr>
        <w:jc w:val="both"/>
        <w:rPr>
          <w:rFonts w:ascii="Arial" w:eastAsia="Arial" w:hAnsi="Arial" w:cs="Arial"/>
          <w:spacing w:val="-2"/>
          <w:bdr w:val="nil"/>
          <w:lang w:val="en-US"/>
        </w:rPr>
      </w:pPr>
    </w:p>
    <w:p w14:paraId="71F3E6EC" w14:textId="77777777" w:rsidR="00B451B6" w:rsidRPr="005E6ECF" w:rsidRDefault="003A4815" w:rsidP="009F6B91">
      <w:pPr>
        <w:pBdr>
          <w:top w:val="nil"/>
          <w:left w:val="nil"/>
          <w:bottom w:val="nil"/>
          <w:right w:val="nil"/>
          <w:between w:val="nil"/>
          <w:bar w:val="nil"/>
        </w:pBdr>
        <w:jc w:val="both"/>
        <w:rPr>
          <w:rFonts w:ascii="Arial" w:eastAsia="Arial" w:hAnsi="Arial" w:cs="Arial"/>
          <w:bdr w:val="nil"/>
          <w:lang w:val="en-US"/>
        </w:rPr>
      </w:pPr>
      <w:r w:rsidRPr="009F6B91">
        <w:rPr>
          <w:rFonts w:ascii="Arial" w:eastAsia="Arial" w:hAnsi="Arial" w:cs="Arial"/>
          <w:spacing w:val="-2"/>
          <w:lang w:val="en-US"/>
        </w:rPr>
        <w:t xml:space="preserve">Gain/(loss) on related party Investments. </w:t>
      </w:r>
      <w:r w:rsidR="00A051AC" w:rsidRPr="009E2511">
        <w:rPr>
          <w:rFonts w:ascii="Arial" w:eastAsia="Arial" w:hAnsi="Arial" w:cs="Arial"/>
          <w:iCs/>
          <w:spacing w:val="-2"/>
          <w:lang w:val="en-US"/>
        </w:rPr>
        <w:t>Loss</w:t>
      </w:r>
      <w:r w:rsidRPr="009E2511">
        <w:rPr>
          <w:rFonts w:ascii="Arial" w:eastAsia="Arial" w:hAnsi="Arial" w:cs="Arial"/>
          <w:iCs/>
          <w:spacing w:val="-2"/>
          <w:lang w:val="en-US"/>
        </w:rPr>
        <w:t xml:space="preserve"> on related party </w:t>
      </w:r>
      <w:r w:rsidR="00A051AC" w:rsidRPr="009E2511">
        <w:rPr>
          <w:rFonts w:ascii="Arial" w:eastAsia="Arial" w:hAnsi="Arial" w:cs="Arial"/>
          <w:iCs/>
          <w:spacing w:val="-2"/>
          <w:lang w:val="en-US"/>
        </w:rPr>
        <w:t>i</w:t>
      </w:r>
      <w:r w:rsidRPr="009E2511">
        <w:rPr>
          <w:rFonts w:ascii="Arial" w:eastAsia="Arial" w:hAnsi="Arial" w:cs="Arial"/>
          <w:iCs/>
          <w:spacing w:val="-2"/>
          <w:lang w:val="en-US"/>
        </w:rPr>
        <w:t>nvestments amounted to</w:t>
      </w:r>
      <w:r w:rsidR="00425632" w:rsidRPr="009E2511">
        <w:rPr>
          <w:rFonts w:ascii="Arial" w:eastAsia="Arial" w:hAnsi="Arial" w:cs="Arial"/>
          <w:iCs/>
          <w:spacing w:val="-2"/>
          <w:lang w:val="en-US"/>
        </w:rPr>
        <w:t xml:space="preserve"> </w:t>
      </w:r>
      <w:r w:rsidR="00A051AC" w:rsidRPr="009E2511">
        <w:rPr>
          <w:rFonts w:ascii="Arial" w:eastAsia="Arial" w:hAnsi="Arial" w:cs="Arial"/>
          <w:iCs/>
          <w:spacing w:val="-2"/>
          <w:lang w:val="en-US"/>
        </w:rPr>
        <w:t>$1.1</w:t>
      </w:r>
      <w:r w:rsidRPr="009E2511">
        <w:rPr>
          <w:rFonts w:ascii="Arial" w:eastAsia="Arial" w:hAnsi="Arial" w:cs="Arial"/>
          <w:iCs/>
          <w:spacing w:val="-2"/>
          <w:lang w:val="en-US"/>
        </w:rPr>
        <w:t xml:space="preserve"> million in 2025</w:t>
      </w:r>
      <w:r w:rsidR="004A43E8" w:rsidRPr="009E2511">
        <w:rPr>
          <w:rFonts w:ascii="Arial" w:eastAsia="Arial" w:hAnsi="Arial" w:cs="Arial"/>
          <w:iCs/>
          <w:spacing w:val="-2"/>
          <w:lang w:val="en-US"/>
        </w:rPr>
        <w:t>.</w:t>
      </w:r>
      <w:r w:rsidRPr="009E2511">
        <w:rPr>
          <w:rFonts w:ascii="Arial" w:eastAsia="Arial" w:hAnsi="Arial" w:cs="Arial"/>
          <w:iCs/>
          <w:spacing w:val="-2"/>
          <w:lang w:val="en-US"/>
        </w:rPr>
        <w:t xml:space="preserve"> </w:t>
      </w:r>
      <w:r w:rsidR="004A43E8" w:rsidRPr="009E2511">
        <w:rPr>
          <w:rFonts w:ascii="Arial" w:eastAsia="Arial" w:hAnsi="Arial" w:cs="Arial"/>
          <w:iCs/>
          <w:spacing w:val="-2"/>
          <w:lang w:val="en-US"/>
        </w:rPr>
        <w:t xml:space="preserve">The loss primarily reflected the dilution of the Company’s common stock holdings in OceanPal arising from multiple common stock issuances and the impact of a reverse stock split, which </w:t>
      </w:r>
      <w:r w:rsidR="003E04D9" w:rsidRPr="009E2511">
        <w:rPr>
          <w:rFonts w:ascii="Arial" w:eastAsia="Arial" w:hAnsi="Arial" w:cs="Arial"/>
          <w:iCs/>
          <w:spacing w:val="-2"/>
          <w:lang w:val="en-US"/>
        </w:rPr>
        <w:t>resulted in</w:t>
      </w:r>
      <w:r w:rsidR="004A43E8" w:rsidRPr="009E2511">
        <w:rPr>
          <w:rFonts w:ascii="Arial" w:eastAsia="Arial" w:hAnsi="Arial" w:cs="Arial"/>
          <w:iCs/>
          <w:spacing w:val="-2"/>
          <w:lang w:val="en-US"/>
        </w:rPr>
        <w:t xml:space="preserve"> a $4.1 million loss. This was partially offset by a $3.0 million gain on the sale of the Company’s 500,000 Series B Preferred Shares</w:t>
      </w:r>
      <w:r w:rsidR="00836F8F">
        <w:rPr>
          <w:rFonts w:ascii="Arial" w:eastAsia="Arial" w:hAnsi="Arial" w:cs="Arial"/>
          <w:iCs/>
          <w:spacing w:val="-2"/>
          <w:lang w:val="en-US"/>
        </w:rPr>
        <w:t xml:space="preserve"> of OceanPal</w:t>
      </w:r>
      <w:r w:rsidR="004A43E8" w:rsidRPr="009E2511">
        <w:rPr>
          <w:rFonts w:ascii="Arial" w:eastAsia="Arial" w:hAnsi="Arial" w:cs="Arial"/>
          <w:iCs/>
          <w:spacing w:val="-2"/>
          <w:lang w:val="en-US"/>
        </w:rPr>
        <w:t xml:space="preserve">, representing the excess of the sale proceeds over the carrying amount. </w:t>
      </w:r>
      <w:r w:rsidRPr="009E2511">
        <w:rPr>
          <w:rFonts w:ascii="Arial" w:eastAsia="Arial" w:hAnsi="Arial" w:cs="Arial"/>
          <w:iCs/>
          <w:spacing w:val="-2"/>
          <w:lang w:val="en-US"/>
        </w:rPr>
        <w:t>This compares to</w:t>
      </w:r>
      <w:r w:rsidR="00A051AC" w:rsidRPr="009E2511">
        <w:rPr>
          <w:rFonts w:ascii="Arial" w:eastAsia="Arial" w:hAnsi="Arial" w:cs="Arial"/>
          <w:iCs/>
          <w:spacing w:val="-2"/>
          <w:lang w:val="en-US"/>
        </w:rPr>
        <w:t xml:space="preserve"> a </w:t>
      </w:r>
      <w:r w:rsidR="00D75C78" w:rsidRPr="009E2511">
        <w:rPr>
          <w:rFonts w:ascii="Arial" w:eastAsia="Arial" w:hAnsi="Arial" w:cs="Arial"/>
          <w:iCs/>
          <w:spacing w:val="-2"/>
          <w:lang w:val="en-US"/>
        </w:rPr>
        <w:t>loss</w:t>
      </w:r>
      <w:r w:rsidR="00A051AC" w:rsidRPr="009E2511">
        <w:rPr>
          <w:rFonts w:ascii="Arial" w:eastAsia="Arial" w:hAnsi="Arial" w:cs="Arial"/>
          <w:iCs/>
          <w:spacing w:val="-2"/>
          <w:lang w:val="en-US"/>
        </w:rPr>
        <w:t xml:space="preserve"> of</w:t>
      </w:r>
      <w:r w:rsidRPr="009E2511">
        <w:rPr>
          <w:rFonts w:ascii="Arial" w:eastAsia="Arial" w:hAnsi="Arial" w:cs="Arial"/>
          <w:iCs/>
          <w:spacing w:val="-2"/>
          <w:lang w:val="en-US"/>
        </w:rPr>
        <w:t xml:space="preserve"> </w:t>
      </w:r>
      <w:r w:rsidR="00A051AC" w:rsidRPr="009E2511">
        <w:rPr>
          <w:rFonts w:ascii="Arial" w:eastAsia="Arial" w:hAnsi="Arial" w:cs="Arial"/>
          <w:iCs/>
          <w:spacing w:val="-2"/>
          <w:lang w:val="en-US"/>
        </w:rPr>
        <w:t>$3.9</w:t>
      </w:r>
      <w:r w:rsidRPr="009E2511">
        <w:rPr>
          <w:rFonts w:ascii="Arial" w:eastAsia="Arial" w:hAnsi="Arial" w:cs="Arial"/>
          <w:iCs/>
          <w:spacing w:val="-2"/>
          <w:lang w:val="en-US"/>
        </w:rPr>
        <w:t xml:space="preserve"> million in 2024, which</w:t>
      </w:r>
      <w:r w:rsidR="00D75C78" w:rsidRPr="009E2511">
        <w:rPr>
          <w:rFonts w:ascii="Arial" w:eastAsia="Arial" w:hAnsi="Arial" w:cs="Arial"/>
          <w:iCs/>
          <w:spacing w:val="-2"/>
          <w:lang w:val="en-US"/>
        </w:rPr>
        <w:t xml:space="preserve"> resulted from the measurement of OceanPal’s common shares at fair value on December 31, 2024, based on the closing price of the shares on that date.</w:t>
      </w:r>
    </w:p>
    <w:p w14:paraId="71F3E6ED" w14:textId="77777777" w:rsidR="008870C0" w:rsidRPr="005E6ECF" w:rsidRDefault="008870C0" w:rsidP="005E6ECF">
      <w:pPr>
        <w:pBdr>
          <w:top w:val="nil"/>
          <w:left w:val="nil"/>
          <w:bottom w:val="nil"/>
          <w:right w:val="nil"/>
          <w:between w:val="nil"/>
          <w:bar w:val="nil"/>
        </w:pBdr>
        <w:jc w:val="both"/>
        <w:rPr>
          <w:rFonts w:ascii="Arial" w:eastAsia="Arial" w:hAnsi="Arial" w:cs="Arial"/>
          <w:bdr w:val="nil"/>
          <w:lang w:val="en-US"/>
        </w:rPr>
      </w:pPr>
    </w:p>
    <w:p w14:paraId="71F3E6EE" w14:textId="77777777" w:rsidR="00CB0440" w:rsidRPr="00653105" w:rsidRDefault="003A4815" w:rsidP="005E6ECF">
      <w:pPr>
        <w:pBdr>
          <w:top w:val="nil"/>
          <w:left w:val="nil"/>
          <w:bottom w:val="nil"/>
          <w:right w:val="nil"/>
          <w:between w:val="nil"/>
          <w:bar w:val="nil"/>
        </w:pBdr>
        <w:jc w:val="both"/>
        <w:rPr>
          <w:rFonts w:ascii="Arial" w:eastAsia="Arial" w:hAnsi="Arial" w:cs="Arial"/>
          <w:iCs/>
          <w:spacing w:val="-2"/>
          <w:bdr w:val="nil"/>
          <w:lang w:val="en-US"/>
        </w:rPr>
      </w:pPr>
      <w:bookmarkStart w:id="163" w:name="_Hlk190691317"/>
      <w:r w:rsidRPr="005E6ECF">
        <w:rPr>
          <w:rFonts w:ascii="Arial" w:eastAsia="Arial" w:hAnsi="Arial" w:cs="Arial"/>
          <w:lang w:val="en-US"/>
        </w:rPr>
        <w:t>Gain/(loss) on equity securities</w:t>
      </w:r>
      <w:bookmarkEnd w:id="163"/>
      <w:r w:rsidR="00A43F99" w:rsidRPr="005E6ECF">
        <w:rPr>
          <w:rFonts w:ascii="Arial" w:eastAsia="Arial" w:hAnsi="Arial" w:cs="Arial"/>
          <w:lang w:val="en-US"/>
        </w:rPr>
        <w:t xml:space="preserve">. </w:t>
      </w:r>
      <w:r w:rsidR="000808A5" w:rsidRPr="009E2511">
        <w:rPr>
          <w:rFonts w:ascii="Arial" w:eastAsia="Arial" w:hAnsi="Arial" w:cs="Arial"/>
          <w:iCs/>
          <w:spacing w:val="-2"/>
          <w:lang w:val="en-US"/>
        </w:rPr>
        <w:t>Gain</w:t>
      </w:r>
      <w:r w:rsidRPr="009E2511">
        <w:rPr>
          <w:rFonts w:ascii="Arial" w:eastAsia="Arial" w:hAnsi="Arial" w:cs="Arial"/>
          <w:iCs/>
          <w:spacing w:val="-2"/>
          <w:lang w:val="en-US"/>
        </w:rPr>
        <w:t xml:space="preserve"> on equity securities </w:t>
      </w:r>
      <w:r w:rsidR="007918F9" w:rsidRPr="009E2511">
        <w:rPr>
          <w:rFonts w:ascii="Arial" w:eastAsia="Arial" w:hAnsi="Arial" w:cs="Arial"/>
          <w:iCs/>
          <w:spacing w:val="-2"/>
          <w:lang w:val="en-US"/>
        </w:rPr>
        <w:t>amounted to</w:t>
      </w:r>
      <w:r w:rsidRPr="009E2511">
        <w:rPr>
          <w:rFonts w:ascii="Arial" w:eastAsia="Arial" w:hAnsi="Arial" w:cs="Arial"/>
          <w:iCs/>
          <w:spacing w:val="-2"/>
          <w:lang w:val="en-US"/>
        </w:rPr>
        <w:t xml:space="preserve"> </w:t>
      </w:r>
      <w:r w:rsidR="000808A5" w:rsidRPr="009E2511">
        <w:rPr>
          <w:rFonts w:ascii="Arial" w:eastAsia="Arial" w:hAnsi="Arial" w:cs="Arial"/>
          <w:iCs/>
          <w:spacing w:val="-2"/>
          <w:lang w:val="en-US"/>
        </w:rPr>
        <w:t>$14.7</w:t>
      </w:r>
      <w:r w:rsidR="00A43F99" w:rsidRPr="009E2511">
        <w:rPr>
          <w:rFonts w:ascii="Arial" w:eastAsia="Arial" w:hAnsi="Arial" w:cs="Arial"/>
          <w:iCs/>
          <w:spacing w:val="-2"/>
          <w:lang w:val="en-US"/>
        </w:rPr>
        <w:t xml:space="preserve"> million in 2025</w:t>
      </w:r>
      <w:r w:rsidRPr="009E2511">
        <w:rPr>
          <w:rFonts w:ascii="Arial" w:eastAsia="Arial" w:hAnsi="Arial" w:cs="Arial"/>
          <w:iCs/>
          <w:spacing w:val="-2"/>
          <w:lang w:val="en-US"/>
        </w:rPr>
        <w:t xml:space="preserve">, compared to a </w:t>
      </w:r>
      <w:r w:rsidR="000808A5" w:rsidRPr="009E2511">
        <w:rPr>
          <w:rFonts w:ascii="Arial" w:eastAsia="Arial" w:hAnsi="Arial" w:cs="Arial"/>
          <w:iCs/>
          <w:spacing w:val="-2"/>
          <w:lang w:val="en-US"/>
        </w:rPr>
        <w:t>loss</w:t>
      </w:r>
      <w:r w:rsidRPr="009E2511">
        <w:rPr>
          <w:rFonts w:ascii="Arial" w:eastAsia="Arial" w:hAnsi="Arial" w:cs="Arial"/>
          <w:iCs/>
          <w:spacing w:val="-2"/>
          <w:lang w:val="en-US"/>
        </w:rPr>
        <w:t xml:space="preserve"> of </w:t>
      </w:r>
      <w:r w:rsidR="000808A5" w:rsidRPr="009E2511">
        <w:rPr>
          <w:rFonts w:ascii="Arial" w:eastAsia="Arial" w:hAnsi="Arial" w:cs="Arial"/>
          <w:iCs/>
          <w:spacing w:val="-2"/>
          <w:lang w:val="en-US"/>
        </w:rPr>
        <w:t>$0.4</w:t>
      </w:r>
      <w:r w:rsidRPr="009E2511">
        <w:rPr>
          <w:rFonts w:ascii="Arial" w:eastAsia="Arial" w:hAnsi="Arial" w:cs="Arial"/>
          <w:iCs/>
          <w:spacing w:val="-2"/>
          <w:lang w:val="en-US"/>
        </w:rPr>
        <w:t xml:space="preserve"> million in 2024. </w:t>
      </w:r>
      <w:r w:rsidR="00653105" w:rsidRPr="00653105">
        <w:rPr>
          <w:rFonts w:ascii="Arial" w:eastAsia="Arial" w:hAnsi="Arial" w:cs="Arial"/>
          <w:iCs/>
          <w:spacing w:val="-2"/>
          <w:lang w:val="en-US"/>
        </w:rPr>
        <w:t>In 2024, we sold equity securities acquired in 2023, resulting in a realized loss of $0.4 million</w:t>
      </w:r>
      <w:r w:rsidR="00321E5D" w:rsidRPr="009E2511">
        <w:rPr>
          <w:rFonts w:ascii="Arial" w:eastAsia="Arial" w:hAnsi="Arial" w:cs="Arial"/>
          <w:iCs/>
          <w:spacing w:val="-2"/>
          <w:lang w:val="en-US"/>
        </w:rPr>
        <w:t xml:space="preserve">. In 2025, </w:t>
      </w:r>
      <w:r w:rsidR="00653105">
        <w:rPr>
          <w:rFonts w:ascii="Arial" w:eastAsia="Arial" w:hAnsi="Arial" w:cs="Arial"/>
          <w:iCs/>
          <w:spacing w:val="-2"/>
          <w:lang w:val="en-US"/>
        </w:rPr>
        <w:t>we</w:t>
      </w:r>
      <w:r w:rsidR="00321E5D" w:rsidRPr="009E2511">
        <w:rPr>
          <w:rFonts w:ascii="Arial" w:eastAsia="Arial" w:hAnsi="Arial" w:cs="Arial"/>
          <w:iCs/>
          <w:spacing w:val="-2"/>
          <w:lang w:val="en-US"/>
        </w:rPr>
        <w:t xml:space="preserve"> acquired equity securities of Genco Shipping &amp; Trading Limited (G</w:t>
      </w:r>
      <w:r w:rsidR="00A162D0">
        <w:rPr>
          <w:rFonts w:ascii="Arial" w:eastAsia="Arial" w:hAnsi="Arial" w:cs="Arial"/>
          <w:iCs/>
          <w:spacing w:val="-2"/>
          <w:lang w:val="en-US"/>
        </w:rPr>
        <w:t>enco</w:t>
      </w:r>
      <w:r w:rsidR="00321E5D" w:rsidRPr="009E2511">
        <w:rPr>
          <w:rFonts w:ascii="Arial" w:eastAsia="Arial" w:hAnsi="Arial" w:cs="Arial"/>
          <w:iCs/>
          <w:spacing w:val="-2"/>
          <w:lang w:val="en-US"/>
        </w:rPr>
        <w:t xml:space="preserve">) </w:t>
      </w:r>
      <w:r w:rsidR="00A162D0">
        <w:rPr>
          <w:rFonts w:ascii="Arial" w:eastAsia="Arial" w:hAnsi="Arial" w:cs="Arial"/>
          <w:iCs/>
          <w:spacing w:val="-2"/>
          <w:lang w:val="en-US"/>
        </w:rPr>
        <w:t>representing</w:t>
      </w:r>
      <w:r w:rsidR="00321E5D" w:rsidRPr="009E2511">
        <w:rPr>
          <w:rFonts w:ascii="Arial" w:eastAsia="Arial" w:hAnsi="Arial" w:cs="Arial"/>
          <w:iCs/>
          <w:spacing w:val="-2"/>
          <w:lang w:val="en-US"/>
        </w:rPr>
        <w:t xml:space="preserve"> 14.8% of Genco’s common stock as of year</w:t>
      </w:r>
      <w:r w:rsidR="00321E5D" w:rsidRPr="009E2511">
        <w:rPr>
          <w:rFonts w:ascii="Arial" w:eastAsia="Arial" w:hAnsi="Arial" w:cs="Arial"/>
          <w:iCs/>
          <w:spacing w:val="-2"/>
          <w:lang w:val="en-US"/>
        </w:rPr>
        <w:noBreakHyphen/>
        <w:t>end</w:t>
      </w:r>
      <w:r w:rsidR="00D167C5">
        <w:rPr>
          <w:rFonts w:ascii="Arial" w:eastAsia="Arial" w:hAnsi="Arial" w:cs="Arial"/>
          <w:iCs/>
          <w:spacing w:val="-2"/>
          <w:lang w:val="en-US"/>
        </w:rPr>
        <w:t xml:space="preserve">. The valuation of these equity securities at fair value at year-end </w:t>
      </w:r>
      <w:r w:rsidR="00321E5D" w:rsidRPr="009E2511">
        <w:rPr>
          <w:rFonts w:ascii="Arial" w:eastAsia="Arial" w:hAnsi="Arial" w:cs="Arial"/>
          <w:iCs/>
          <w:spacing w:val="-2"/>
          <w:lang w:val="en-US"/>
        </w:rPr>
        <w:t xml:space="preserve">resulted in </w:t>
      </w:r>
      <w:r w:rsidR="00B22F31">
        <w:rPr>
          <w:rFonts w:ascii="Arial" w:eastAsia="Arial" w:hAnsi="Arial" w:cs="Arial"/>
          <w:iCs/>
          <w:spacing w:val="-2"/>
          <w:lang w:val="en-US"/>
        </w:rPr>
        <w:t xml:space="preserve">an </w:t>
      </w:r>
      <w:r w:rsidR="00321E5D" w:rsidRPr="009E2511">
        <w:rPr>
          <w:rFonts w:ascii="Arial" w:eastAsia="Arial" w:hAnsi="Arial" w:cs="Arial"/>
          <w:iCs/>
          <w:spacing w:val="-2"/>
          <w:lang w:val="en-US"/>
        </w:rPr>
        <w:t>unrealized gain of $14.7 million.</w:t>
      </w:r>
      <w:r w:rsidR="004B50B3" w:rsidRPr="009E2511">
        <w:rPr>
          <w:rFonts w:ascii="Arial" w:eastAsia="Arial" w:hAnsi="Arial" w:cs="Arial"/>
          <w:iCs/>
          <w:spacing w:val="-2"/>
          <w:lang w:val="en-US"/>
        </w:rPr>
        <w:t xml:space="preserve"> </w:t>
      </w:r>
    </w:p>
    <w:p w14:paraId="71F3E6EF" w14:textId="77777777" w:rsidR="002865C1" w:rsidRDefault="002865C1" w:rsidP="002865C1">
      <w:pPr>
        <w:pStyle w:val="Char12"/>
        <w:widowControl/>
        <w:pBdr>
          <w:top w:val="nil"/>
          <w:left w:val="nil"/>
          <w:bottom w:val="nil"/>
          <w:right w:val="nil"/>
          <w:between w:val="nil"/>
          <w:bar w:val="nil"/>
        </w:pBdr>
        <w:spacing w:before="0" w:after="0"/>
        <w:rPr>
          <w:rFonts w:ascii="Arial" w:eastAsia="Arial" w:hAnsi="Arial" w:cs="Arial"/>
          <w:bdr w:val="nil"/>
        </w:rPr>
      </w:pPr>
    </w:p>
    <w:p w14:paraId="71F3E6F0" w14:textId="77777777" w:rsidR="008B6CDD" w:rsidRDefault="003A4815" w:rsidP="00E77F58">
      <w:pPr>
        <w:pBdr>
          <w:top w:val="nil"/>
          <w:left w:val="nil"/>
          <w:bottom w:val="nil"/>
          <w:right w:val="nil"/>
          <w:between w:val="nil"/>
          <w:bar w:val="nil"/>
        </w:pBdr>
        <w:tabs>
          <w:tab w:val="left" w:pos="7200"/>
        </w:tabs>
        <w:jc w:val="both"/>
        <w:rPr>
          <w:rFonts w:ascii="Arial" w:eastAsia="Arial" w:hAnsi="Arial" w:cs="Arial"/>
          <w:bdr w:val="nil"/>
          <w:lang w:val="en-US"/>
        </w:rPr>
      </w:pPr>
      <w:r w:rsidRPr="00263F3E">
        <w:rPr>
          <w:rFonts w:ascii="Arial" w:eastAsia="Arial" w:hAnsi="Arial" w:cs="Arial"/>
          <w:i/>
          <w:color w:val="000000"/>
          <w:lang w:val="en-US" w:eastAsia="el-GR"/>
        </w:rPr>
        <w:t>Gain on warrants</w:t>
      </w:r>
      <w:r w:rsidR="00A43F99">
        <w:rPr>
          <w:rFonts w:ascii="Arial" w:eastAsia="Arial" w:hAnsi="Arial" w:cs="Arial"/>
          <w:i/>
          <w:color w:val="000000"/>
          <w:lang w:val="en-US" w:eastAsia="el-GR"/>
        </w:rPr>
        <w:t xml:space="preserve">. </w:t>
      </w:r>
      <w:r w:rsidRPr="009E2511">
        <w:rPr>
          <w:rFonts w:ascii="Arial" w:eastAsia="Arial" w:hAnsi="Arial" w:cs="Arial"/>
          <w:iCs/>
          <w:spacing w:val="-2"/>
          <w:lang w:val="en-US"/>
        </w:rPr>
        <w:t>G</w:t>
      </w:r>
      <w:r w:rsidR="00A43F99" w:rsidRPr="009E2511">
        <w:rPr>
          <w:rFonts w:ascii="Arial" w:eastAsia="Arial" w:hAnsi="Arial" w:cs="Arial"/>
          <w:iCs/>
          <w:spacing w:val="-2"/>
          <w:lang w:val="en-US"/>
        </w:rPr>
        <w:t>ain on warrants amounted</w:t>
      </w:r>
      <w:r w:rsidRPr="009E2511">
        <w:rPr>
          <w:rFonts w:ascii="Arial" w:eastAsia="Arial" w:hAnsi="Arial" w:cs="Arial"/>
          <w:iCs/>
          <w:spacing w:val="-2"/>
          <w:lang w:val="en-US"/>
        </w:rPr>
        <w:t xml:space="preserve"> to</w:t>
      </w:r>
      <w:r w:rsidR="00A43F99" w:rsidRPr="009E2511">
        <w:rPr>
          <w:rFonts w:ascii="Arial" w:eastAsia="Arial" w:hAnsi="Arial" w:cs="Arial"/>
          <w:iCs/>
          <w:spacing w:val="-2"/>
          <w:lang w:val="en-US"/>
        </w:rPr>
        <w:t xml:space="preserve"> </w:t>
      </w:r>
      <w:r w:rsidR="006D6092" w:rsidRPr="009E2511">
        <w:rPr>
          <w:rFonts w:ascii="Arial" w:eastAsia="Arial" w:hAnsi="Arial" w:cs="Arial"/>
          <w:iCs/>
          <w:spacing w:val="-2"/>
          <w:lang w:val="en-US"/>
        </w:rPr>
        <w:t>$0.5</w:t>
      </w:r>
      <w:r w:rsidR="00A43F99" w:rsidRPr="009E2511">
        <w:rPr>
          <w:rFonts w:ascii="Arial" w:eastAsia="Arial" w:hAnsi="Arial" w:cs="Arial"/>
          <w:iCs/>
          <w:spacing w:val="-2"/>
          <w:lang w:val="en-US"/>
        </w:rPr>
        <w:t xml:space="preserve"> million in 2025</w:t>
      </w:r>
      <w:r w:rsidRPr="009E2511">
        <w:rPr>
          <w:rFonts w:ascii="Arial" w:eastAsia="Arial" w:hAnsi="Arial" w:cs="Arial"/>
          <w:iCs/>
          <w:spacing w:val="-2"/>
          <w:lang w:val="en-US"/>
        </w:rPr>
        <w:t xml:space="preserve">, compared to </w:t>
      </w:r>
      <w:r w:rsidR="006D6092" w:rsidRPr="009E2511">
        <w:rPr>
          <w:rFonts w:ascii="Arial" w:eastAsia="Arial" w:hAnsi="Arial" w:cs="Arial"/>
          <w:iCs/>
          <w:spacing w:val="-2"/>
          <w:lang w:val="en-US"/>
        </w:rPr>
        <w:t>$0.7</w:t>
      </w:r>
      <w:r w:rsidRPr="009E2511">
        <w:rPr>
          <w:rFonts w:ascii="Arial" w:eastAsia="Arial" w:hAnsi="Arial" w:cs="Arial"/>
          <w:iCs/>
          <w:spacing w:val="-2"/>
          <w:lang w:val="en-US"/>
        </w:rPr>
        <w:t xml:space="preserve"> million in 2024</w:t>
      </w:r>
      <w:r w:rsidR="00A43F99" w:rsidRPr="009E2511">
        <w:rPr>
          <w:rFonts w:ascii="Arial" w:eastAsia="Arial" w:hAnsi="Arial" w:cs="Arial"/>
          <w:iCs/>
          <w:spacing w:val="-2"/>
          <w:lang w:val="en-US"/>
        </w:rPr>
        <w:t xml:space="preserve">, which resulted from the fair value adjustment of </w:t>
      </w:r>
      <w:r w:rsidR="005C79F0" w:rsidRPr="009E2511">
        <w:rPr>
          <w:rFonts w:ascii="Arial" w:eastAsia="Arial" w:hAnsi="Arial" w:cs="Arial"/>
          <w:iCs/>
          <w:spacing w:val="-2"/>
          <w:lang w:val="en-US"/>
        </w:rPr>
        <w:t xml:space="preserve">the </w:t>
      </w:r>
      <w:r w:rsidRPr="009E2511">
        <w:rPr>
          <w:rFonts w:ascii="Arial" w:eastAsia="Arial" w:hAnsi="Arial" w:cs="Arial"/>
          <w:iCs/>
          <w:spacing w:val="-2"/>
          <w:lang w:val="en-US"/>
        </w:rPr>
        <w:t>outstanding</w:t>
      </w:r>
      <w:r w:rsidR="00A43F99" w:rsidRPr="009E2511">
        <w:rPr>
          <w:rFonts w:ascii="Arial" w:eastAsia="Arial" w:hAnsi="Arial" w:cs="Arial"/>
          <w:iCs/>
          <w:spacing w:val="-2"/>
          <w:lang w:val="en-US"/>
        </w:rPr>
        <w:t xml:space="preserve"> warrants </w:t>
      </w:r>
      <w:r w:rsidRPr="009E2511">
        <w:rPr>
          <w:rFonts w:ascii="Arial" w:eastAsia="Arial" w:hAnsi="Arial" w:cs="Arial"/>
          <w:iCs/>
          <w:spacing w:val="-2"/>
          <w:lang w:val="en-US"/>
        </w:rPr>
        <w:t>as of December 31, 2025 and 2024, respectively.</w:t>
      </w:r>
      <w:r w:rsidR="00A43F99">
        <w:rPr>
          <w:rFonts w:ascii="Arial" w:eastAsia="Arial" w:hAnsi="Arial" w:cs="Arial"/>
          <w:lang w:val="en-US"/>
        </w:rPr>
        <w:t xml:space="preserve"> </w:t>
      </w:r>
    </w:p>
    <w:p w14:paraId="71F3E6F1" w14:textId="77777777" w:rsidR="00477D70" w:rsidRPr="008B6CDD" w:rsidRDefault="00477D70" w:rsidP="00E77F58">
      <w:pPr>
        <w:pBdr>
          <w:top w:val="nil"/>
          <w:left w:val="nil"/>
          <w:bottom w:val="nil"/>
          <w:right w:val="nil"/>
          <w:between w:val="nil"/>
          <w:bar w:val="nil"/>
        </w:pBdr>
        <w:tabs>
          <w:tab w:val="left" w:pos="7200"/>
        </w:tabs>
        <w:jc w:val="both"/>
        <w:rPr>
          <w:rFonts w:ascii="Arial" w:eastAsia="Arial" w:hAnsi="Arial" w:cs="Arial"/>
          <w:i/>
          <w:color w:val="000000"/>
          <w:bdr w:val="nil"/>
          <w:lang w:val="en-US" w:eastAsia="el-GR"/>
        </w:rPr>
      </w:pPr>
    </w:p>
    <w:p w14:paraId="71F3E6F2" w14:textId="77777777" w:rsidR="004A1470" w:rsidRPr="004A1470" w:rsidRDefault="003A4815" w:rsidP="00477D70">
      <w:pPr>
        <w:pStyle w:val="Char12"/>
        <w:pBdr>
          <w:top w:val="nil"/>
          <w:left w:val="nil"/>
          <w:bottom w:val="nil"/>
          <w:right w:val="nil"/>
          <w:between w:val="nil"/>
          <w:bar w:val="nil"/>
        </w:pBdr>
        <w:spacing w:before="0" w:after="0"/>
        <w:rPr>
          <w:rFonts w:ascii="Arial" w:eastAsia="Arial" w:hAnsi="Arial" w:cs="Arial"/>
          <w:bdr w:val="nil"/>
        </w:rPr>
      </w:pPr>
      <w:r>
        <w:rPr>
          <w:rFonts w:ascii="Arial" w:eastAsia="Arial" w:hAnsi="Arial" w:cs="Arial"/>
          <w:i/>
        </w:rPr>
        <w:t>L</w:t>
      </w:r>
      <w:r w:rsidR="00A43F99" w:rsidRPr="00E77F58">
        <w:rPr>
          <w:rFonts w:ascii="Arial" w:eastAsia="Arial" w:hAnsi="Arial" w:cs="Arial"/>
          <w:i/>
        </w:rPr>
        <w:t xml:space="preserve">oss from equity method investments. </w:t>
      </w:r>
      <w:r w:rsidRPr="009E2511">
        <w:rPr>
          <w:rFonts w:ascii="Arial" w:eastAsia="Arial" w:hAnsi="Arial" w:cs="Arial"/>
          <w:iCs/>
          <w:color w:val="auto"/>
          <w:spacing w:val="-2"/>
          <w:lang w:eastAsia="en-US"/>
        </w:rPr>
        <w:t>L</w:t>
      </w:r>
      <w:r w:rsidR="002C0763" w:rsidRPr="009E2511">
        <w:rPr>
          <w:rFonts w:ascii="Arial" w:eastAsia="Arial" w:hAnsi="Arial" w:cs="Arial"/>
          <w:iCs/>
          <w:color w:val="auto"/>
          <w:spacing w:val="-2"/>
          <w:lang w:eastAsia="en-US"/>
        </w:rPr>
        <w:t>oss</w:t>
      </w:r>
      <w:r w:rsidR="00A43F99" w:rsidRPr="009E2511">
        <w:rPr>
          <w:rFonts w:ascii="Arial" w:eastAsia="Arial" w:hAnsi="Arial" w:cs="Arial"/>
          <w:iCs/>
          <w:color w:val="auto"/>
          <w:spacing w:val="-2"/>
          <w:lang w:eastAsia="en-US"/>
        </w:rPr>
        <w:t xml:space="preserve"> from equity method investments</w:t>
      </w:r>
      <w:r w:rsidR="004F4DC9" w:rsidRPr="009E2511">
        <w:rPr>
          <w:rFonts w:ascii="Arial" w:eastAsia="Arial" w:hAnsi="Arial" w:cs="Arial"/>
          <w:iCs/>
          <w:color w:val="auto"/>
          <w:spacing w:val="-2"/>
          <w:lang w:eastAsia="en-US"/>
        </w:rPr>
        <w:t xml:space="preserve">, amounted </w:t>
      </w:r>
      <w:r w:rsidR="00A43F99" w:rsidRPr="009E2511">
        <w:rPr>
          <w:rFonts w:ascii="Arial" w:eastAsia="Arial" w:hAnsi="Arial" w:cs="Arial"/>
          <w:iCs/>
          <w:color w:val="auto"/>
          <w:spacing w:val="-2"/>
          <w:lang w:eastAsia="en-US"/>
        </w:rPr>
        <w:t>to $2.8</w:t>
      </w:r>
      <w:r w:rsidR="004F4DC9" w:rsidRPr="009E2511">
        <w:rPr>
          <w:rFonts w:ascii="Arial" w:eastAsia="Arial" w:hAnsi="Arial" w:cs="Arial"/>
          <w:iCs/>
          <w:color w:val="auto"/>
          <w:spacing w:val="-2"/>
          <w:lang w:eastAsia="en-US"/>
        </w:rPr>
        <w:t xml:space="preserve"> million</w:t>
      </w:r>
      <w:r w:rsidRPr="009E2511">
        <w:rPr>
          <w:rFonts w:ascii="Arial" w:eastAsia="Arial" w:hAnsi="Arial" w:cs="Arial"/>
          <w:iCs/>
          <w:color w:val="auto"/>
          <w:spacing w:val="-2"/>
          <w:lang w:eastAsia="en-US"/>
        </w:rPr>
        <w:t xml:space="preserve"> in 2025</w:t>
      </w:r>
      <w:r w:rsidR="004F4DC9" w:rsidRPr="009E2511">
        <w:rPr>
          <w:rFonts w:ascii="Arial" w:eastAsia="Arial" w:hAnsi="Arial" w:cs="Arial"/>
          <w:iCs/>
          <w:color w:val="auto"/>
          <w:spacing w:val="-2"/>
          <w:lang w:eastAsia="en-US"/>
        </w:rPr>
        <w:t xml:space="preserve">, compared to </w:t>
      </w:r>
      <w:r w:rsidR="00A43F99" w:rsidRPr="009E2511">
        <w:rPr>
          <w:rFonts w:ascii="Arial" w:eastAsia="Arial" w:hAnsi="Arial" w:cs="Arial"/>
          <w:iCs/>
          <w:color w:val="auto"/>
          <w:spacing w:val="-2"/>
          <w:lang w:eastAsia="en-US"/>
        </w:rPr>
        <w:t>$0.1</w:t>
      </w:r>
      <w:r w:rsidR="004F4DC9" w:rsidRPr="009E2511">
        <w:rPr>
          <w:rFonts w:ascii="Arial" w:eastAsia="Arial" w:hAnsi="Arial" w:cs="Arial"/>
          <w:iCs/>
          <w:color w:val="auto"/>
          <w:spacing w:val="-2"/>
          <w:lang w:eastAsia="en-US"/>
        </w:rPr>
        <w:t xml:space="preserve"> million in 2024</w:t>
      </w:r>
      <w:r w:rsidRPr="009E2511">
        <w:rPr>
          <w:rFonts w:ascii="Arial" w:eastAsia="Arial" w:hAnsi="Arial" w:cs="Arial"/>
          <w:iCs/>
          <w:color w:val="auto"/>
          <w:spacing w:val="-2"/>
          <w:lang w:eastAsia="en-US"/>
        </w:rPr>
        <w:t>. In 2025, the loss was attributable to a $1.4 million loss from our 80% interest in Ecogas, a $0.1 million loss from our 34% interest in Windward, an additional $0.8 million loss from our 25% interest in Bergen and a $0.</w:t>
      </w:r>
      <w:r w:rsidR="00B53544" w:rsidRPr="009E2511">
        <w:rPr>
          <w:rFonts w:ascii="Arial" w:eastAsia="Arial" w:hAnsi="Arial" w:cs="Arial"/>
          <w:iCs/>
          <w:color w:val="auto"/>
          <w:spacing w:val="-2"/>
          <w:lang w:eastAsia="en-US"/>
        </w:rPr>
        <w:t>5</w:t>
      </w:r>
      <w:r w:rsidRPr="009E2511">
        <w:rPr>
          <w:rFonts w:ascii="Arial" w:eastAsia="Arial" w:hAnsi="Arial" w:cs="Arial"/>
          <w:iCs/>
          <w:color w:val="auto"/>
          <w:spacing w:val="-2"/>
          <w:lang w:eastAsia="en-US"/>
        </w:rPr>
        <w:t xml:space="preserve"> million loss from our 50% interest in DWM. In 2024, the loss was attributable to a $0.5 million loss from our 45.87% interest in Windward, which was </w:t>
      </w:r>
      <w:r w:rsidR="00AA560E">
        <w:rPr>
          <w:rFonts w:ascii="Arial" w:eastAsia="Arial" w:hAnsi="Arial" w:cs="Arial"/>
          <w:iCs/>
          <w:color w:val="auto"/>
          <w:spacing w:val="-2"/>
          <w:lang w:eastAsia="en-US"/>
        </w:rPr>
        <w:t xml:space="preserve">partially </w:t>
      </w:r>
      <w:r w:rsidRPr="009E2511">
        <w:rPr>
          <w:rFonts w:ascii="Arial" w:eastAsia="Arial" w:hAnsi="Arial" w:cs="Arial"/>
          <w:iCs/>
          <w:color w:val="auto"/>
          <w:spacing w:val="-2"/>
          <w:lang w:eastAsia="en-US"/>
        </w:rPr>
        <w:t>offset by a $0.3 million gain from our 25% interest in Bergen and a $0.1 million gain from our 50% interest in DWM.</w:t>
      </w:r>
    </w:p>
    <w:p w14:paraId="71F3E6F3" w14:textId="77777777" w:rsidR="00D13ECB" w:rsidRPr="00A43F99" w:rsidRDefault="00D13ECB" w:rsidP="00E77F58">
      <w:pPr>
        <w:pStyle w:val="Char12"/>
        <w:widowControl/>
        <w:pBdr>
          <w:top w:val="nil"/>
          <w:left w:val="nil"/>
          <w:bottom w:val="nil"/>
          <w:right w:val="nil"/>
          <w:between w:val="nil"/>
          <w:bar w:val="nil"/>
        </w:pBdr>
        <w:spacing w:before="0" w:after="0"/>
        <w:rPr>
          <w:rFonts w:ascii="Arial" w:eastAsia="Arial" w:hAnsi="Arial" w:cs="Arial"/>
          <w:bdr w:val="nil"/>
        </w:rPr>
      </w:pPr>
    </w:p>
    <w:p w14:paraId="71F3E6F4" w14:textId="77777777" w:rsidR="00601753" w:rsidRPr="00E77F58" w:rsidRDefault="003A4815" w:rsidP="00E77F58">
      <w:pPr>
        <w:pStyle w:val="Heading4"/>
        <w:keepLines/>
        <w:widowControl w:val="0"/>
        <w:pBdr>
          <w:top w:val="nil"/>
          <w:left w:val="nil"/>
          <w:bottom w:val="nil"/>
          <w:right w:val="nil"/>
          <w:between w:val="nil"/>
          <w:bar w:val="nil"/>
        </w:pBdr>
        <w:rPr>
          <w:rFonts w:ascii="Arial" w:eastAsia="Arial" w:hAnsi="Arial" w:cs="Arial"/>
          <w:iCs/>
          <w:color w:val="000000"/>
          <w:bdr w:val="nil"/>
          <w:lang w:val="en-US" w:eastAsia="el-GR"/>
        </w:rPr>
      </w:pPr>
      <w:r w:rsidRPr="00E77F58">
        <w:rPr>
          <w:rFonts w:ascii="Arial" w:eastAsia="Arial" w:hAnsi="Arial" w:cs="Arial"/>
          <w:color w:val="000000"/>
          <w:szCs w:val="22"/>
          <w:bdr w:val="none" w:sz="0" w:space="0" w:color="auto" w:frame="1"/>
          <w:lang w:val="en-US" w:eastAsia="el-GR"/>
        </w:rPr>
        <w:t xml:space="preserve">Year ended December 31, </w:t>
      </w:r>
      <w:r w:rsidRPr="00E77F58">
        <w:rPr>
          <w:rFonts w:ascii="Arial" w:eastAsia="Arial" w:hAnsi="Arial" w:cs="Arial"/>
          <w:iCs/>
          <w:color w:val="000000"/>
          <w:szCs w:val="22"/>
          <w:lang w:val="en-US" w:eastAsia="el-GR"/>
        </w:rPr>
        <w:t>2024</w:t>
      </w:r>
      <w:r w:rsidRPr="00E77F58">
        <w:rPr>
          <w:rFonts w:ascii="Arial" w:eastAsia="Arial" w:hAnsi="Arial" w:cs="Arial"/>
          <w:color w:val="000000"/>
          <w:szCs w:val="22"/>
          <w:bdr w:val="none" w:sz="0" w:space="0" w:color="auto" w:frame="1"/>
          <w:lang w:val="en-US" w:eastAsia="el-GR"/>
        </w:rPr>
        <w:t xml:space="preserve"> compared to the year ended December 31, </w:t>
      </w:r>
      <w:r w:rsidRPr="00E77F58">
        <w:rPr>
          <w:rFonts w:ascii="Arial" w:eastAsia="Arial" w:hAnsi="Arial" w:cs="Arial"/>
          <w:iCs/>
          <w:color w:val="000000"/>
          <w:szCs w:val="22"/>
          <w:lang w:val="en-US" w:eastAsia="el-GR"/>
        </w:rPr>
        <w:t>2023</w:t>
      </w:r>
    </w:p>
    <w:p w14:paraId="71F3E6F5" w14:textId="77777777" w:rsidR="00601753" w:rsidRPr="00E77F58" w:rsidRDefault="00601753" w:rsidP="00E77F58">
      <w:pPr>
        <w:keepNext/>
        <w:keepLines/>
        <w:pBdr>
          <w:top w:val="nil"/>
          <w:left w:val="nil"/>
          <w:bottom w:val="nil"/>
          <w:right w:val="nil"/>
          <w:between w:val="nil"/>
          <w:bar w:val="nil"/>
        </w:pBdr>
        <w:jc w:val="both"/>
        <w:rPr>
          <w:rFonts w:ascii="Arial" w:eastAsia="Arial" w:hAnsi="Arial" w:cs="Arial"/>
          <w:bdr w:val="nil"/>
          <w:lang w:val="en-US"/>
        </w:rPr>
      </w:pPr>
    </w:p>
    <w:p w14:paraId="71F3E6F6" w14:textId="77777777" w:rsidR="000B43C9" w:rsidRPr="00E77F58" w:rsidRDefault="003A4815" w:rsidP="00E77F58">
      <w:pPr>
        <w:pBdr>
          <w:top w:val="nil"/>
          <w:left w:val="nil"/>
          <w:bottom w:val="nil"/>
          <w:right w:val="nil"/>
          <w:between w:val="nil"/>
          <w:bar w:val="nil"/>
        </w:pBdr>
        <w:jc w:val="both"/>
        <w:rPr>
          <w:rFonts w:ascii="Arial" w:eastAsia="Arial" w:hAnsi="Arial" w:cs="Arial"/>
          <w:color w:val="000000"/>
          <w:bdr w:val="nil"/>
          <w:lang w:val="en-US" w:eastAsia="el-GR"/>
        </w:rPr>
      </w:pPr>
      <w:r w:rsidRPr="00E77F58">
        <w:rPr>
          <w:rFonts w:ascii="Arial" w:eastAsia="Arial" w:hAnsi="Arial" w:cs="Arial"/>
          <w:color w:val="000000"/>
          <w:lang w:val="en-US" w:eastAsia="el-GR"/>
        </w:rPr>
        <w:t>For a discussion of the year ended December 31, </w:t>
      </w:r>
      <w:r w:rsidRPr="00E77F58">
        <w:rPr>
          <w:rFonts w:ascii="Arial" w:eastAsia="Arial" w:hAnsi="Arial" w:cs="Arial"/>
          <w:lang w:val="en-US"/>
        </w:rPr>
        <w:t>2024</w:t>
      </w:r>
      <w:r w:rsidRPr="00E77F58">
        <w:rPr>
          <w:rFonts w:ascii="Arial" w:eastAsia="Arial" w:hAnsi="Arial" w:cs="Arial"/>
          <w:color w:val="000000"/>
          <w:lang w:val="en-US" w:eastAsia="el-GR"/>
        </w:rPr>
        <w:t xml:space="preserve"> compared to the year ended December 31, </w:t>
      </w:r>
      <w:r w:rsidRPr="00E77F58">
        <w:rPr>
          <w:rFonts w:ascii="Arial" w:eastAsia="Arial" w:hAnsi="Arial" w:cs="Arial"/>
          <w:lang w:val="en-US"/>
        </w:rPr>
        <w:t>2023</w:t>
      </w:r>
      <w:r w:rsidRPr="00E77F58">
        <w:rPr>
          <w:rFonts w:ascii="Arial" w:eastAsia="Arial" w:hAnsi="Arial" w:cs="Arial"/>
          <w:color w:val="000000"/>
          <w:lang w:val="en-US" w:eastAsia="el-GR"/>
        </w:rPr>
        <w:t>, please refer to “Item 5. Operating and Financial Review and Prospects” in our Annual Report on Form 20-F, for th</w:t>
      </w:r>
      <w:r w:rsidR="000F6B06" w:rsidRPr="00E77F58">
        <w:rPr>
          <w:rFonts w:ascii="Arial" w:eastAsia="Arial" w:hAnsi="Arial" w:cs="Arial"/>
          <w:color w:val="000000"/>
          <w:lang w:val="en-US" w:eastAsia="el-GR"/>
        </w:rPr>
        <w:t xml:space="preserve">e year ended December 31, </w:t>
      </w:r>
      <w:r w:rsidRPr="00E77F58">
        <w:rPr>
          <w:rFonts w:ascii="Arial" w:eastAsia="Arial" w:hAnsi="Arial" w:cs="Arial"/>
          <w:lang w:val="en-US"/>
        </w:rPr>
        <w:t>2024</w:t>
      </w:r>
      <w:r w:rsidR="000F6B06" w:rsidRPr="00E77F58">
        <w:rPr>
          <w:rFonts w:ascii="Arial" w:eastAsia="Arial" w:hAnsi="Arial" w:cs="Arial"/>
          <w:color w:val="000000"/>
          <w:lang w:val="en-US" w:eastAsia="el-GR"/>
        </w:rPr>
        <w:t xml:space="preserve"> filed with the SEC on</w:t>
      </w:r>
      <w:r w:rsidR="00674D05">
        <w:rPr>
          <w:rFonts w:ascii="Arial" w:eastAsia="Arial" w:hAnsi="Arial" w:cs="Arial"/>
          <w:color w:val="000000"/>
          <w:lang w:val="en-US" w:eastAsia="el-GR"/>
        </w:rPr>
        <w:t xml:space="preserve"> </w:t>
      </w:r>
      <w:r w:rsidR="00CB502A">
        <w:rPr>
          <w:rFonts w:ascii="Arial" w:eastAsia="Arial" w:hAnsi="Arial" w:cs="Arial"/>
          <w:color w:val="000000"/>
          <w:lang w:val="en-US" w:eastAsia="el-GR"/>
        </w:rPr>
        <w:t>March</w:t>
      </w:r>
      <w:r w:rsidR="000F6B06" w:rsidRPr="00E77F58">
        <w:rPr>
          <w:rFonts w:ascii="Arial" w:eastAsia="Arial" w:hAnsi="Arial" w:cs="Arial"/>
          <w:color w:val="000000"/>
          <w:lang w:val="en-US" w:eastAsia="el-GR"/>
        </w:rPr>
        <w:t xml:space="preserve"> </w:t>
      </w:r>
      <w:r w:rsidR="00CB502A">
        <w:rPr>
          <w:rFonts w:ascii="Arial" w:eastAsia="Arial" w:hAnsi="Arial" w:cs="Arial"/>
          <w:color w:val="000000"/>
          <w:lang w:val="en-US" w:eastAsia="el-GR"/>
        </w:rPr>
        <w:t>21</w:t>
      </w:r>
      <w:r w:rsidR="000F6B06" w:rsidRPr="00E77F58">
        <w:rPr>
          <w:rFonts w:ascii="Arial" w:eastAsia="Arial" w:hAnsi="Arial" w:cs="Arial"/>
          <w:color w:val="000000"/>
          <w:lang w:val="en-US" w:eastAsia="el-GR"/>
        </w:rPr>
        <w:t>, 202</w:t>
      </w:r>
      <w:r w:rsidR="00CB502A">
        <w:rPr>
          <w:rFonts w:ascii="Arial" w:eastAsia="Arial" w:hAnsi="Arial" w:cs="Arial"/>
          <w:color w:val="000000"/>
          <w:lang w:val="en-US" w:eastAsia="el-GR"/>
        </w:rPr>
        <w:t>5</w:t>
      </w:r>
      <w:r w:rsidR="000F6B06" w:rsidRPr="00E77F58">
        <w:rPr>
          <w:rFonts w:ascii="Arial" w:eastAsia="Arial" w:hAnsi="Arial" w:cs="Arial"/>
          <w:color w:val="000000"/>
          <w:lang w:val="en-US" w:eastAsia="el-GR"/>
        </w:rPr>
        <w:t>.</w:t>
      </w:r>
    </w:p>
    <w:p w14:paraId="71F3E6F7"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6F8" w14:textId="77777777" w:rsidR="00581D09" w:rsidRPr="003B3C0B" w:rsidRDefault="003A4815" w:rsidP="009522FB">
      <w:pPr>
        <w:pStyle w:val="Heading2"/>
        <w:keepLines/>
        <w:pBdr>
          <w:top w:val="nil"/>
          <w:left w:val="nil"/>
          <w:bottom w:val="nil"/>
          <w:right w:val="nil"/>
          <w:between w:val="nil"/>
          <w:bar w:val="nil"/>
        </w:pBdr>
        <w:ind w:left="714"/>
        <w:rPr>
          <w:rFonts w:ascii="Arial" w:eastAsia="Arial" w:hAnsi="Arial" w:cs="Arial"/>
          <w:color w:val="auto"/>
          <w:szCs w:val="24"/>
          <w:bdr w:val="nil"/>
        </w:rPr>
      </w:pPr>
      <w:bookmarkStart w:id="164" w:name="RG_MARKER_23080"/>
      <w:r w:rsidRPr="003B3C0B">
        <w:rPr>
          <w:rFonts w:ascii="Arial" w:eastAsia="Arial" w:hAnsi="Arial" w:cs="Arial"/>
          <w:color w:val="auto"/>
          <w:szCs w:val="24"/>
          <w:lang w:eastAsia="el-GR"/>
        </w:rPr>
        <w:t>B.</w:t>
      </w:r>
      <w:bookmarkEnd w:id="164"/>
      <w:r w:rsidRPr="003B3C0B">
        <w:rPr>
          <w:rFonts w:ascii="Arial" w:eastAsia="Arial" w:hAnsi="Arial" w:cs="Arial"/>
          <w:color w:val="auto"/>
          <w:szCs w:val="24"/>
          <w:lang w:eastAsia="el-GR"/>
        </w:rPr>
        <w:tab/>
        <w:t>Liquidity and Capital Resources</w:t>
      </w:r>
    </w:p>
    <w:p w14:paraId="71F3E6F9" w14:textId="77777777" w:rsidR="00325E29" w:rsidRPr="003B3C0B" w:rsidRDefault="00325E29" w:rsidP="003B3C0B">
      <w:pPr>
        <w:keepNext/>
        <w:keepLines/>
        <w:pBdr>
          <w:top w:val="nil"/>
          <w:left w:val="nil"/>
          <w:bottom w:val="nil"/>
          <w:right w:val="nil"/>
          <w:between w:val="nil"/>
          <w:bar w:val="nil"/>
        </w:pBdr>
        <w:jc w:val="both"/>
        <w:rPr>
          <w:rFonts w:ascii="Arial" w:eastAsia="Arial" w:hAnsi="Arial" w:cs="Arial"/>
          <w:bdr w:val="nil"/>
          <w:lang w:val="en-US"/>
        </w:rPr>
      </w:pPr>
    </w:p>
    <w:p w14:paraId="71F3E6FA" w14:textId="77777777" w:rsidR="00716140" w:rsidRDefault="003A4815" w:rsidP="003B3C0B">
      <w:pPr>
        <w:pBdr>
          <w:top w:val="nil"/>
          <w:left w:val="nil"/>
          <w:bottom w:val="nil"/>
          <w:right w:val="nil"/>
          <w:between w:val="nil"/>
          <w:bar w:val="nil"/>
        </w:pBdr>
        <w:jc w:val="both"/>
        <w:rPr>
          <w:rFonts w:ascii="Arial" w:eastAsia="Arial" w:hAnsi="Arial" w:cs="Arial"/>
          <w:bdr w:val="nil"/>
          <w:lang w:val="en-US"/>
        </w:rPr>
      </w:pPr>
      <w:r w:rsidRPr="005B40A4">
        <w:rPr>
          <w:rFonts w:ascii="Arial" w:eastAsia="Arial" w:hAnsi="Arial" w:cs="Arial"/>
          <w:lang w:val="en-US"/>
        </w:rPr>
        <w:t xml:space="preserve">Historically, we finance our </w:t>
      </w:r>
      <w:r w:rsidR="0014084D" w:rsidRPr="005B40A4">
        <w:rPr>
          <w:rFonts w:ascii="Arial" w:eastAsia="Arial" w:hAnsi="Arial" w:cs="Arial"/>
          <w:lang w:val="en-US"/>
        </w:rPr>
        <w:t xml:space="preserve">short-term and long-term </w:t>
      </w:r>
      <w:r w:rsidRPr="005B40A4">
        <w:rPr>
          <w:rFonts w:ascii="Arial" w:eastAsia="Arial" w:hAnsi="Arial" w:cs="Arial"/>
          <w:lang w:val="en-US"/>
        </w:rPr>
        <w:t>capital requirements with cash from operations,</w:t>
      </w:r>
      <w:r w:rsidRPr="003B3C0B">
        <w:rPr>
          <w:rFonts w:ascii="Arial" w:eastAsia="Arial" w:hAnsi="Arial" w:cs="Arial"/>
          <w:lang w:val="en-US"/>
        </w:rPr>
        <w:t xml:space="preserve"> </w:t>
      </w:r>
      <w:r w:rsidR="0014084D">
        <w:rPr>
          <w:rFonts w:ascii="Arial" w:eastAsia="Arial" w:hAnsi="Arial" w:cs="Arial"/>
          <w:lang w:val="en-US"/>
        </w:rPr>
        <w:t xml:space="preserve">cash at banks, </w:t>
      </w:r>
      <w:r w:rsidRPr="003B3C0B">
        <w:rPr>
          <w:rFonts w:ascii="Arial" w:eastAsia="Arial" w:hAnsi="Arial" w:cs="Arial"/>
          <w:lang w:val="en-US"/>
        </w:rPr>
        <w:t xml:space="preserve">equity contributions from shareholders, long-term bank debt, finance liabilities and senior unsecured bonds. Our main uses of funds have been capital expenditures for the acquisition and construction of new vessels, expenditures incurred in connection with ensuring that our vessels comply with international and regulatory standards, repayments of bank loans, repurchase of our common stock and payment of dividends. </w:t>
      </w:r>
    </w:p>
    <w:p w14:paraId="71F3E6FB" w14:textId="77777777" w:rsidR="000561A0" w:rsidRDefault="000561A0" w:rsidP="003B3C0B">
      <w:pPr>
        <w:pBdr>
          <w:top w:val="nil"/>
          <w:left w:val="nil"/>
          <w:bottom w:val="nil"/>
          <w:right w:val="nil"/>
          <w:between w:val="nil"/>
          <w:bar w:val="nil"/>
        </w:pBdr>
        <w:jc w:val="both"/>
        <w:rPr>
          <w:rFonts w:ascii="Arial" w:eastAsia="Arial" w:hAnsi="Arial" w:cs="Arial"/>
          <w:bdr w:val="nil"/>
          <w:lang w:val="en-US"/>
        </w:rPr>
      </w:pPr>
    </w:p>
    <w:p w14:paraId="71F3E6FC" w14:textId="77777777" w:rsidR="000561A0" w:rsidRPr="000561A0" w:rsidRDefault="003A4815" w:rsidP="000561A0">
      <w:pPr>
        <w:pBdr>
          <w:top w:val="nil"/>
          <w:left w:val="nil"/>
          <w:bottom w:val="nil"/>
          <w:right w:val="nil"/>
          <w:between w:val="nil"/>
          <w:bar w:val="nil"/>
        </w:pBdr>
        <w:jc w:val="both"/>
        <w:rPr>
          <w:rFonts w:ascii="Arial" w:eastAsia="Arial" w:hAnsi="Arial" w:cs="Arial"/>
          <w:bdr w:val="nil"/>
          <w:lang w:val="en-US"/>
        </w:rPr>
      </w:pPr>
      <w:r w:rsidRPr="000561A0">
        <w:rPr>
          <w:rFonts w:ascii="Arial" w:eastAsia="Arial" w:hAnsi="Arial" w:cs="Arial"/>
          <w:lang w:val="en-US"/>
        </w:rPr>
        <w:t>Our short-term liquidity requirements include</w:t>
      </w:r>
      <w:r w:rsidR="00D66A8C">
        <w:rPr>
          <w:rFonts w:ascii="Arial" w:eastAsia="Arial" w:hAnsi="Arial" w:cs="Arial"/>
          <w:lang w:val="en-US"/>
        </w:rPr>
        <w:t xml:space="preserve"> </w:t>
      </w:r>
      <w:r w:rsidR="00B34362" w:rsidRPr="000561A0">
        <w:rPr>
          <w:rFonts w:ascii="Arial" w:eastAsia="Arial" w:hAnsi="Arial" w:cs="Arial"/>
          <w:lang w:val="en-US"/>
        </w:rPr>
        <w:t xml:space="preserve">funding </w:t>
      </w:r>
      <w:r w:rsidR="00B34362">
        <w:rPr>
          <w:rFonts w:ascii="Arial" w:eastAsia="Arial" w:hAnsi="Arial" w:cs="Arial"/>
          <w:lang w:val="en-US"/>
        </w:rPr>
        <w:t xml:space="preserve">the </w:t>
      </w:r>
      <w:r w:rsidR="00B34362" w:rsidRPr="000561A0">
        <w:rPr>
          <w:rFonts w:ascii="Arial" w:eastAsia="Arial" w:hAnsi="Arial" w:cs="Arial"/>
          <w:lang w:val="en-US"/>
        </w:rPr>
        <w:t>installments</w:t>
      </w:r>
      <w:r w:rsidR="00B34362">
        <w:rPr>
          <w:rFonts w:ascii="Arial" w:eastAsia="Arial" w:hAnsi="Arial" w:cs="Arial"/>
          <w:lang w:val="en-US"/>
        </w:rPr>
        <w:t xml:space="preserve"> for the </w:t>
      </w:r>
      <w:r w:rsidR="00466B02">
        <w:rPr>
          <w:rFonts w:ascii="Arial" w:eastAsia="Arial" w:hAnsi="Arial" w:cs="Arial"/>
          <w:lang w:val="en-US"/>
        </w:rPr>
        <w:t>construction</w:t>
      </w:r>
      <w:r w:rsidR="00B34362">
        <w:rPr>
          <w:rFonts w:ascii="Arial" w:eastAsia="Arial" w:hAnsi="Arial" w:cs="Arial"/>
          <w:lang w:val="en-US"/>
        </w:rPr>
        <w:t xml:space="preserve"> of two vessels with expected deliveries in 2027 and 2028, </w:t>
      </w:r>
      <w:r w:rsidR="00C82123">
        <w:rPr>
          <w:rFonts w:ascii="Arial" w:eastAsia="Arial" w:hAnsi="Arial" w:cs="Arial"/>
          <w:lang w:val="en-US"/>
        </w:rPr>
        <w:t xml:space="preserve">funding the construction of an office building, </w:t>
      </w:r>
      <w:r w:rsidR="00B34362">
        <w:rPr>
          <w:rFonts w:ascii="Arial" w:eastAsia="Arial" w:hAnsi="Arial" w:cs="Arial"/>
          <w:lang w:val="en-US"/>
        </w:rPr>
        <w:t>payment</w:t>
      </w:r>
      <w:r w:rsidR="00C82123">
        <w:rPr>
          <w:rFonts w:ascii="Arial" w:eastAsia="Arial" w:hAnsi="Arial" w:cs="Arial"/>
          <w:lang w:val="en-US"/>
        </w:rPr>
        <w:t>s</w:t>
      </w:r>
      <w:r w:rsidR="00B34362">
        <w:rPr>
          <w:rFonts w:ascii="Arial" w:eastAsia="Arial" w:hAnsi="Arial" w:cs="Arial"/>
          <w:lang w:val="en-US"/>
        </w:rPr>
        <w:t xml:space="preserve"> of committed</w:t>
      </w:r>
      <w:r w:rsidR="00466B02">
        <w:rPr>
          <w:rFonts w:ascii="Arial" w:eastAsia="Arial" w:hAnsi="Arial" w:cs="Arial"/>
          <w:lang w:val="en-US"/>
        </w:rPr>
        <w:t xml:space="preserve"> </w:t>
      </w:r>
      <w:r w:rsidR="00B34362">
        <w:rPr>
          <w:rFonts w:ascii="Arial" w:eastAsia="Arial" w:hAnsi="Arial" w:cs="Arial"/>
          <w:lang w:val="en-US"/>
        </w:rPr>
        <w:t>capital under the terms of our joint venture</w:t>
      </w:r>
      <w:r w:rsidR="003511CD">
        <w:rPr>
          <w:rFonts w:ascii="Arial" w:eastAsia="Arial" w:hAnsi="Arial" w:cs="Arial"/>
          <w:lang w:val="en-US"/>
        </w:rPr>
        <w:t>s</w:t>
      </w:r>
      <w:r w:rsidR="00B34362">
        <w:rPr>
          <w:rFonts w:ascii="Arial" w:eastAsia="Arial" w:hAnsi="Arial" w:cs="Arial"/>
          <w:lang w:val="en-US"/>
        </w:rPr>
        <w:t xml:space="preserve"> </w:t>
      </w:r>
      <w:r w:rsidR="00E82CDF">
        <w:rPr>
          <w:rFonts w:ascii="Arial" w:eastAsia="Arial" w:hAnsi="Arial" w:cs="Arial"/>
          <w:lang w:val="en-US"/>
        </w:rPr>
        <w:t>in Windward</w:t>
      </w:r>
      <w:r w:rsidR="00A555A2">
        <w:rPr>
          <w:rFonts w:ascii="Arial" w:eastAsia="Arial" w:hAnsi="Arial" w:cs="Arial"/>
          <w:lang w:val="en-US"/>
        </w:rPr>
        <w:t xml:space="preserve"> and Ecogas</w:t>
      </w:r>
      <w:r w:rsidR="00E82CDF">
        <w:rPr>
          <w:rFonts w:ascii="Arial" w:eastAsia="Arial" w:hAnsi="Arial" w:cs="Arial"/>
          <w:lang w:val="en-US"/>
        </w:rPr>
        <w:t xml:space="preserve">, </w:t>
      </w:r>
      <w:r w:rsidR="00E82CDF" w:rsidRPr="003B3C0B">
        <w:rPr>
          <w:rFonts w:ascii="Arial" w:eastAsia="Arial" w:hAnsi="Arial" w:cs="Arial"/>
          <w:lang w:val="en-US"/>
        </w:rPr>
        <w:t xml:space="preserve">expenditures </w:t>
      </w:r>
      <w:r w:rsidR="00E82CDF">
        <w:rPr>
          <w:rFonts w:ascii="Arial" w:eastAsia="Arial" w:hAnsi="Arial" w:cs="Arial"/>
          <w:lang w:val="en-US"/>
        </w:rPr>
        <w:t xml:space="preserve">relating to </w:t>
      </w:r>
      <w:r w:rsidR="00B34362">
        <w:rPr>
          <w:rFonts w:ascii="Arial" w:eastAsia="Arial" w:hAnsi="Arial" w:cs="Arial"/>
          <w:lang w:val="en-US"/>
        </w:rPr>
        <w:t xml:space="preserve">scheduled </w:t>
      </w:r>
      <w:r w:rsidR="00E82CDF">
        <w:rPr>
          <w:rFonts w:ascii="Arial" w:eastAsia="Arial" w:hAnsi="Arial" w:cs="Arial"/>
          <w:lang w:val="en-US"/>
        </w:rPr>
        <w:t>drydock</w:t>
      </w:r>
      <w:r w:rsidR="00B34362">
        <w:rPr>
          <w:rFonts w:ascii="Arial" w:eastAsia="Arial" w:hAnsi="Arial" w:cs="Arial"/>
          <w:lang w:val="en-US"/>
        </w:rPr>
        <w:t xml:space="preserve"> and special surveys </w:t>
      </w:r>
      <w:r w:rsidR="00E82CDF">
        <w:rPr>
          <w:rFonts w:ascii="Arial" w:eastAsia="Arial" w:hAnsi="Arial" w:cs="Arial"/>
          <w:lang w:val="en-US"/>
        </w:rPr>
        <w:t xml:space="preserve">of </w:t>
      </w:r>
      <w:r w:rsidR="00B34362">
        <w:rPr>
          <w:rFonts w:ascii="Arial" w:eastAsia="Arial" w:hAnsi="Arial" w:cs="Arial"/>
          <w:lang w:val="en-US"/>
        </w:rPr>
        <w:t xml:space="preserve">our </w:t>
      </w:r>
      <w:r w:rsidR="00E82CDF" w:rsidRPr="003B3C0B">
        <w:rPr>
          <w:rFonts w:ascii="Arial" w:eastAsia="Arial" w:hAnsi="Arial" w:cs="Arial"/>
          <w:lang w:val="en-US"/>
        </w:rPr>
        <w:t xml:space="preserve">vessels </w:t>
      </w:r>
      <w:r w:rsidR="00E82CDF">
        <w:rPr>
          <w:rFonts w:ascii="Arial" w:eastAsia="Arial" w:hAnsi="Arial" w:cs="Arial"/>
          <w:lang w:val="en-US"/>
        </w:rPr>
        <w:t xml:space="preserve">to </w:t>
      </w:r>
      <w:r w:rsidR="00E82CDF" w:rsidRPr="003B3C0B">
        <w:rPr>
          <w:rFonts w:ascii="Arial" w:eastAsia="Arial" w:hAnsi="Arial" w:cs="Arial"/>
          <w:lang w:val="en-US"/>
        </w:rPr>
        <w:t xml:space="preserve">comply with international and regulatory standards, </w:t>
      </w:r>
      <w:r w:rsidR="00B34362">
        <w:rPr>
          <w:rFonts w:ascii="Arial" w:eastAsia="Arial" w:hAnsi="Arial" w:cs="Arial"/>
          <w:lang w:val="en-US"/>
        </w:rPr>
        <w:t xml:space="preserve">payments of interest and principal installments under our </w:t>
      </w:r>
      <w:r w:rsidR="00E82CDF" w:rsidRPr="003B3C0B">
        <w:rPr>
          <w:rFonts w:ascii="Arial" w:eastAsia="Arial" w:hAnsi="Arial" w:cs="Arial"/>
          <w:lang w:val="en-US"/>
        </w:rPr>
        <w:t>bank loans</w:t>
      </w:r>
      <w:r w:rsidR="00C82123">
        <w:rPr>
          <w:rFonts w:ascii="Arial" w:eastAsia="Arial" w:hAnsi="Arial" w:cs="Arial"/>
          <w:lang w:val="en-US"/>
        </w:rPr>
        <w:t>, our bond,</w:t>
      </w:r>
      <w:r w:rsidR="00466B02">
        <w:rPr>
          <w:rFonts w:ascii="Arial" w:eastAsia="Arial" w:hAnsi="Arial" w:cs="Arial"/>
          <w:lang w:val="en-US"/>
        </w:rPr>
        <w:t xml:space="preserve"> and lease agreements and </w:t>
      </w:r>
      <w:r w:rsidR="00E82CDF" w:rsidRPr="003B3C0B">
        <w:rPr>
          <w:rFonts w:ascii="Arial" w:eastAsia="Arial" w:hAnsi="Arial" w:cs="Arial"/>
          <w:lang w:val="en-US"/>
        </w:rPr>
        <w:t>payment of dividends</w:t>
      </w:r>
      <w:r w:rsidR="00C82123">
        <w:rPr>
          <w:rFonts w:ascii="Arial" w:eastAsia="Arial" w:hAnsi="Arial" w:cs="Arial"/>
          <w:lang w:val="en-US"/>
        </w:rPr>
        <w:t>, common and preferred</w:t>
      </w:r>
      <w:r w:rsidRPr="000561A0">
        <w:rPr>
          <w:rFonts w:ascii="Arial" w:eastAsia="Arial" w:hAnsi="Arial" w:cs="Arial"/>
          <w:lang w:val="en-US"/>
        </w:rPr>
        <w:t xml:space="preserve">. Our primary sources of short-term liquidity </w:t>
      </w:r>
      <w:r>
        <w:rPr>
          <w:rFonts w:ascii="Arial" w:eastAsia="Arial" w:hAnsi="Arial" w:cs="Arial"/>
          <w:lang w:val="en-US"/>
        </w:rPr>
        <w:t>include</w:t>
      </w:r>
      <w:r w:rsidRPr="000561A0">
        <w:rPr>
          <w:rFonts w:ascii="Arial" w:eastAsia="Arial" w:hAnsi="Arial" w:cs="Arial"/>
          <w:lang w:val="en-US"/>
        </w:rPr>
        <w:t xml:space="preserve"> cash generated from operating activities, available cash balances</w:t>
      </w:r>
      <w:r w:rsidR="00C82123">
        <w:rPr>
          <w:rFonts w:ascii="Arial" w:eastAsia="Arial" w:hAnsi="Arial" w:cs="Arial"/>
          <w:lang w:val="en-US"/>
        </w:rPr>
        <w:t>,</w:t>
      </w:r>
      <w:r w:rsidRPr="000561A0">
        <w:rPr>
          <w:rFonts w:ascii="Arial" w:eastAsia="Arial" w:hAnsi="Arial" w:cs="Arial"/>
          <w:lang w:val="en-US"/>
        </w:rPr>
        <w:t xml:space="preserve"> </w:t>
      </w:r>
      <w:r>
        <w:rPr>
          <w:rFonts w:ascii="Arial" w:eastAsia="Arial" w:hAnsi="Arial" w:cs="Arial"/>
          <w:lang w:val="en-US"/>
        </w:rPr>
        <w:t xml:space="preserve">proceeds from the exercise of </w:t>
      </w:r>
      <w:r w:rsidR="00B34362">
        <w:rPr>
          <w:rFonts w:ascii="Arial" w:eastAsia="Arial" w:hAnsi="Arial" w:cs="Arial"/>
          <w:lang w:val="en-US"/>
        </w:rPr>
        <w:t>warrants</w:t>
      </w:r>
      <w:r>
        <w:rPr>
          <w:rFonts w:ascii="Arial" w:eastAsia="Arial" w:hAnsi="Arial" w:cs="Arial"/>
          <w:lang w:val="en-US"/>
        </w:rPr>
        <w:t xml:space="preserve"> </w:t>
      </w:r>
      <w:r w:rsidR="00C82123">
        <w:rPr>
          <w:rFonts w:ascii="Arial" w:eastAsia="Arial" w:hAnsi="Arial" w:cs="Arial"/>
          <w:lang w:val="en-US"/>
        </w:rPr>
        <w:t>and vessel sales</w:t>
      </w:r>
      <w:r w:rsidRPr="000561A0">
        <w:rPr>
          <w:rFonts w:ascii="Arial" w:eastAsia="Arial" w:hAnsi="Arial" w:cs="Arial"/>
          <w:lang w:val="en-US"/>
        </w:rPr>
        <w:t>.</w:t>
      </w:r>
    </w:p>
    <w:p w14:paraId="71F3E6FD" w14:textId="77777777" w:rsidR="000561A0" w:rsidRPr="000561A0" w:rsidRDefault="003A4815" w:rsidP="000561A0">
      <w:pPr>
        <w:pBdr>
          <w:top w:val="nil"/>
          <w:left w:val="nil"/>
          <w:bottom w:val="nil"/>
          <w:right w:val="nil"/>
          <w:between w:val="nil"/>
          <w:bar w:val="nil"/>
        </w:pBdr>
        <w:jc w:val="both"/>
        <w:rPr>
          <w:rFonts w:ascii="Arial" w:eastAsia="Arial" w:hAnsi="Arial" w:cs="Arial"/>
          <w:bdr w:val="nil"/>
          <w:lang w:val="en-US"/>
        </w:rPr>
      </w:pPr>
      <w:r w:rsidRPr="000561A0">
        <w:rPr>
          <w:rFonts w:ascii="Arial" w:eastAsia="Arial" w:hAnsi="Arial" w:cs="Arial"/>
          <w:lang w:val="en-US"/>
        </w:rPr>
        <w:t> </w:t>
      </w:r>
    </w:p>
    <w:p w14:paraId="71F3E6FE" w14:textId="77777777" w:rsidR="000561A0" w:rsidRDefault="003A4815" w:rsidP="003B3C0B">
      <w:pPr>
        <w:pBdr>
          <w:top w:val="nil"/>
          <w:left w:val="nil"/>
          <w:bottom w:val="nil"/>
          <w:right w:val="nil"/>
          <w:between w:val="nil"/>
          <w:bar w:val="nil"/>
        </w:pBdr>
        <w:jc w:val="both"/>
        <w:rPr>
          <w:rFonts w:ascii="Arial" w:eastAsia="Arial" w:hAnsi="Arial" w:cs="Arial"/>
          <w:bdr w:val="nil"/>
          <w:lang w:val="en-US"/>
        </w:rPr>
      </w:pPr>
      <w:bookmarkStart w:id="165" w:name="_Hlk192757832"/>
      <w:r w:rsidRPr="000561A0">
        <w:rPr>
          <w:rFonts w:ascii="Arial" w:eastAsia="Arial" w:hAnsi="Arial" w:cs="Arial"/>
          <w:lang w:val="en-US"/>
        </w:rPr>
        <w:t xml:space="preserve">Our long-term liquidity requirements </w:t>
      </w:r>
      <w:r>
        <w:rPr>
          <w:rFonts w:ascii="Arial" w:eastAsia="Arial" w:hAnsi="Arial" w:cs="Arial"/>
          <w:lang w:val="en-US"/>
        </w:rPr>
        <w:t xml:space="preserve">include </w:t>
      </w:r>
      <w:r w:rsidRPr="000561A0">
        <w:rPr>
          <w:rFonts w:ascii="Arial" w:eastAsia="Arial" w:hAnsi="Arial" w:cs="Arial"/>
          <w:lang w:val="en-US"/>
        </w:rPr>
        <w:t xml:space="preserve">funding </w:t>
      </w:r>
      <w:r w:rsidR="00F74B1E" w:rsidRPr="000561A0">
        <w:rPr>
          <w:rFonts w:ascii="Arial" w:eastAsia="Arial" w:hAnsi="Arial" w:cs="Arial"/>
          <w:lang w:val="en-US"/>
        </w:rPr>
        <w:t>our newbuilding vessel installments</w:t>
      </w:r>
      <w:r>
        <w:rPr>
          <w:rFonts w:ascii="Arial" w:eastAsia="Arial" w:hAnsi="Arial" w:cs="Arial"/>
          <w:lang w:val="en-US"/>
        </w:rPr>
        <w:t>,</w:t>
      </w:r>
      <w:r w:rsidR="00D66A8C">
        <w:rPr>
          <w:rFonts w:ascii="Arial" w:eastAsia="Arial" w:hAnsi="Arial" w:cs="Arial"/>
          <w:lang w:val="en-US"/>
        </w:rPr>
        <w:t xml:space="preserve"> </w:t>
      </w:r>
      <w:r w:rsidR="00D66A8C" w:rsidRPr="000561A0">
        <w:rPr>
          <w:rFonts w:ascii="Arial" w:eastAsia="Arial" w:hAnsi="Arial" w:cs="Arial"/>
          <w:lang w:val="en-US"/>
        </w:rPr>
        <w:t>interest and principal payments on outstanding debt</w:t>
      </w:r>
      <w:r w:rsidR="003511CD">
        <w:rPr>
          <w:rFonts w:ascii="Arial" w:eastAsia="Arial" w:hAnsi="Arial" w:cs="Arial"/>
          <w:lang w:val="en-US"/>
        </w:rPr>
        <w:t>, bond,</w:t>
      </w:r>
      <w:r w:rsidR="00C82123">
        <w:rPr>
          <w:rFonts w:ascii="Arial" w:eastAsia="Arial" w:hAnsi="Arial" w:cs="Arial"/>
          <w:lang w:val="en-US"/>
        </w:rPr>
        <w:t xml:space="preserve"> and lease agreements</w:t>
      </w:r>
      <w:r>
        <w:rPr>
          <w:rFonts w:ascii="Arial" w:eastAsia="Arial" w:hAnsi="Arial" w:cs="Arial"/>
          <w:lang w:val="en-US"/>
        </w:rPr>
        <w:t xml:space="preserve">, </w:t>
      </w:r>
      <w:r w:rsidR="003511CD">
        <w:rPr>
          <w:rFonts w:ascii="Arial" w:eastAsia="Arial" w:hAnsi="Arial" w:cs="Arial"/>
          <w:lang w:val="en-US"/>
        </w:rPr>
        <w:t xml:space="preserve">loan maturities, </w:t>
      </w:r>
      <w:r>
        <w:rPr>
          <w:rFonts w:ascii="Arial" w:eastAsia="Arial" w:hAnsi="Arial" w:cs="Arial"/>
          <w:lang w:val="en-US"/>
        </w:rPr>
        <w:t>pa</w:t>
      </w:r>
      <w:r w:rsidRPr="000561A0">
        <w:rPr>
          <w:rFonts w:ascii="Arial" w:eastAsia="Arial" w:hAnsi="Arial" w:cs="Arial"/>
          <w:lang w:val="en-US"/>
        </w:rPr>
        <w:t>yment of dividends</w:t>
      </w:r>
      <w:r w:rsidR="00B34362">
        <w:rPr>
          <w:rFonts w:ascii="Arial" w:eastAsia="Arial" w:hAnsi="Arial" w:cs="Arial"/>
          <w:lang w:val="en-US"/>
        </w:rPr>
        <w:t xml:space="preserve">, </w:t>
      </w:r>
      <w:r w:rsidR="003511CD">
        <w:rPr>
          <w:rFonts w:ascii="Arial" w:eastAsia="Arial" w:hAnsi="Arial" w:cs="Arial"/>
          <w:lang w:val="en-US"/>
        </w:rPr>
        <w:t xml:space="preserve">common and preferred, </w:t>
      </w:r>
      <w:r w:rsidR="00B34362">
        <w:rPr>
          <w:rFonts w:ascii="Arial" w:eastAsia="Arial" w:hAnsi="Arial" w:cs="Arial"/>
          <w:lang w:val="en-US"/>
        </w:rPr>
        <w:t>if declared by the board of directors</w:t>
      </w:r>
      <w:r>
        <w:rPr>
          <w:rFonts w:ascii="Arial" w:eastAsia="Arial" w:hAnsi="Arial" w:cs="Arial"/>
          <w:lang w:val="en-US"/>
        </w:rPr>
        <w:t xml:space="preserve">, </w:t>
      </w:r>
      <w:r w:rsidRPr="003B0BE8">
        <w:rPr>
          <w:rFonts w:ascii="Arial" w:eastAsia="Arial" w:hAnsi="Arial" w:cs="Arial"/>
          <w:lang w:val="en-US"/>
        </w:rPr>
        <w:t>expenditures</w:t>
      </w:r>
      <w:r w:rsidR="003511CD">
        <w:rPr>
          <w:rFonts w:ascii="Arial" w:eastAsia="Arial" w:hAnsi="Arial" w:cs="Arial"/>
          <w:lang w:val="en-US"/>
        </w:rPr>
        <w:t xml:space="preserve"> for </w:t>
      </w:r>
      <w:r>
        <w:rPr>
          <w:rFonts w:ascii="Arial" w:eastAsia="Arial" w:hAnsi="Arial" w:cs="Arial"/>
          <w:lang w:val="en-US"/>
        </w:rPr>
        <w:t xml:space="preserve">drydock </w:t>
      </w:r>
      <w:r w:rsidR="00C82123">
        <w:rPr>
          <w:rFonts w:ascii="Arial" w:eastAsia="Arial" w:hAnsi="Arial" w:cs="Arial"/>
          <w:lang w:val="en-US"/>
        </w:rPr>
        <w:t>and special surveys as they become due</w:t>
      </w:r>
      <w:r w:rsidRPr="000561A0">
        <w:rPr>
          <w:rFonts w:ascii="Arial" w:eastAsia="Arial" w:hAnsi="Arial" w:cs="Arial"/>
          <w:lang w:val="en-US"/>
        </w:rPr>
        <w:t xml:space="preserve">. Sources of funding for our long-term liquidity requirements include cash flows from operations, </w:t>
      </w:r>
      <w:r w:rsidR="003511CD">
        <w:rPr>
          <w:rFonts w:ascii="Arial" w:eastAsia="Arial" w:hAnsi="Arial" w:cs="Arial"/>
          <w:lang w:val="en-US"/>
        </w:rPr>
        <w:t xml:space="preserve">available cash balances, </w:t>
      </w:r>
      <w:r w:rsidRPr="000561A0">
        <w:rPr>
          <w:rFonts w:ascii="Arial" w:eastAsia="Arial" w:hAnsi="Arial" w:cs="Arial"/>
          <w:lang w:val="en-US"/>
        </w:rPr>
        <w:t>bank borrowings, issuance of debt and equity securities, and vessel sales</w:t>
      </w:r>
      <w:bookmarkEnd w:id="165"/>
      <w:r>
        <w:rPr>
          <w:rFonts w:ascii="Arial" w:eastAsia="Arial" w:hAnsi="Arial" w:cs="Arial"/>
          <w:lang w:val="en-US"/>
        </w:rPr>
        <w:t>.</w:t>
      </w:r>
    </w:p>
    <w:p w14:paraId="71F3E6FF" w14:textId="77777777" w:rsidR="004C3E31" w:rsidRDefault="004C3E31" w:rsidP="001E7FDE">
      <w:pPr>
        <w:pBdr>
          <w:top w:val="nil"/>
          <w:left w:val="nil"/>
          <w:bottom w:val="nil"/>
          <w:right w:val="nil"/>
          <w:between w:val="nil"/>
          <w:bar w:val="nil"/>
        </w:pBdr>
        <w:jc w:val="both"/>
        <w:rPr>
          <w:rFonts w:ascii="Arial" w:eastAsia="Arial" w:hAnsi="Arial" w:cs="Arial"/>
          <w:bdr w:val="nil"/>
          <w:lang w:val="en-US"/>
        </w:rPr>
      </w:pPr>
    </w:p>
    <w:p w14:paraId="71F3E700" w14:textId="77777777" w:rsidR="004C3E31" w:rsidRPr="003B3C0B" w:rsidRDefault="003A4815" w:rsidP="001E7FDE">
      <w:pPr>
        <w:pBdr>
          <w:top w:val="nil"/>
          <w:left w:val="nil"/>
          <w:bottom w:val="nil"/>
          <w:right w:val="nil"/>
          <w:between w:val="nil"/>
          <w:bar w:val="nil"/>
        </w:pBdr>
        <w:jc w:val="both"/>
        <w:rPr>
          <w:rFonts w:ascii="Arial" w:eastAsia="Arial" w:hAnsi="Arial" w:cs="Arial"/>
          <w:bdr w:val="nil"/>
          <w:lang w:val="en-US"/>
        </w:rPr>
      </w:pPr>
      <w:r w:rsidRPr="003B3C0B">
        <w:rPr>
          <w:rFonts w:ascii="Arial" w:eastAsia="Arial" w:hAnsi="Arial" w:cs="Arial"/>
          <w:lang w:val="en-US"/>
        </w:rPr>
        <w:t xml:space="preserve">As of December 31, 2025 and 2024, working capital, </w:t>
      </w:r>
      <w:r w:rsidR="001A2DA6">
        <w:rPr>
          <w:rFonts w:ascii="Arial" w:eastAsia="Arial" w:hAnsi="Arial" w:cs="Arial"/>
          <w:lang w:val="en-US"/>
        </w:rPr>
        <w:t>defined as</w:t>
      </w:r>
      <w:r w:rsidRPr="003B3C0B">
        <w:rPr>
          <w:rFonts w:ascii="Arial" w:eastAsia="Arial" w:hAnsi="Arial" w:cs="Arial"/>
          <w:lang w:val="en-US"/>
        </w:rPr>
        <w:t xml:space="preserve"> current assets minus current liabilities, including the current portion of long-term debt and finance liabilities, amounted to $155.3 million and $126.4 million, respectively.</w:t>
      </w:r>
      <w:r>
        <w:rPr>
          <w:rFonts w:ascii="Arial" w:eastAsia="Arial" w:hAnsi="Arial" w:cs="Arial"/>
          <w:lang w:val="en-US"/>
        </w:rPr>
        <w:t xml:space="preserve"> </w:t>
      </w:r>
      <w:r w:rsidRPr="004C3E31">
        <w:rPr>
          <w:rFonts w:ascii="Arial" w:eastAsia="Arial" w:hAnsi="Arial" w:cs="Arial"/>
          <w:lang w:val="en-US"/>
        </w:rPr>
        <w:t xml:space="preserve">The increase in working capital was primarily driven by a $118.2 million increase in investments in equity securities </w:t>
      </w:r>
      <w:r>
        <w:rPr>
          <w:rFonts w:ascii="Arial" w:eastAsia="Arial" w:hAnsi="Arial" w:cs="Arial"/>
          <w:lang w:val="en-US"/>
        </w:rPr>
        <w:t>related to</w:t>
      </w:r>
      <w:r w:rsidRPr="004C3E31">
        <w:rPr>
          <w:rFonts w:ascii="Arial" w:eastAsia="Arial" w:hAnsi="Arial" w:cs="Arial"/>
          <w:lang w:val="en-US"/>
        </w:rPr>
        <w:t xml:space="preserve"> </w:t>
      </w:r>
      <w:r w:rsidR="003511CD">
        <w:rPr>
          <w:rFonts w:ascii="Arial" w:eastAsia="Arial" w:hAnsi="Arial" w:cs="Arial"/>
          <w:lang w:val="en-US"/>
        </w:rPr>
        <w:t xml:space="preserve">the acquisition of 14.8% ownership interest in </w:t>
      </w:r>
      <w:r w:rsidRPr="004C3E31">
        <w:rPr>
          <w:rFonts w:ascii="Arial" w:eastAsia="Arial" w:hAnsi="Arial" w:cs="Arial"/>
          <w:lang w:val="en-US"/>
        </w:rPr>
        <w:t xml:space="preserve">Genco. </w:t>
      </w:r>
      <w:r w:rsidR="001A2DA6">
        <w:rPr>
          <w:rFonts w:ascii="Arial" w:eastAsia="Arial" w:hAnsi="Arial" w:cs="Arial"/>
          <w:lang w:val="en-US"/>
        </w:rPr>
        <w:t>Working capital also</w:t>
      </w:r>
      <w:r>
        <w:rPr>
          <w:rFonts w:ascii="Arial" w:eastAsia="Arial" w:hAnsi="Arial" w:cs="Arial"/>
          <w:lang w:val="en-US"/>
        </w:rPr>
        <w:t xml:space="preserve"> increase</w:t>
      </w:r>
      <w:r w:rsidR="001A2DA6">
        <w:rPr>
          <w:rFonts w:ascii="Arial" w:eastAsia="Arial" w:hAnsi="Arial" w:cs="Arial"/>
          <w:lang w:val="en-US"/>
        </w:rPr>
        <w:t>d</w:t>
      </w:r>
      <w:r>
        <w:rPr>
          <w:rFonts w:ascii="Arial" w:eastAsia="Arial" w:hAnsi="Arial" w:cs="Arial"/>
          <w:lang w:val="en-US"/>
        </w:rPr>
        <w:t xml:space="preserve"> </w:t>
      </w:r>
      <w:r w:rsidR="001A2DA6">
        <w:rPr>
          <w:rFonts w:ascii="Arial" w:eastAsia="Arial" w:hAnsi="Arial" w:cs="Arial"/>
          <w:lang w:val="en-US"/>
        </w:rPr>
        <w:t>by</w:t>
      </w:r>
      <w:r w:rsidRPr="004C3E31">
        <w:rPr>
          <w:rFonts w:ascii="Arial" w:eastAsia="Arial" w:hAnsi="Arial" w:cs="Arial"/>
          <w:lang w:val="en-US"/>
        </w:rPr>
        <w:t xml:space="preserve"> $4.</w:t>
      </w:r>
      <w:r w:rsidR="00B34362">
        <w:rPr>
          <w:rFonts w:ascii="Arial" w:eastAsia="Arial" w:hAnsi="Arial" w:cs="Arial"/>
          <w:lang w:val="en-US"/>
        </w:rPr>
        <w:t>2</w:t>
      </w:r>
      <w:r w:rsidRPr="004C3E31">
        <w:rPr>
          <w:rFonts w:ascii="Arial" w:eastAsia="Arial" w:hAnsi="Arial" w:cs="Arial"/>
          <w:lang w:val="en-US"/>
        </w:rPr>
        <w:t xml:space="preserve"> million </w:t>
      </w:r>
      <w:r w:rsidR="001A2DA6" w:rsidRPr="001A2DA6">
        <w:rPr>
          <w:rFonts w:ascii="Arial" w:eastAsia="Arial" w:hAnsi="Arial" w:cs="Arial"/>
          <w:lang w:val="en-US"/>
        </w:rPr>
        <w:t>due to the rec</w:t>
      </w:r>
      <w:r w:rsidR="001A2DA6">
        <w:rPr>
          <w:rFonts w:ascii="Arial" w:eastAsia="Arial" w:hAnsi="Arial" w:cs="Arial"/>
          <w:lang w:val="en-US"/>
        </w:rPr>
        <w:t>lassification</w:t>
      </w:r>
      <w:r w:rsidR="001A2DA6" w:rsidRPr="001A2DA6">
        <w:rPr>
          <w:rFonts w:ascii="Arial" w:eastAsia="Arial" w:hAnsi="Arial" w:cs="Arial"/>
          <w:lang w:val="en-US"/>
        </w:rPr>
        <w:t xml:space="preserve"> of </w:t>
      </w:r>
      <w:r w:rsidR="003511CD">
        <w:rPr>
          <w:rFonts w:ascii="Arial" w:eastAsia="Arial" w:hAnsi="Arial" w:cs="Arial"/>
          <w:lang w:val="en-US"/>
        </w:rPr>
        <w:t xml:space="preserve">our </w:t>
      </w:r>
      <w:r w:rsidR="001A2DA6" w:rsidRPr="001A2DA6">
        <w:rPr>
          <w:rFonts w:ascii="Arial" w:eastAsia="Arial" w:hAnsi="Arial" w:cs="Arial"/>
          <w:lang w:val="en-US"/>
        </w:rPr>
        <w:t xml:space="preserve">equity method investment </w:t>
      </w:r>
      <w:r w:rsidR="003511CD">
        <w:rPr>
          <w:rFonts w:ascii="Arial" w:eastAsia="Arial" w:hAnsi="Arial" w:cs="Arial"/>
          <w:lang w:val="en-US"/>
        </w:rPr>
        <w:t xml:space="preserve">in Bergen </w:t>
      </w:r>
      <w:r w:rsidR="001A2DA6" w:rsidRPr="001A2DA6">
        <w:rPr>
          <w:rFonts w:ascii="Arial" w:eastAsia="Arial" w:hAnsi="Arial" w:cs="Arial"/>
          <w:lang w:val="en-US"/>
        </w:rPr>
        <w:t xml:space="preserve">as current, </w:t>
      </w:r>
      <w:r w:rsidR="003511CD">
        <w:rPr>
          <w:rFonts w:ascii="Arial" w:eastAsia="Arial" w:hAnsi="Arial" w:cs="Arial"/>
          <w:lang w:val="en-US"/>
        </w:rPr>
        <w:t xml:space="preserve">resulting from </w:t>
      </w:r>
      <w:r w:rsidR="001A2DA6" w:rsidRPr="001A2DA6">
        <w:rPr>
          <w:rFonts w:ascii="Arial" w:eastAsia="Arial" w:hAnsi="Arial" w:cs="Arial"/>
          <w:lang w:val="en-US"/>
        </w:rPr>
        <w:t xml:space="preserve">Bergen’s </w:t>
      </w:r>
      <w:r w:rsidR="003511CD">
        <w:rPr>
          <w:rFonts w:ascii="Arial" w:eastAsia="Arial" w:hAnsi="Arial" w:cs="Arial"/>
          <w:lang w:val="en-US"/>
        </w:rPr>
        <w:t xml:space="preserve">sale of </w:t>
      </w:r>
      <w:r w:rsidR="001A2DA6" w:rsidRPr="001A2DA6">
        <w:rPr>
          <w:rFonts w:ascii="Arial" w:eastAsia="Arial" w:hAnsi="Arial" w:cs="Arial"/>
          <w:i/>
          <w:iCs/>
          <w:lang w:val="en-US"/>
        </w:rPr>
        <w:t>DSI Drammen</w:t>
      </w:r>
      <w:r w:rsidRPr="004C3E31">
        <w:rPr>
          <w:rFonts w:ascii="Arial" w:eastAsia="Arial" w:hAnsi="Arial" w:cs="Arial"/>
          <w:lang w:val="en-US"/>
        </w:rPr>
        <w:t>.</w:t>
      </w:r>
      <w:r w:rsidR="003511CD">
        <w:rPr>
          <w:rFonts w:ascii="Arial" w:eastAsia="Arial" w:hAnsi="Arial" w:cs="Arial"/>
          <w:lang w:val="en-US"/>
        </w:rPr>
        <w:t xml:space="preserve"> </w:t>
      </w:r>
      <w:r w:rsidRPr="004C3E31">
        <w:rPr>
          <w:rFonts w:ascii="Arial" w:eastAsia="Arial" w:hAnsi="Arial" w:cs="Arial"/>
          <w:lang w:val="en-US"/>
        </w:rPr>
        <w:t>Th</w:t>
      </w:r>
      <w:r w:rsidR="001A2DA6">
        <w:rPr>
          <w:rFonts w:ascii="Arial" w:eastAsia="Arial" w:hAnsi="Arial" w:cs="Arial"/>
          <w:lang w:val="en-US"/>
        </w:rPr>
        <w:t>e</w:t>
      </w:r>
      <w:r w:rsidRPr="004C3E31">
        <w:rPr>
          <w:rFonts w:ascii="Arial" w:eastAsia="Arial" w:hAnsi="Arial" w:cs="Arial"/>
          <w:lang w:val="en-US"/>
        </w:rPr>
        <w:t xml:space="preserve"> increase was </w:t>
      </w:r>
      <w:r w:rsidR="003511CD" w:rsidRPr="004C3E31">
        <w:rPr>
          <w:rFonts w:ascii="Arial" w:eastAsia="Arial" w:hAnsi="Arial" w:cs="Arial"/>
          <w:lang w:val="en-US"/>
        </w:rPr>
        <w:t>part</w:t>
      </w:r>
      <w:r w:rsidR="003511CD">
        <w:rPr>
          <w:rFonts w:ascii="Arial" w:eastAsia="Arial" w:hAnsi="Arial" w:cs="Arial"/>
          <w:lang w:val="en-US"/>
        </w:rPr>
        <w:t>ia</w:t>
      </w:r>
      <w:r w:rsidR="003511CD" w:rsidRPr="004C3E31">
        <w:rPr>
          <w:rFonts w:ascii="Arial" w:eastAsia="Arial" w:hAnsi="Arial" w:cs="Arial"/>
          <w:lang w:val="en-US"/>
        </w:rPr>
        <w:t>lly</w:t>
      </w:r>
      <w:r w:rsidRPr="004C3E31">
        <w:rPr>
          <w:rFonts w:ascii="Arial" w:eastAsia="Arial" w:hAnsi="Arial" w:cs="Arial"/>
          <w:lang w:val="en-US"/>
        </w:rPr>
        <w:t xml:space="preserve"> offset by a $83.9 million decrease in cash and cash equivalents and time deposits, mainly due to the maturity of time deposits and the redeployment of available liquidity into equity securities. Working capital was further affected by an increase in current liabilities, primarily due to a higher current portion of long</w:t>
      </w:r>
      <w:r w:rsidRPr="004C3E31">
        <w:rPr>
          <w:rFonts w:ascii="Arial" w:eastAsia="Arial" w:hAnsi="Arial" w:cs="Arial"/>
          <w:lang w:val="en-US"/>
        </w:rPr>
        <w:noBreakHyphen/>
        <w:t xml:space="preserve">term debt following the issuance of a new loan during 2025. </w:t>
      </w:r>
      <w:r w:rsidRPr="001E7FDE">
        <w:rPr>
          <w:rFonts w:ascii="Arial" w:eastAsia="Arial" w:hAnsi="Arial" w:cs="Arial"/>
          <w:lang w:val="en-US"/>
        </w:rPr>
        <w:t>We believe that our working</w:t>
      </w:r>
      <w:r>
        <w:rPr>
          <w:rFonts w:ascii="Arial" w:eastAsia="Arial" w:hAnsi="Arial" w:cs="Arial"/>
          <w:lang w:val="en-US"/>
        </w:rPr>
        <w:t xml:space="preserve"> </w:t>
      </w:r>
      <w:r w:rsidRPr="001E7FDE">
        <w:rPr>
          <w:rFonts w:ascii="Arial" w:eastAsia="Arial" w:hAnsi="Arial" w:cs="Arial"/>
          <w:lang w:val="en-US"/>
        </w:rPr>
        <w:t xml:space="preserve">capital is sufficient </w:t>
      </w:r>
      <w:r>
        <w:rPr>
          <w:rFonts w:ascii="Arial" w:eastAsia="Arial" w:hAnsi="Arial" w:cs="Arial"/>
          <w:lang w:val="en-US"/>
        </w:rPr>
        <w:t xml:space="preserve">to cover </w:t>
      </w:r>
      <w:r w:rsidRPr="001E7FDE">
        <w:rPr>
          <w:rFonts w:ascii="Arial" w:eastAsia="Arial" w:hAnsi="Arial" w:cs="Arial"/>
          <w:lang w:val="en-US"/>
        </w:rPr>
        <w:t xml:space="preserve">our </w:t>
      </w:r>
      <w:r>
        <w:rPr>
          <w:rFonts w:ascii="Arial" w:eastAsia="Arial" w:hAnsi="Arial" w:cs="Arial"/>
          <w:lang w:val="en-US"/>
        </w:rPr>
        <w:t xml:space="preserve">short-term </w:t>
      </w:r>
      <w:r w:rsidRPr="001E7FDE">
        <w:rPr>
          <w:rFonts w:ascii="Arial" w:eastAsia="Arial" w:hAnsi="Arial" w:cs="Arial"/>
          <w:lang w:val="en-US"/>
        </w:rPr>
        <w:t>requirements.</w:t>
      </w:r>
    </w:p>
    <w:p w14:paraId="71F3E701" w14:textId="77777777" w:rsidR="009A71A5" w:rsidRPr="003B3C0B" w:rsidRDefault="009A71A5" w:rsidP="003B3C0B">
      <w:pPr>
        <w:pBdr>
          <w:top w:val="nil"/>
          <w:left w:val="nil"/>
          <w:bottom w:val="nil"/>
          <w:right w:val="nil"/>
          <w:between w:val="nil"/>
          <w:bar w:val="nil"/>
        </w:pBdr>
        <w:jc w:val="both"/>
        <w:rPr>
          <w:rFonts w:ascii="Arial" w:eastAsia="Arial" w:hAnsi="Arial" w:cs="Arial"/>
          <w:bdr w:val="nil"/>
          <w:lang w:val="en-US"/>
        </w:rPr>
      </w:pPr>
    </w:p>
    <w:p w14:paraId="71F3E702" w14:textId="77777777" w:rsidR="00EC300F" w:rsidRDefault="003A4815" w:rsidP="003B3C0B">
      <w:pPr>
        <w:pBdr>
          <w:top w:val="nil"/>
          <w:left w:val="nil"/>
          <w:bottom w:val="nil"/>
          <w:right w:val="nil"/>
          <w:between w:val="nil"/>
          <w:bar w:val="nil"/>
        </w:pBdr>
        <w:jc w:val="both"/>
        <w:rPr>
          <w:rFonts w:ascii="Arial" w:eastAsia="Arial" w:hAnsi="Arial" w:cs="Arial"/>
          <w:bdr w:val="nil"/>
          <w:lang w:val="en-US"/>
        </w:rPr>
      </w:pPr>
      <w:r w:rsidRPr="003B3C0B">
        <w:rPr>
          <w:rFonts w:ascii="Arial" w:eastAsia="Arial" w:hAnsi="Arial" w:cs="Arial"/>
          <w:lang w:val="en-US"/>
        </w:rPr>
        <w:t>Cash and cash equivalents,</w:t>
      </w:r>
      <w:r w:rsidR="007F00C6">
        <w:rPr>
          <w:rFonts w:ascii="Arial" w:eastAsia="Arial" w:hAnsi="Arial" w:cs="Arial"/>
          <w:lang w:val="en-US"/>
        </w:rPr>
        <w:t xml:space="preserve"> </w:t>
      </w:r>
      <w:r w:rsidRPr="003B3C0B">
        <w:rPr>
          <w:rFonts w:ascii="Arial" w:eastAsia="Arial" w:hAnsi="Arial" w:cs="Arial"/>
          <w:lang w:val="en-US"/>
        </w:rPr>
        <w:t xml:space="preserve">including restricted cash, </w:t>
      </w:r>
      <w:r w:rsidR="007F00C6" w:rsidRPr="003B3C0B">
        <w:rPr>
          <w:rFonts w:ascii="Arial" w:eastAsia="Arial" w:hAnsi="Arial" w:cs="Arial"/>
          <w:lang w:val="en-US"/>
        </w:rPr>
        <w:t>are primarily held in U.S. dollars</w:t>
      </w:r>
      <w:r w:rsidR="007F00C6">
        <w:rPr>
          <w:rFonts w:ascii="Arial" w:eastAsia="Arial" w:hAnsi="Arial" w:cs="Arial"/>
          <w:lang w:val="en-US"/>
        </w:rPr>
        <w:t xml:space="preserve"> and amounted to</w:t>
      </w:r>
      <w:r w:rsidRPr="003B3C0B">
        <w:rPr>
          <w:rFonts w:ascii="Arial" w:eastAsia="Arial" w:hAnsi="Arial" w:cs="Arial"/>
          <w:lang w:val="en-US"/>
        </w:rPr>
        <w:t xml:space="preserve"> $122.3 million </w:t>
      </w:r>
      <w:r>
        <w:rPr>
          <w:rFonts w:ascii="Arial" w:eastAsia="Arial" w:hAnsi="Arial" w:cs="Arial"/>
          <w:lang w:val="en-US"/>
        </w:rPr>
        <w:t>as of</w:t>
      </w:r>
      <w:r w:rsidRPr="003B3C0B">
        <w:rPr>
          <w:rFonts w:ascii="Arial" w:eastAsia="Arial" w:hAnsi="Arial" w:cs="Arial"/>
          <w:lang w:val="en-US"/>
        </w:rPr>
        <w:t xml:space="preserve"> December 31, 2025 and $143.7 million as of December 31, 2024. Restricted cash</w:t>
      </w:r>
      <w:r w:rsidR="00ED3DF1">
        <w:rPr>
          <w:rFonts w:ascii="Arial" w:eastAsia="Arial" w:hAnsi="Arial" w:cs="Arial"/>
          <w:lang w:val="en-US"/>
        </w:rPr>
        <w:t>, non-current</w:t>
      </w:r>
      <w:r w:rsidR="00680DBD">
        <w:rPr>
          <w:rFonts w:ascii="Arial" w:eastAsia="Arial" w:hAnsi="Arial" w:cs="Arial"/>
          <w:lang w:val="en-US"/>
        </w:rPr>
        <w:t>, which</w:t>
      </w:r>
      <w:r w:rsidRPr="003B3C0B">
        <w:rPr>
          <w:rFonts w:ascii="Arial" w:eastAsia="Arial" w:hAnsi="Arial" w:cs="Arial"/>
          <w:lang w:val="en-US"/>
        </w:rPr>
        <w:t xml:space="preserve"> </w:t>
      </w:r>
      <w:r>
        <w:rPr>
          <w:rFonts w:ascii="Arial" w:eastAsia="Arial" w:hAnsi="Arial" w:cs="Arial"/>
          <w:lang w:val="en-US"/>
        </w:rPr>
        <w:t>represents</w:t>
      </w:r>
      <w:r w:rsidRPr="003B3C0B">
        <w:rPr>
          <w:rFonts w:ascii="Arial" w:eastAsia="Arial" w:hAnsi="Arial" w:cs="Arial"/>
          <w:lang w:val="en-US"/>
        </w:rPr>
        <w:t xml:space="preserve"> minimum liquidity requirements under our loan facilities</w:t>
      </w:r>
      <w:r w:rsidR="00BA0BE2">
        <w:rPr>
          <w:rFonts w:ascii="Arial" w:eastAsia="Arial" w:hAnsi="Arial" w:cs="Arial"/>
          <w:lang w:val="en-US"/>
        </w:rPr>
        <w:t>,</w:t>
      </w:r>
      <w:r>
        <w:rPr>
          <w:rFonts w:ascii="Arial" w:eastAsia="Arial" w:hAnsi="Arial" w:cs="Arial"/>
          <w:lang w:val="en-US"/>
        </w:rPr>
        <w:t xml:space="preserve"> a</w:t>
      </w:r>
      <w:r w:rsidRPr="003B3C0B">
        <w:rPr>
          <w:rFonts w:ascii="Arial" w:eastAsia="Arial" w:hAnsi="Arial" w:cs="Arial"/>
          <w:lang w:val="en-US"/>
        </w:rPr>
        <w:t xml:space="preserve">s of December 31, 2025 and 2024, amounted to </w:t>
      </w:r>
      <w:r>
        <w:rPr>
          <w:rFonts w:ascii="Arial" w:eastAsia="Arial" w:hAnsi="Arial" w:cs="Arial"/>
          <w:color w:val="000000"/>
          <w:lang w:val="en-US" w:eastAsia="el-GR"/>
        </w:rPr>
        <w:t>$18</w:t>
      </w:r>
      <w:r w:rsidRPr="003B3C0B">
        <w:rPr>
          <w:rFonts w:ascii="Arial" w:eastAsia="Arial" w:hAnsi="Arial" w:cs="Arial"/>
          <w:color w:val="000000"/>
          <w:lang w:val="en-US" w:eastAsia="el-GR"/>
        </w:rPr>
        <w:t xml:space="preserve"> million and </w:t>
      </w:r>
      <w:r>
        <w:rPr>
          <w:rFonts w:ascii="Arial" w:eastAsia="Arial" w:hAnsi="Arial" w:cs="Arial"/>
          <w:color w:val="000000"/>
          <w:lang w:val="en-US" w:eastAsia="el-GR"/>
        </w:rPr>
        <w:t>$19</w:t>
      </w:r>
      <w:r w:rsidR="003E7A74" w:rsidRPr="003B3C0B">
        <w:rPr>
          <w:rFonts w:ascii="Arial" w:eastAsia="Arial" w:hAnsi="Arial" w:cs="Arial"/>
          <w:color w:val="000000"/>
          <w:lang w:val="en-US" w:eastAsia="el-GR"/>
        </w:rPr>
        <w:t xml:space="preserve"> million, </w:t>
      </w:r>
      <w:r w:rsidR="003E7A74" w:rsidRPr="003B3C0B">
        <w:rPr>
          <w:rFonts w:ascii="Arial" w:eastAsia="Arial" w:hAnsi="Arial" w:cs="Arial"/>
          <w:lang w:val="en-US"/>
        </w:rPr>
        <w:t>respectively</w:t>
      </w:r>
      <w:r w:rsidRPr="003B3C0B">
        <w:rPr>
          <w:rFonts w:ascii="Arial" w:eastAsia="Arial" w:hAnsi="Arial" w:cs="Arial"/>
          <w:lang w:val="en-US"/>
        </w:rPr>
        <w:t>.</w:t>
      </w:r>
      <w:r w:rsidR="00ED3DF1" w:rsidRPr="00ED3DF1">
        <w:rPr>
          <w:rFonts w:ascii="Arial" w:eastAsia="Arial" w:hAnsi="Arial" w:cs="Arial"/>
          <w:lang w:val="en-US"/>
        </w:rPr>
        <w:t xml:space="preserve"> </w:t>
      </w:r>
      <w:r w:rsidR="00ED3DF1">
        <w:rPr>
          <w:rFonts w:ascii="Arial" w:eastAsia="Arial" w:hAnsi="Arial" w:cs="Arial"/>
          <w:lang w:val="en-US"/>
        </w:rPr>
        <w:t>R</w:t>
      </w:r>
      <w:r w:rsidR="00ED3DF1" w:rsidRPr="00ED3DF1">
        <w:rPr>
          <w:rFonts w:ascii="Arial" w:eastAsia="Arial" w:hAnsi="Arial" w:cs="Arial"/>
          <w:lang w:val="en-US"/>
        </w:rPr>
        <w:t>estricted cash, current</w:t>
      </w:r>
      <w:r w:rsidR="00ED3DF1">
        <w:rPr>
          <w:rFonts w:ascii="Arial" w:eastAsia="Arial" w:hAnsi="Arial" w:cs="Arial"/>
          <w:lang w:val="en-US"/>
        </w:rPr>
        <w:t xml:space="preserve"> </w:t>
      </w:r>
      <w:r w:rsidR="00ED3DF1" w:rsidRPr="00ED3DF1">
        <w:rPr>
          <w:rFonts w:ascii="Arial" w:eastAsia="Arial" w:hAnsi="Arial" w:cs="Arial"/>
          <w:lang w:val="en-US"/>
        </w:rPr>
        <w:t>consists of loan proceeds drawn during the year maintained in a pledged account in order to reduce the loan’s margin</w:t>
      </w:r>
      <w:r w:rsidR="00ED3DF1">
        <w:rPr>
          <w:rFonts w:ascii="Arial" w:eastAsia="Arial" w:hAnsi="Arial" w:cs="Arial"/>
          <w:lang w:val="en-US"/>
        </w:rPr>
        <w:t xml:space="preserve"> and as of December 31, 2025</w:t>
      </w:r>
      <w:r w:rsidR="00ED3DF1" w:rsidRPr="00ED3DF1">
        <w:rPr>
          <w:rFonts w:ascii="Arial" w:eastAsia="Arial" w:hAnsi="Arial" w:cs="Arial"/>
          <w:lang w:val="en-US"/>
        </w:rPr>
        <w:t xml:space="preserve"> amount</w:t>
      </w:r>
      <w:r w:rsidR="00ED3DF1">
        <w:rPr>
          <w:rFonts w:ascii="Arial" w:eastAsia="Arial" w:hAnsi="Arial" w:cs="Arial"/>
          <w:lang w:val="en-US"/>
        </w:rPr>
        <w:t>ed</w:t>
      </w:r>
      <w:r w:rsidR="00ED3DF1" w:rsidRPr="00ED3DF1">
        <w:rPr>
          <w:rFonts w:ascii="Arial" w:eastAsia="Arial" w:hAnsi="Arial" w:cs="Arial"/>
          <w:lang w:val="en-US"/>
        </w:rPr>
        <w:t xml:space="preserve"> to $53</w:t>
      </w:r>
      <w:r w:rsidR="00ED3DF1">
        <w:rPr>
          <w:rFonts w:ascii="Arial" w:eastAsia="Arial" w:hAnsi="Arial" w:cs="Arial"/>
          <w:lang w:val="en-US"/>
        </w:rPr>
        <w:t>.8 million.</w:t>
      </w:r>
      <w:r w:rsidR="00ED3DF1" w:rsidRPr="00ED3DF1">
        <w:rPr>
          <w:rFonts w:ascii="Arial" w:eastAsia="Arial" w:hAnsi="Arial" w:cs="Arial"/>
          <w:lang w:val="en-US"/>
        </w:rPr>
        <w:t xml:space="preserve"> </w:t>
      </w:r>
      <w:r w:rsidR="0051406D">
        <w:rPr>
          <w:rFonts w:ascii="Arial" w:eastAsia="Arial" w:hAnsi="Arial" w:cs="Arial"/>
          <w:lang w:val="en-US"/>
        </w:rPr>
        <w:t>T</w:t>
      </w:r>
      <w:r w:rsidRPr="003B3C0B">
        <w:rPr>
          <w:rFonts w:ascii="Arial" w:eastAsia="Arial" w:hAnsi="Arial" w:cs="Arial"/>
          <w:lang w:val="en-US"/>
        </w:rPr>
        <w:t>ime deposits</w:t>
      </w:r>
      <w:r>
        <w:rPr>
          <w:rFonts w:ascii="Arial" w:eastAsia="Arial" w:hAnsi="Arial" w:cs="Arial"/>
          <w:lang w:val="en-US"/>
        </w:rPr>
        <w:t xml:space="preserve"> with maturities</w:t>
      </w:r>
      <w:r w:rsidRPr="003B3C0B">
        <w:rPr>
          <w:rFonts w:ascii="Arial" w:eastAsia="Arial" w:hAnsi="Arial" w:cs="Arial"/>
          <w:lang w:val="en-US"/>
        </w:rPr>
        <w:t xml:space="preserve"> above three months amounted to $</w:t>
      </w:r>
      <w:r w:rsidR="00AF0B9A">
        <w:rPr>
          <w:rFonts w:ascii="Arial" w:eastAsia="Arial" w:hAnsi="Arial" w:cs="Arial"/>
          <w:lang w:val="en-US"/>
        </w:rPr>
        <w:t>0</w:t>
      </w:r>
      <w:r w:rsidRPr="003B3C0B">
        <w:rPr>
          <w:rFonts w:ascii="Arial" w:eastAsia="Arial" w:hAnsi="Arial" w:cs="Arial"/>
          <w:lang w:val="en-US"/>
        </w:rPr>
        <w:t xml:space="preserve"> million</w:t>
      </w:r>
      <w:r>
        <w:rPr>
          <w:rFonts w:ascii="Arial" w:eastAsia="Arial" w:hAnsi="Arial" w:cs="Arial"/>
          <w:lang w:val="en-US"/>
        </w:rPr>
        <w:t xml:space="preserve"> and $</w:t>
      </w:r>
      <w:r w:rsidR="00AF0B9A">
        <w:rPr>
          <w:rFonts w:ascii="Arial" w:eastAsia="Arial" w:hAnsi="Arial" w:cs="Arial"/>
          <w:lang w:val="en-US"/>
        </w:rPr>
        <w:t>63</w:t>
      </w:r>
      <w:r>
        <w:rPr>
          <w:rFonts w:ascii="Arial" w:eastAsia="Arial" w:hAnsi="Arial" w:cs="Arial"/>
          <w:lang w:val="en-US"/>
        </w:rPr>
        <w:t>.</w:t>
      </w:r>
      <w:r w:rsidR="00AF0B9A">
        <w:rPr>
          <w:rFonts w:ascii="Arial" w:eastAsia="Arial" w:hAnsi="Arial" w:cs="Arial"/>
          <w:lang w:val="en-US"/>
        </w:rPr>
        <w:t>5</w:t>
      </w:r>
      <w:r>
        <w:rPr>
          <w:rFonts w:ascii="Arial" w:eastAsia="Arial" w:hAnsi="Arial" w:cs="Arial"/>
          <w:lang w:val="en-US"/>
        </w:rPr>
        <w:t xml:space="preserve"> million</w:t>
      </w:r>
      <w:r w:rsidR="0051406D">
        <w:rPr>
          <w:rFonts w:ascii="Arial" w:eastAsia="Arial" w:hAnsi="Arial" w:cs="Arial"/>
          <w:lang w:val="en-US"/>
        </w:rPr>
        <w:t xml:space="preserve"> as of December 31,</w:t>
      </w:r>
      <w:r w:rsidR="0051406D" w:rsidRPr="003B3C0B">
        <w:rPr>
          <w:rFonts w:ascii="Arial" w:eastAsia="Arial" w:hAnsi="Arial" w:cs="Arial"/>
          <w:lang w:val="en-US"/>
        </w:rPr>
        <w:t xml:space="preserve"> 2025</w:t>
      </w:r>
      <w:r w:rsidR="0051406D">
        <w:rPr>
          <w:rFonts w:ascii="Arial" w:eastAsia="Arial" w:hAnsi="Arial" w:cs="Arial"/>
          <w:lang w:val="en-US"/>
        </w:rPr>
        <w:t xml:space="preserve"> and 2024</w:t>
      </w:r>
      <w:r>
        <w:rPr>
          <w:rFonts w:ascii="Arial" w:eastAsia="Arial" w:hAnsi="Arial" w:cs="Arial"/>
          <w:lang w:val="en-US"/>
        </w:rPr>
        <w:t xml:space="preserve">, respectively. </w:t>
      </w:r>
      <w:r w:rsidR="007F00C6">
        <w:rPr>
          <w:rFonts w:ascii="Arial" w:eastAsia="Arial" w:hAnsi="Arial" w:cs="Arial"/>
          <w:lang w:val="en-US"/>
        </w:rPr>
        <w:t>Our cash and cash equivalents, restricted cash and time deposits represent our unused sources of liquidity to meet our short- and long-term obligations.</w:t>
      </w:r>
    </w:p>
    <w:p w14:paraId="71F3E703" w14:textId="77777777" w:rsidR="002A6CF0" w:rsidRDefault="002A6CF0" w:rsidP="003B3C0B">
      <w:pPr>
        <w:pBdr>
          <w:top w:val="nil"/>
          <w:left w:val="nil"/>
          <w:bottom w:val="nil"/>
          <w:right w:val="nil"/>
          <w:between w:val="nil"/>
          <w:bar w:val="nil"/>
        </w:pBdr>
        <w:jc w:val="both"/>
        <w:rPr>
          <w:rFonts w:ascii="Arial" w:eastAsia="Arial" w:hAnsi="Arial" w:cs="Arial"/>
          <w:bdr w:val="nil"/>
          <w:lang w:val="en-US"/>
        </w:rPr>
      </w:pPr>
    </w:p>
    <w:p w14:paraId="71F3E704" w14:textId="77777777" w:rsidR="002A6CF0" w:rsidRDefault="003A4815" w:rsidP="003B3C0B">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During 2025 and 2024, our sources and uses of cash were as follows:</w:t>
      </w:r>
    </w:p>
    <w:p w14:paraId="71F3E705" w14:textId="77777777" w:rsidR="009A0501" w:rsidRDefault="009A0501" w:rsidP="003B3C0B">
      <w:pPr>
        <w:pBdr>
          <w:top w:val="nil"/>
          <w:left w:val="nil"/>
          <w:bottom w:val="nil"/>
          <w:right w:val="nil"/>
          <w:between w:val="nil"/>
          <w:bar w:val="nil"/>
        </w:pBdr>
        <w:jc w:val="both"/>
        <w:rPr>
          <w:rFonts w:ascii="Arial" w:eastAsia="Arial" w:hAnsi="Arial" w:cs="Arial"/>
          <w:bdr w:val="nil"/>
          <w:lang w:val="en-US"/>
        </w:rPr>
      </w:pPr>
    </w:p>
    <w:p w14:paraId="71F3E706" w14:textId="77777777" w:rsidR="00125E1C" w:rsidRPr="00790E55" w:rsidRDefault="003A4815" w:rsidP="003B3C0B">
      <w:pPr>
        <w:pStyle w:val="Heading4"/>
        <w:keepLines/>
        <w:pBdr>
          <w:top w:val="nil"/>
          <w:left w:val="nil"/>
          <w:bottom w:val="nil"/>
          <w:right w:val="nil"/>
          <w:between w:val="nil"/>
          <w:bar w:val="nil"/>
        </w:pBdr>
        <w:rPr>
          <w:rFonts w:ascii="Arial" w:eastAsia="Arial" w:hAnsi="Arial" w:cs="Arial"/>
          <w:i w:val="0"/>
          <w:iCs/>
          <w:szCs w:val="22"/>
          <w:bdr w:val="nil"/>
          <w:lang w:val="en-US"/>
        </w:rPr>
      </w:pPr>
      <w:r w:rsidRPr="00790E55">
        <w:rPr>
          <w:rFonts w:ascii="Arial" w:eastAsia="Arial" w:hAnsi="Arial" w:cs="Arial"/>
          <w:i w:val="0"/>
          <w:iCs/>
          <w:szCs w:val="22"/>
          <w:lang w:val="en-US"/>
        </w:rPr>
        <w:t>Net Cash Provided by Operating Activities</w:t>
      </w:r>
    </w:p>
    <w:p w14:paraId="71F3E707" w14:textId="77777777" w:rsidR="00125E1C" w:rsidRPr="003B3C0B" w:rsidRDefault="00125E1C" w:rsidP="003B3C0B">
      <w:pPr>
        <w:keepNext/>
        <w:keepLines/>
        <w:pBdr>
          <w:top w:val="nil"/>
          <w:left w:val="nil"/>
          <w:bottom w:val="nil"/>
          <w:right w:val="nil"/>
          <w:between w:val="nil"/>
          <w:bar w:val="nil"/>
        </w:pBdr>
        <w:jc w:val="both"/>
        <w:rPr>
          <w:rFonts w:ascii="Arial" w:eastAsia="Arial" w:hAnsi="Arial" w:cs="Arial"/>
          <w:bdr w:val="nil"/>
          <w:lang w:val="en-US"/>
        </w:rPr>
      </w:pPr>
    </w:p>
    <w:p w14:paraId="71F3E708" w14:textId="77777777" w:rsidR="00B16E30" w:rsidRDefault="003A4815" w:rsidP="00EA091F">
      <w:pPr>
        <w:pBdr>
          <w:top w:val="nil"/>
          <w:left w:val="nil"/>
          <w:bottom w:val="nil"/>
          <w:right w:val="nil"/>
          <w:between w:val="nil"/>
          <w:bar w:val="nil"/>
        </w:pBdr>
        <w:jc w:val="both"/>
        <w:rPr>
          <w:rFonts w:ascii="Arial" w:eastAsia="Arial" w:hAnsi="Arial" w:cs="Arial"/>
          <w:bdr w:val="nil"/>
          <w:lang w:val="en-US"/>
        </w:rPr>
      </w:pPr>
      <w:r w:rsidRPr="003B3C0B">
        <w:rPr>
          <w:rFonts w:ascii="Arial" w:eastAsia="Arial" w:hAnsi="Arial" w:cs="Arial"/>
          <w:lang w:val="en-US"/>
        </w:rPr>
        <w:t>Net cash provided by operating activities decreased by $36.0 million</w:t>
      </w:r>
      <w:r w:rsidR="00B54EE9" w:rsidRPr="003B3C0B">
        <w:rPr>
          <w:rFonts w:ascii="Arial" w:eastAsia="Arial" w:hAnsi="Arial" w:cs="Arial"/>
          <w:lang w:val="en-US"/>
        </w:rPr>
        <w:t xml:space="preserve">, or </w:t>
      </w:r>
      <w:r w:rsidR="00C66A2C" w:rsidRPr="003B3C0B">
        <w:rPr>
          <w:rFonts w:ascii="Arial" w:eastAsia="Arial" w:hAnsi="Arial" w:cs="Arial"/>
          <w:lang w:val="en-US"/>
        </w:rPr>
        <w:t>43%</w:t>
      </w:r>
      <w:r w:rsidR="00D41EB8" w:rsidRPr="003B3C0B">
        <w:rPr>
          <w:rFonts w:ascii="Arial" w:eastAsia="Arial" w:hAnsi="Arial" w:cs="Arial"/>
          <w:lang w:val="en-US"/>
        </w:rPr>
        <w:t>. In 2025,</w:t>
      </w:r>
      <w:r w:rsidR="00B54EE9" w:rsidRPr="003B3C0B">
        <w:rPr>
          <w:rFonts w:ascii="Arial" w:eastAsia="Arial" w:hAnsi="Arial" w:cs="Arial"/>
          <w:lang w:val="en-US"/>
        </w:rPr>
        <w:t xml:space="preserve"> </w:t>
      </w:r>
      <w:r w:rsidRPr="003B3C0B">
        <w:rPr>
          <w:rFonts w:ascii="Arial" w:eastAsia="Arial" w:hAnsi="Arial" w:cs="Arial"/>
          <w:lang w:val="en-US"/>
        </w:rPr>
        <w:t xml:space="preserve">net cash provided by operating activities was $47.5 million compared to net cash provided by operating activities of $83.5 million in 2024. </w:t>
      </w:r>
      <w:r w:rsidRPr="00B16E30">
        <w:rPr>
          <w:rFonts w:ascii="Arial" w:eastAsia="Arial" w:hAnsi="Arial" w:cs="Arial"/>
          <w:lang w:val="en-US"/>
        </w:rPr>
        <w:t>The decrease was mainly attributable to the proceeds from the sale of our investment in equity securities recognized in 2024, increased dry</w:t>
      </w:r>
      <w:r w:rsidRPr="00B16E30">
        <w:rPr>
          <w:rFonts w:ascii="Arial" w:eastAsia="Arial" w:hAnsi="Arial" w:cs="Arial"/>
          <w:lang w:val="en-US"/>
        </w:rPr>
        <w:noBreakHyphen/>
        <w:t xml:space="preserve">docking </w:t>
      </w:r>
      <w:r w:rsidR="002A4D57">
        <w:rPr>
          <w:rFonts w:ascii="Arial" w:eastAsia="Arial" w:hAnsi="Arial" w:cs="Arial"/>
          <w:lang w:val="en-US"/>
        </w:rPr>
        <w:t xml:space="preserve">and special survey </w:t>
      </w:r>
      <w:r w:rsidRPr="00B16E30">
        <w:rPr>
          <w:rFonts w:ascii="Arial" w:eastAsia="Arial" w:hAnsi="Arial" w:cs="Arial"/>
          <w:lang w:val="en-US"/>
        </w:rPr>
        <w:t>costs incurred in 2025 and lower operating cash inflows, primarily reflecting reduced operating days following the sale of two vessels during the year</w:t>
      </w:r>
      <w:r w:rsidR="00212DBE">
        <w:rPr>
          <w:rFonts w:ascii="Arial" w:eastAsia="Arial" w:hAnsi="Arial" w:cs="Arial"/>
          <w:lang w:val="en-US"/>
        </w:rPr>
        <w:t>.</w:t>
      </w:r>
    </w:p>
    <w:p w14:paraId="71F3E709" w14:textId="77777777" w:rsidR="001B3449" w:rsidRPr="001B3449" w:rsidRDefault="001B3449" w:rsidP="00EA091F">
      <w:pPr>
        <w:pBdr>
          <w:top w:val="nil"/>
          <w:left w:val="nil"/>
          <w:bottom w:val="nil"/>
          <w:right w:val="nil"/>
          <w:between w:val="nil"/>
          <w:bar w:val="nil"/>
        </w:pBdr>
        <w:jc w:val="both"/>
        <w:rPr>
          <w:rFonts w:ascii="Arial" w:eastAsia="Arial" w:hAnsi="Arial" w:cs="Arial"/>
          <w:bdr w:val="nil"/>
          <w:lang w:val="en-US"/>
        </w:rPr>
      </w:pPr>
    </w:p>
    <w:p w14:paraId="71F3E70A" w14:textId="77777777" w:rsidR="00125E1C" w:rsidRPr="00790E55" w:rsidRDefault="003A4815" w:rsidP="003B3C0B">
      <w:pPr>
        <w:pStyle w:val="Heading4"/>
        <w:keepLines/>
        <w:pBdr>
          <w:top w:val="nil"/>
          <w:left w:val="nil"/>
          <w:bottom w:val="nil"/>
          <w:right w:val="nil"/>
          <w:between w:val="nil"/>
          <w:bar w:val="nil"/>
        </w:pBdr>
        <w:rPr>
          <w:rFonts w:ascii="Arial" w:eastAsia="Arial" w:hAnsi="Arial" w:cs="Arial"/>
          <w:i w:val="0"/>
          <w:iCs/>
          <w:szCs w:val="22"/>
          <w:bdr w:val="nil"/>
          <w:lang w:val="en-US"/>
        </w:rPr>
      </w:pPr>
      <w:r w:rsidRPr="00790E55">
        <w:rPr>
          <w:rFonts w:ascii="Arial" w:eastAsia="Arial" w:hAnsi="Arial" w:cs="Arial"/>
          <w:i w:val="0"/>
          <w:iCs/>
          <w:szCs w:val="22"/>
          <w:lang w:val="en-US"/>
        </w:rPr>
        <w:t>Net Cash Used in Investing Activities</w:t>
      </w:r>
    </w:p>
    <w:p w14:paraId="71F3E70B" w14:textId="77777777" w:rsidR="004E38A1" w:rsidRPr="003B3C0B" w:rsidRDefault="004E38A1" w:rsidP="003B3C0B">
      <w:pPr>
        <w:keepNext/>
        <w:keepLines/>
        <w:pBdr>
          <w:top w:val="nil"/>
          <w:left w:val="nil"/>
          <w:bottom w:val="nil"/>
          <w:right w:val="nil"/>
          <w:between w:val="nil"/>
          <w:bar w:val="nil"/>
        </w:pBdr>
        <w:jc w:val="both"/>
        <w:rPr>
          <w:rFonts w:ascii="Arial" w:eastAsia="Arial" w:hAnsi="Arial" w:cs="Arial"/>
          <w:bdr w:val="nil"/>
          <w:lang w:val="en-US"/>
        </w:rPr>
      </w:pPr>
    </w:p>
    <w:p w14:paraId="71F3E70C" w14:textId="77777777" w:rsidR="006B318B" w:rsidRDefault="003A4815" w:rsidP="003B3C0B">
      <w:pPr>
        <w:pBdr>
          <w:top w:val="nil"/>
          <w:left w:val="nil"/>
          <w:bottom w:val="nil"/>
          <w:right w:val="nil"/>
          <w:between w:val="nil"/>
          <w:bar w:val="nil"/>
        </w:pBdr>
        <w:jc w:val="both"/>
        <w:rPr>
          <w:rFonts w:ascii="Arial" w:eastAsia="Arial" w:hAnsi="Arial" w:cs="Arial"/>
          <w:bdr w:val="nil"/>
          <w:lang w:val="en-US"/>
        </w:rPr>
      </w:pPr>
      <w:r w:rsidRPr="003B3C0B">
        <w:rPr>
          <w:rFonts w:ascii="Arial" w:eastAsia="Arial" w:hAnsi="Arial" w:cs="Arial"/>
          <w:lang w:val="en-US"/>
        </w:rPr>
        <w:t>Net cash used in investing activities was $32.0 million for 2025, which consists of $1.5 million paid for vessel</w:t>
      </w:r>
      <w:r>
        <w:rPr>
          <w:rFonts w:ascii="Arial" w:eastAsia="Arial" w:hAnsi="Arial" w:cs="Arial"/>
          <w:lang w:val="en-US"/>
        </w:rPr>
        <w:t>s</w:t>
      </w:r>
      <w:r w:rsidRPr="003B3C0B">
        <w:rPr>
          <w:rFonts w:ascii="Arial" w:eastAsia="Arial" w:hAnsi="Arial" w:cs="Arial"/>
          <w:lang w:val="en-US"/>
        </w:rPr>
        <w:t xml:space="preserve"> </w:t>
      </w:r>
      <w:r>
        <w:rPr>
          <w:rFonts w:ascii="Arial" w:eastAsia="Arial" w:hAnsi="Arial" w:cs="Arial"/>
          <w:lang w:val="en-US"/>
        </w:rPr>
        <w:t>under construction</w:t>
      </w:r>
      <w:r w:rsidRPr="003B3C0B">
        <w:rPr>
          <w:rFonts w:ascii="Arial" w:eastAsia="Arial" w:hAnsi="Arial" w:cs="Arial"/>
          <w:lang w:val="en-US"/>
        </w:rPr>
        <w:t xml:space="preserve"> and improvements; $23.0 million of proceeds from the sale of </w:t>
      </w:r>
      <w:r>
        <w:rPr>
          <w:rFonts w:ascii="Arial" w:eastAsia="Arial" w:hAnsi="Arial" w:cs="Arial"/>
          <w:lang w:val="en-US"/>
        </w:rPr>
        <w:t>two</w:t>
      </w:r>
      <w:r w:rsidRPr="003B3C0B">
        <w:rPr>
          <w:rFonts w:ascii="Arial" w:eastAsia="Arial" w:hAnsi="Arial" w:cs="Arial"/>
          <w:lang w:val="en-US"/>
        </w:rPr>
        <w:t xml:space="preserve"> vessel</w:t>
      </w:r>
      <w:r>
        <w:rPr>
          <w:rFonts w:ascii="Arial" w:eastAsia="Arial" w:hAnsi="Arial" w:cs="Arial"/>
          <w:lang w:val="en-US"/>
        </w:rPr>
        <w:t>s</w:t>
      </w:r>
      <w:r w:rsidRPr="003B3C0B">
        <w:rPr>
          <w:rFonts w:ascii="Arial" w:eastAsia="Arial" w:hAnsi="Arial" w:cs="Arial"/>
          <w:lang w:val="en-US"/>
        </w:rPr>
        <w:t xml:space="preserve"> in 2025;</w:t>
      </w:r>
      <w:r>
        <w:rPr>
          <w:rFonts w:ascii="Arial" w:eastAsia="Arial" w:hAnsi="Arial" w:cs="Arial"/>
          <w:lang w:val="en-US"/>
        </w:rPr>
        <w:t xml:space="preserve"> $</w:t>
      </w:r>
      <w:r w:rsidR="00AE25D2">
        <w:rPr>
          <w:rFonts w:ascii="Arial" w:eastAsia="Arial" w:hAnsi="Arial" w:cs="Arial"/>
          <w:lang w:val="en-US"/>
        </w:rPr>
        <w:t>118</w:t>
      </w:r>
      <w:r>
        <w:rPr>
          <w:rFonts w:ascii="Arial" w:eastAsia="Arial" w:hAnsi="Arial" w:cs="Arial"/>
          <w:lang w:val="en-US"/>
        </w:rPr>
        <w:t>.</w:t>
      </w:r>
      <w:r w:rsidR="00AE25D2">
        <w:rPr>
          <w:rFonts w:ascii="Arial" w:eastAsia="Arial" w:hAnsi="Arial" w:cs="Arial"/>
          <w:lang w:val="en-US"/>
        </w:rPr>
        <w:t>3</w:t>
      </w:r>
      <w:r>
        <w:rPr>
          <w:rFonts w:ascii="Arial" w:eastAsia="Arial" w:hAnsi="Arial" w:cs="Arial"/>
          <w:lang w:val="en-US"/>
        </w:rPr>
        <w:t xml:space="preserve"> million paid to acquire investments</w:t>
      </w:r>
      <w:r w:rsidR="00AE25D2">
        <w:rPr>
          <w:rFonts w:ascii="Arial" w:eastAsia="Arial" w:hAnsi="Arial" w:cs="Arial"/>
          <w:lang w:val="en-US"/>
        </w:rPr>
        <w:t xml:space="preserve">, net of </w:t>
      </w:r>
      <w:r w:rsidR="00C22546">
        <w:rPr>
          <w:rFonts w:ascii="Arial" w:eastAsia="Arial" w:hAnsi="Arial" w:cs="Arial"/>
          <w:lang w:val="en-US"/>
        </w:rPr>
        <w:t>a</w:t>
      </w:r>
      <w:r w:rsidR="006C4EFF">
        <w:rPr>
          <w:rFonts w:ascii="Arial" w:eastAsia="Arial" w:hAnsi="Arial" w:cs="Arial"/>
          <w:lang w:val="en-US"/>
        </w:rPr>
        <w:t xml:space="preserve"> $3.5 million</w:t>
      </w:r>
      <w:r w:rsidR="00AE25D2">
        <w:rPr>
          <w:rFonts w:ascii="Arial" w:eastAsia="Arial" w:hAnsi="Arial" w:cs="Arial"/>
          <w:lang w:val="en-US"/>
        </w:rPr>
        <w:t xml:space="preserve"> return of capital from our investment in Windward</w:t>
      </w:r>
      <w:r>
        <w:rPr>
          <w:rFonts w:ascii="Arial" w:eastAsia="Arial" w:hAnsi="Arial" w:cs="Arial"/>
          <w:lang w:val="en-US"/>
        </w:rPr>
        <w:t>;</w:t>
      </w:r>
      <w:r w:rsidR="00A87389">
        <w:rPr>
          <w:rFonts w:ascii="Arial" w:eastAsia="Arial" w:hAnsi="Arial" w:cs="Arial"/>
          <w:lang w:val="en-US"/>
        </w:rPr>
        <w:t xml:space="preserve"> $3.0 million proceeds from the sale of the Series B Preferred shares of OceanPal;</w:t>
      </w:r>
      <w:r w:rsidRPr="003B3C0B">
        <w:rPr>
          <w:rFonts w:ascii="Arial" w:eastAsia="Arial" w:hAnsi="Arial" w:cs="Arial"/>
          <w:lang w:val="en-US"/>
        </w:rPr>
        <w:t xml:space="preserve"> </w:t>
      </w:r>
      <w:r w:rsidR="005F4063">
        <w:rPr>
          <w:rFonts w:ascii="Arial" w:eastAsia="Arial" w:hAnsi="Arial" w:cs="Arial"/>
          <w:lang w:val="en-US"/>
        </w:rPr>
        <w:t>a</w:t>
      </w:r>
      <w:r>
        <w:rPr>
          <w:rFonts w:ascii="Arial" w:eastAsia="Arial" w:hAnsi="Arial" w:cs="Arial"/>
          <w:lang w:val="en-US"/>
        </w:rPr>
        <w:t xml:space="preserve"> </w:t>
      </w:r>
      <w:r w:rsidRPr="003B3C0B">
        <w:rPr>
          <w:rFonts w:ascii="Arial" w:eastAsia="Arial" w:hAnsi="Arial" w:cs="Arial"/>
          <w:lang w:val="en-US"/>
        </w:rPr>
        <w:t>$63.5 million</w:t>
      </w:r>
      <w:r w:rsidR="005F4063">
        <w:rPr>
          <w:rFonts w:ascii="Arial" w:eastAsia="Arial" w:hAnsi="Arial" w:cs="Arial"/>
          <w:lang w:val="en-US"/>
        </w:rPr>
        <w:t xml:space="preserve"> decrease</w:t>
      </w:r>
      <w:r w:rsidRPr="003B3C0B">
        <w:rPr>
          <w:rFonts w:ascii="Arial" w:eastAsia="Arial" w:hAnsi="Arial" w:cs="Arial"/>
          <w:lang w:val="en-US"/>
        </w:rPr>
        <w:t xml:space="preserve"> in time deposits with maturity above three months;</w:t>
      </w:r>
      <w:r>
        <w:rPr>
          <w:rFonts w:ascii="Arial" w:eastAsia="Arial" w:hAnsi="Arial" w:cs="Arial"/>
          <w:lang w:val="en-US"/>
        </w:rPr>
        <w:t xml:space="preserve"> </w:t>
      </w:r>
      <w:r w:rsidRPr="003B3C0B">
        <w:rPr>
          <w:rFonts w:ascii="Arial" w:eastAsia="Arial" w:hAnsi="Arial" w:cs="Arial"/>
          <w:lang w:val="en-US"/>
        </w:rPr>
        <w:t>and $1.7 million relating to the acquisition of</w:t>
      </w:r>
      <w:r>
        <w:rPr>
          <w:rFonts w:ascii="Arial" w:eastAsia="Arial" w:hAnsi="Arial" w:cs="Arial"/>
          <w:lang w:val="en-US"/>
        </w:rPr>
        <w:t xml:space="preserve"> property and</w:t>
      </w:r>
      <w:r w:rsidRPr="003B3C0B">
        <w:rPr>
          <w:rFonts w:ascii="Arial" w:eastAsia="Arial" w:hAnsi="Arial" w:cs="Arial"/>
          <w:lang w:val="en-US"/>
        </w:rPr>
        <w:t xml:space="preserve"> equipment.</w:t>
      </w:r>
    </w:p>
    <w:p w14:paraId="71F3E70D" w14:textId="77777777" w:rsidR="001B39DE" w:rsidRDefault="001B39DE" w:rsidP="003B3C0B">
      <w:pPr>
        <w:pBdr>
          <w:top w:val="nil"/>
          <w:left w:val="nil"/>
          <w:bottom w:val="nil"/>
          <w:right w:val="nil"/>
          <w:between w:val="nil"/>
          <w:bar w:val="nil"/>
        </w:pBdr>
        <w:jc w:val="both"/>
        <w:rPr>
          <w:rFonts w:ascii="Arial" w:eastAsia="Arial" w:hAnsi="Arial" w:cs="Arial"/>
          <w:bdr w:val="nil"/>
          <w:lang w:val="en-US"/>
        </w:rPr>
      </w:pPr>
    </w:p>
    <w:p w14:paraId="71F3E70E" w14:textId="77777777" w:rsidR="00DD5C93" w:rsidRPr="00DD5C93" w:rsidRDefault="003A4815" w:rsidP="00DD5C93">
      <w:pPr>
        <w:pBdr>
          <w:top w:val="nil"/>
          <w:left w:val="nil"/>
          <w:bottom w:val="nil"/>
          <w:right w:val="nil"/>
          <w:between w:val="nil"/>
          <w:bar w:val="nil"/>
        </w:pBdr>
        <w:jc w:val="both"/>
        <w:rPr>
          <w:rFonts w:ascii="Arial" w:eastAsia="Arial" w:hAnsi="Arial" w:cs="Arial"/>
          <w:bdr w:val="nil"/>
          <w:lang w:val="en-US"/>
        </w:rPr>
      </w:pPr>
      <w:r w:rsidRPr="00DD5C93">
        <w:rPr>
          <w:rFonts w:ascii="Arial" w:eastAsia="Arial" w:hAnsi="Arial" w:cs="Arial"/>
          <w:lang w:val="en-US"/>
        </w:rPr>
        <w:t>Net cash used in investing activities was $39.8 million for 2024, which consists of $20.5 million paid for vessels under construction and improvements; $35.2 million of proceeds from the sale of two vessels in 2024; $27.2 million paid to acquire investments in Windward; increased investment by $23.5 million in time deposits with maturity above three months; and $3.7 million relating to the acquisition of property and equipment.</w:t>
      </w:r>
    </w:p>
    <w:p w14:paraId="71F3E70F" w14:textId="77777777" w:rsidR="004146F6" w:rsidRPr="004146F6" w:rsidRDefault="004146F6" w:rsidP="00D8388E">
      <w:pPr>
        <w:pBdr>
          <w:top w:val="nil"/>
          <w:left w:val="nil"/>
          <w:bottom w:val="nil"/>
          <w:right w:val="nil"/>
          <w:between w:val="nil"/>
          <w:bar w:val="nil"/>
        </w:pBdr>
        <w:jc w:val="both"/>
        <w:rPr>
          <w:rFonts w:ascii="Arial" w:eastAsia="Arial" w:hAnsi="Arial" w:cs="Arial"/>
          <w:bdr w:val="nil"/>
          <w:lang w:val="en-US"/>
        </w:rPr>
      </w:pPr>
    </w:p>
    <w:p w14:paraId="71F3E710" w14:textId="77777777" w:rsidR="00125E1C" w:rsidRPr="00790E55" w:rsidRDefault="003A4815" w:rsidP="003B3C0B">
      <w:pPr>
        <w:pStyle w:val="Heading4"/>
        <w:keepLines/>
        <w:pBdr>
          <w:top w:val="nil"/>
          <w:left w:val="nil"/>
          <w:bottom w:val="nil"/>
          <w:right w:val="nil"/>
          <w:between w:val="nil"/>
          <w:bar w:val="nil"/>
        </w:pBdr>
        <w:rPr>
          <w:rFonts w:ascii="Arial" w:eastAsia="Arial" w:hAnsi="Arial" w:cs="Arial"/>
          <w:i w:val="0"/>
          <w:iCs/>
          <w:szCs w:val="22"/>
          <w:bdr w:val="nil"/>
          <w:lang w:val="en-US"/>
        </w:rPr>
      </w:pPr>
      <w:r w:rsidRPr="00790E55">
        <w:rPr>
          <w:rFonts w:ascii="Arial" w:eastAsia="Arial" w:hAnsi="Arial" w:cs="Arial"/>
          <w:i w:val="0"/>
          <w:iCs/>
          <w:szCs w:val="22"/>
          <w:lang w:val="en-US"/>
        </w:rPr>
        <w:t xml:space="preserve">Net Cash </w:t>
      </w:r>
      <w:r w:rsidR="00FE30D6">
        <w:rPr>
          <w:rFonts w:ascii="Arial" w:eastAsia="Arial" w:hAnsi="Arial" w:cs="Arial"/>
          <w:i w:val="0"/>
          <w:iCs/>
          <w:szCs w:val="22"/>
          <w:lang w:val="en-US"/>
        </w:rPr>
        <w:t>Used in</w:t>
      </w:r>
      <w:r w:rsidRPr="00790E55">
        <w:rPr>
          <w:rFonts w:ascii="Arial" w:eastAsia="Arial" w:hAnsi="Arial" w:cs="Arial"/>
          <w:i w:val="0"/>
          <w:iCs/>
          <w:szCs w:val="22"/>
          <w:lang w:val="en-US"/>
        </w:rPr>
        <w:t xml:space="preserve"> Financing Activities</w:t>
      </w:r>
    </w:p>
    <w:p w14:paraId="71F3E711" w14:textId="77777777" w:rsidR="00125E1C" w:rsidRPr="003B3C0B" w:rsidRDefault="00125E1C" w:rsidP="003B3C0B">
      <w:pPr>
        <w:keepNext/>
        <w:keepLines/>
        <w:pBdr>
          <w:top w:val="nil"/>
          <w:left w:val="nil"/>
          <w:bottom w:val="nil"/>
          <w:right w:val="nil"/>
          <w:between w:val="nil"/>
          <w:bar w:val="nil"/>
        </w:pBdr>
        <w:jc w:val="both"/>
        <w:rPr>
          <w:rFonts w:ascii="Arial" w:eastAsia="Arial" w:hAnsi="Arial" w:cs="Arial"/>
          <w:bdr w:val="nil"/>
          <w:lang w:val="en-US"/>
        </w:rPr>
      </w:pPr>
    </w:p>
    <w:p w14:paraId="71F3E712" w14:textId="77777777" w:rsidR="00D86C72" w:rsidRDefault="003A4815" w:rsidP="003B3C0B">
      <w:pPr>
        <w:pBdr>
          <w:top w:val="nil"/>
          <w:left w:val="nil"/>
          <w:bottom w:val="nil"/>
          <w:right w:val="nil"/>
          <w:between w:val="nil"/>
          <w:bar w:val="nil"/>
        </w:pBdr>
        <w:jc w:val="both"/>
        <w:rPr>
          <w:rFonts w:ascii="Arial" w:eastAsia="Arial" w:hAnsi="Arial" w:cs="Arial"/>
          <w:bdr w:val="nil"/>
          <w:lang w:val="en-US"/>
        </w:rPr>
      </w:pPr>
      <w:r w:rsidRPr="003B3C0B">
        <w:rPr>
          <w:rFonts w:ascii="Arial" w:eastAsia="Arial" w:hAnsi="Arial" w:cs="Arial"/>
          <w:lang w:val="en-US"/>
        </w:rPr>
        <w:t>Net cash used in financing activities was $36.9 million for 2025, which</w:t>
      </w:r>
      <w:r w:rsidR="00212DBE">
        <w:rPr>
          <w:rFonts w:ascii="Arial" w:eastAsia="Arial" w:hAnsi="Arial" w:cs="Arial"/>
          <w:lang w:val="en-US"/>
        </w:rPr>
        <w:t xml:space="preserve"> mainly</w:t>
      </w:r>
      <w:r w:rsidRPr="003B3C0B">
        <w:rPr>
          <w:rFonts w:ascii="Arial" w:eastAsia="Arial" w:hAnsi="Arial" w:cs="Arial"/>
          <w:lang w:val="en-US"/>
        </w:rPr>
        <w:t xml:space="preserve"> consists of $55.0 million</w:t>
      </w:r>
      <w:r w:rsidR="00AC186A">
        <w:rPr>
          <w:rFonts w:ascii="Arial" w:eastAsia="Arial" w:hAnsi="Arial" w:cs="Arial"/>
          <w:lang w:val="en-US"/>
        </w:rPr>
        <w:t xml:space="preserve"> of</w:t>
      </w:r>
      <w:r w:rsidRPr="003B3C0B">
        <w:rPr>
          <w:rFonts w:ascii="Arial" w:eastAsia="Arial" w:hAnsi="Arial" w:cs="Arial"/>
          <w:lang w:val="en-US"/>
        </w:rPr>
        <w:t xml:space="preserve"> proceeds from</w:t>
      </w:r>
      <w:r w:rsidR="00AC186A">
        <w:rPr>
          <w:rFonts w:ascii="Arial" w:eastAsia="Arial" w:hAnsi="Arial" w:cs="Arial"/>
          <w:lang w:val="en-US"/>
        </w:rPr>
        <w:t xml:space="preserve"> the</w:t>
      </w:r>
      <w:r w:rsidRPr="003B3C0B">
        <w:rPr>
          <w:rFonts w:ascii="Arial" w:eastAsia="Arial" w:hAnsi="Arial" w:cs="Arial"/>
          <w:lang w:val="en-US"/>
        </w:rPr>
        <w:t xml:space="preserve"> issuance of long term debt; $58.2 million of</w:t>
      </w:r>
      <w:r w:rsidR="00AC186A">
        <w:rPr>
          <w:rFonts w:ascii="Arial" w:eastAsia="Arial" w:hAnsi="Arial" w:cs="Arial"/>
          <w:lang w:val="en-US"/>
        </w:rPr>
        <w:t xml:space="preserve"> repayments of</w:t>
      </w:r>
      <w:r w:rsidRPr="003B3C0B">
        <w:rPr>
          <w:rFonts w:ascii="Arial" w:eastAsia="Arial" w:hAnsi="Arial" w:cs="Arial"/>
          <w:lang w:val="en-US"/>
        </w:rPr>
        <w:t xml:space="preserve"> </w:t>
      </w:r>
      <w:r w:rsidR="005F674E">
        <w:rPr>
          <w:rFonts w:ascii="Arial" w:eastAsia="Arial" w:hAnsi="Arial" w:cs="Arial"/>
          <w:lang w:val="en-US"/>
        </w:rPr>
        <w:t xml:space="preserve">bank </w:t>
      </w:r>
      <w:r w:rsidR="00034B57">
        <w:rPr>
          <w:rFonts w:ascii="Arial" w:eastAsia="Arial" w:hAnsi="Arial" w:cs="Arial"/>
          <w:lang w:val="en-US"/>
        </w:rPr>
        <w:t>debt</w:t>
      </w:r>
      <w:r w:rsidRPr="003B3C0B">
        <w:rPr>
          <w:rFonts w:ascii="Arial" w:eastAsia="Arial" w:hAnsi="Arial" w:cs="Arial"/>
          <w:lang w:val="en-US"/>
        </w:rPr>
        <w:t xml:space="preserve"> </w:t>
      </w:r>
      <w:r w:rsidR="00B06523" w:rsidRPr="003B3C0B">
        <w:rPr>
          <w:rFonts w:ascii="Arial" w:eastAsia="Arial" w:hAnsi="Arial" w:cs="Arial"/>
          <w:lang w:val="en-US"/>
        </w:rPr>
        <w:t>and finance liabilities</w:t>
      </w:r>
      <w:r w:rsidRPr="003B3C0B">
        <w:rPr>
          <w:rFonts w:ascii="Arial" w:eastAsia="Arial" w:hAnsi="Arial" w:cs="Arial"/>
          <w:lang w:val="en-US"/>
        </w:rPr>
        <w:t>;</w:t>
      </w:r>
      <w:r>
        <w:rPr>
          <w:rFonts w:ascii="Arial" w:eastAsia="Arial" w:hAnsi="Arial" w:cs="Arial"/>
          <w:lang w:val="en-US"/>
        </w:rPr>
        <w:t xml:space="preserve"> $2</w:t>
      </w:r>
      <w:r w:rsidR="00FB730A">
        <w:rPr>
          <w:rFonts w:ascii="Arial" w:eastAsia="Arial" w:hAnsi="Arial" w:cs="Arial"/>
          <w:lang w:val="en-US"/>
        </w:rPr>
        <w:t>3</w:t>
      </w:r>
      <w:r>
        <w:rPr>
          <w:rFonts w:ascii="Arial" w:eastAsia="Arial" w:hAnsi="Arial" w:cs="Arial"/>
          <w:lang w:val="en-US"/>
        </w:rPr>
        <w:t>.</w:t>
      </w:r>
      <w:r w:rsidR="00FB730A">
        <w:rPr>
          <w:rFonts w:ascii="Arial" w:eastAsia="Arial" w:hAnsi="Arial" w:cs="Arial"/>
          <w:lang w:val="en-US"/>
        </w:rPr>
        <w:t>0</w:t>
      </w:r>
      <w:r>
        <w:rPr>
          <w:rFonts w:ascii="Arial" w:eastAsia="Arial" w:hAnsi="Arial" w:cs="Arial"/>
          <w:lang w:val="en-US"/>
        </w:rPr>
        <w:t xml:space="preserve"> million</w:t>
      </w:r>
      <w:r w:rsidR="00AC186A">
        <w:rPr>
          <w:rFonts w:ascii="Arial" w:eastAsia="Arial" w:hAnsi="Arial" w:cs="Arial"/>
          <w:lang w:val="en-US"/>
        </w:rPr>
        <w:t xml:space="preserve"> of</w:t>
      </w:r>
      <w:r w:rsidR="00FB730A">
        <w:rPr>
          <w:rFonts w:ascii="Arial" w:eastAsia="Arial" w:hAnsi="Arial" w:cs="Arial"/>
          <w:lang w:val="en-US"/>
        </w:rPr>
        <w:t xml:space="preserve"> payments for the repurchase of common stock</w:t>
      </w:r>
      <w:r>
        <w:rPr>
          <w:rFonts w:ascii="Arial" w:eastAsia="Arial" w:hAnsi="Arial" w:cs="Arial"/>
          <w:lang w:val="en-US"/>
        </w:rPr>
        <w:t>;</w:t>
      </w:r>
      <w:r w:rsidRPr="003B3C0B">
        <w:rPr>
          <w:rFonts w:ascii="Arial" w:eastAsia="Arial" w:hAnsi="Arial" w:cs="Arial"/>
          <w:lang w:val="en-US"/>
        </w:rPr>
        <w:t xml:space="preserve"> $5.8 million and $4.6 million of cash dividends paid on our preferred and common stock, respectively; and $0.4 million of finance costs paid in </w:t>
      </w:r>
      <w:r w:rsidR="00AC186A">
        <w:rPr>
          <w:rFonts w:ascii="Arial" w:eastAsia="Arial" w:hAnsi="Arial" w:cs="Arial"/>
          <w:lang w:val="en-US"/>
        </w:rPr>
        <w:t>connection with</w:t>
      </w:r>
      <w:r w:rsidRPr="003B3C0B">
        <w:rPr>
          <w:rFonts w:ascii="Arial" w:eastAsia="Arial" w:hAnsi="Arial" w:cs="Arial"/>
          <w:lang w:val="en-US"/>
        </w:rPr>
        <w:t xml:space="preserve"> </w:t>
      </w:r>
      <w:r w:rsidR="00AC186A">
        <w:rPr>
          <w:rFonts w:ascii="Arial" w:eastAsia="Arial" w:hAnsi="Arial" w:cs="Arial"/>
          <w:lang w:val="en-US"/>
        </w:rPr>
        <w:t>the</w:t>
      </w:r>
      <w:r w:rsidRPr="003B3C0B">
        <w:rPr>
          <w:rFonts w:ascii="Arial" w:eastAsia="Arial" w:hAnsi="Arial" w:cs="Arial"/>
          <w:lang w:val="en-US"/>
        </w:rPr>
        <w:t xml:space="preserve"> new loan agreement.</w:t>
      </w:r>
    </w:p>
    <w:p w14:paraId="71F3E713" w14:textId="77777777" w:rsidR="001B39DE" w:rsidRDefault="001B39DE" w:rsidP="003B3C0B">
      <w:pPr>
        <w:pBdr>
          <w:top w:val="nil"/>
          <w:left w:val="nil"/>
          <w:bottom w:val="nil"/>
          <w:right w:val="nil"/>
          <w:between w:val="nil"/>
          <w:bar w:val="nil"/>
        </w:pBdr>
        <w:jc w:val="both"/>
        <w:rPr>
          <w:rFonts w:ascii="Arial" w:eastAsia="Arial" w:hAnsi="Arial" w:cs="Arial"/>
          <w:bdr w:val="nil"/>
          <w:lang w:val="en-US"/>
        </w:rPr>
      </w:pPr>
    </w:p>
    <w:p w14:paraId="71F3E714" w14:textId="77777777" w:rsidR="00DD5C93" w:rsidRPr="00DD5C93" w:rsidRDefault="003A4815" w:rsidP="00DD5C93">
      <w:pPr>
        <w:pBdr>
          <w:top w:val="nil"/>
          <w:left w:val="nil"/>
          <w:bottom w:val="nil"/>
          <w:right w:val="nil"/>
          <w:between w:val="nil"/>
          <w:bar w:val="nil"/>
        </w:pBdr>
        <w:jc w:val="both"/>
        <w:rPr>
          <w:rFonts w:ascii="Arial" w:eastAsia="Arial" w:hAnsi="Arial" w:cs="Arial"/>
          <w:bdr w:val="nil"/>
          <w:lang w:val="en-US"/>
        </w:rPr>
      </w:pPr>
      <w:r w:rsidRPr="00DD5C93">
        <w:rPr>
          <w:rFonts w:ascii="Arial" w:eastAsia="Arial" w:hAnsi="Arial" w:cs="Arial"/>
          <w:lang w:val="en-US"/>
        </w:rPr>
        <w:t xml:space="preserve">Net cash used in financing activities was $21.7 million for 2024, which consists of $117.2 million proceeds from issuance of long term debt; $123.0 million of </w:t>
      </w:r>
      <w:r w:rsidR="005F674E">
        <w:rPr>
          <w:rFonts w:ascii="Arial" w:eastAsia="Arial" w:hAnsi="Arial" w:cs="Arial"/>
          <w:lang w:val="en-US"/>
        </w:rPr>
        <w:t xml:space="preserve">bank </w:t>
      </w:r>
      <w:r w:rsidR="00034B57">
        <w:rPr>
          <w:rFonts w:ascii="Arial" w:eastAsia="Arial" w:hAnsi="Arial" w:cs="Arial"/>
          <w:lang w:val="en-US"/>
        </w:rPr>
        <w:t>debt</w:t>
      </w:r>
      <w:r w:rsidRPr="00DD5C93">
        <w:rPr>
          <w:rFonts w:ascii="Arial" w:eastAsia="Arial" w:hAnsi="Arial" w:cs="Arial"/>
          <w:lang w:val="en-US"/>
        </w:rPr>
        <w:t xml:space="preserve"> and finance liabilities that we repaid; $24.2 million proceeds from issuance of common stock; $5.8 million and $29.0 million of cash dividends paid on our preferred and common stock, respectively; and $5.3 million of finance costs paid in relation to new loan agreements.</w:t>
      </w:r>
    </w:p>
    <w:p w14:paraId="71F3E715" w14:textId="77777777" w:rsidR="004146F6" w:rsidRDefault="004146F6" w:rsidP="003B3C0B">
      <w:pPr>
        <w:pBdr>
          <w:top w:val="nil"/>
          <w:left w:val="nil"/>
          <w:bottom w:val="nil"/>
          <w:right w:val="nil"/>
          <w:between w:val="nil"/>
          <w:bar w:val="nil"/>
        </w:pBdr>
        <w:jc w:val="both"/>
        <w:rPr>
          <w:rFonts w:ascii="Arial" w:eastAsia="Arial" w:hAnsi="Arial" w:cs="Arial"/>
          <w:bdr w:val="nil"/>
          <w:lang w:val="en-US"/>
        </w:rPr>
      </w:pPr>
    </w:p>
    <w:p w14:paraId="71F3E716" w14:textId="77777777" w:rsidR="00FB57A5" w:rsidRPr="00FB57A5" w:rsidRDefault="003A4815" w:rsidP="00FB57A5">
      <w:pPr>
        <w:pBdr>
          <w:top w:val="nil"/>
          <w:left w:val="nil"/>
          <w:bottom w:val="nil"/>
          <w:right w:val="nil"/>
          <w:between w:val="nil"/>
          <w:bar w:val="nil"/>
        </w:pBdr>
        <w:jc w:val="both"/>
        <w:rPr>
          <w:rFonts w:ascii="Arial" w:eastAsia="Arial" w:hAnsi="Arial" w:cs="Arial"/>
          <w:bdr w:val="nil"/>
          <w:lang w:val="en-US"/>
        </w:rPr>
      </w:pPr>
      <w:r w:rsidRPr="00FB57A5">
        <w:rPr>
          <w:rFonts w:ascii="Arial" w:eastAsia="Arial" w:hAnsi="Arial" w:cs="Arial"/>
          <w:lang w:val="en-US"/>
        </w:rPr>
        <w:t xml:space="preserve">For a detailed discussion of cash flows for the year ended December 31, </w:t>
      </w:r>
      <w:r w:rsidR="004310D3">
        <w:rPr>
          <w:rFonts w:ascii="Arial" w:eastAsia="Arial" w:hAnsi="Arial" w:cs="Arial"/>
          <w:lang w:val="en-US"/>
        </w:rPr>
        <w:t>2024</w:t>
      </w:r>
      <w:r w:rsidRPr="00FB57A5">
        <w:rPr>
          <w:rFonts w:ascii="Arial" w:eastAsia="Arial" w:hAnsi="Arial" w:cs="Arial"/>
          <w:lang w:val="en-US"/>
        </w:rPr>
        <w:t xml:space="preserve"> compared to the year ended December 31, </w:t>
      </w:r>
      <w:r w:rsidR="004310D3">
        <w:rPr>
          <w:rFonts w:ascii="Arial" w:eastAsia="Arial" w:hAnsi="Arial" w:cs="Arial"/>
          <w:lang w:val="en-US"/>
        </w:rPr>
        <w:t>2023</w:t>
      </w:r>
      <w:r w:rsidRPr="00FB57A5">
        <w:rPr>
          <w:rFonts w:ascii="Arial" w:eastAsia="Arial" w:hAnsi="Arial" w:cs="Arial"/>
          <w:lang w:val="en-US"/>
        </w:rPr>
        <w:t xml:space="preserve"> please see “Item 5. Operating and Financial Review and Prospects - B. Liquidity and Capital Resources” included in our </w:t>
      </w:r>
      <w:r w:rsidR="004310D3">
        <w:rPr>
          <w:rFonts w:ascii="Arial" w:eastAsia="Arial" w:hAnsi="Arial" w:cs="Arial"/>
          <w:lang w:val="en-US"/>
        </w:rPr>
        <w:t>2024</w:t>
      </w:r>
      <w:r w:rsidRPr="00FB57A5">
        <w:rPr>
          <w:rFonts w:ascii="Arial" w:eastAsia="Arial" w:hAnsi="Arial" w:cs="Arial"/>
          <w:lang w:val="en-US"/>
        </w:rPr>
        <w:t xml:space="preserve"> Annual Report filed on Form 20-F with the SEC on </w:t>
      </w:r>
      <w:r w:rsidR="004310D3">
        <w:rPr>
          <w:rFonts w:ascii="Arial" w:eastAsia="Arial" w:hAnsi="Arial" w:cs="Arial"/>
          <w:lang w:val="en-US"/>
        </w:rPr>
        <w:t>March</w:t>
      </w:r>
      <w:r w:rsidRPr="00FB57A5">
        <w:rPr>
          <w:rFonts w:ascii="Arial" w:eastAsia="Arial" w:hAnsi="Arial" w:cs="Arial"/>
          <w:lang w:val="en-US"/>
        </w:rPr>
        <w:t xml:space="preserve"> </w:t>
      </w:r>
      <w:r w:rsidR="004310D3">
        <w:rPr>
          <w:rFonts w:ascii="Arial" w:eastAsia="Arial" w:hAnsi="Arial" w:cs="Arial"/>
          <w:lang w:val="en-US"/>
        </w:rPr>
        <w:t>21,</w:t>
      </w:r>
      <w:r w:rsidRPr="00FB57A5">
        <w:rPr>
          <w:rFonts w:ascii="Arial" w:eastAsia="Arial" w:hAnsi="Arial" w:cs="Arial"/>
          <w:lang w:val="en-US"/>
        </w:rPr>
        <w:t xml:space="preserve"> </w:t>
      </w:r>
      <w:r w:rsidR="004310D3">
        <w:rPr>
          <w:rFonts w:ascii="Arial" w:eastAsia="Arial" w:hAnsi="Arial" w:cs="Arial"/>
          <w:lang w:val="en-US"/>
        </w:rPr>
        <w:t>2025</w:t>
      </w:r>
      <w:r w:rsidRPr="00FB57A5">
        <w:rPr>
          <w:rFonts w:ascii="Arial" w:eastAsia="Arial" w:hAnsi="Arial" w:cs="Arial"/>
          <w:lang w:val="en-US"/>
        </w:rPr>
        <w:t>.</w:t>
      </w:r>
    </w:p>
    <w:p w14:paraId="71F3E717"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718" w14:textId="77777777" w:rsidR="00FD7CE2" w:rsidRPr="00E35151" w:rsidRDefault="003A4815" w:rsidP="00D3518B">
      <w:pPr>
        <w:pStyle w:val="Heading3"/>
        <w:keepLines/>
        <w:pBdr>
          <w:top w:val="nil"/>
          <w:left w:val="nil"/>
          <w:bottom w:val="nil"/>
          <w:right w:val="nil"/>
          <w:between w:val="nil"/>
          <w:bar w:val="nil"/>
        </w:pBdr>
        <w:rPr>
          <w:rFonts w:eastAsia="Arial" w:cs="Arial"/>
          <w:i w:val="0"/>
          <w:bdr w:val="nil"/>
          <w:lang w:val="en-US" w:eastAsia="el-GR" w:bidi="en-US"/>
        </w:rPr>
      </w:pPr>
      <w:bookmarkStart w:id="166" w:name="RG_MARKER_22975"/>
      <w:r>
        <w:rPr>
          <w:rFonts w:eastAsia="Arial" w:cs="Arial"/>
          <w:i w:val="0"/>
          <w:szCs w:val="22"/>
          <w:lang w:val="en-US" w:eastAsia="el-GR" w:bidi="en-US"/>
        </w:rPr>
        <w:t xml:space="preserve">Commitments for </w:t>
      </w:r>
      <w:bookmarkEnd w:id="166"/>
      <w:r w:rsidR="00D40E3A" w:rsidRPr="00E35151">
        <w:rPr>
          <w:rFonts w:eastAsia="Arial" w:cs="Arial"/>
          <w:i w:val="0"/>
          <w:szCs w:val="22"/>
          <w:lang w:val="en-US" w:eastAsia="el-GR" w:bidi="en-US"/>
        </w:rPr>
        <w:t>Capital Expenditures</w:t>
      </w:r>
    </w:p>
    <w:p w14:paraId="71F3E719" w14:textId="77777777" w:rsidR="0052531E" w:rsidRPr="00D3518B" w:rsidRDefault="0052531E" w:rsidP="00D3518B">
      <w:pPr>
        <w:keepNext/>
        <w:keepLines/>
        <w:pBdr>
          <w:top w:val="nil"/>
          <w:left w:val="nil"/>
          <w:bottom w:val="nil"/>
          <w:right w:val="nil"/>
          <w:between w:val="nil"/>
          <w:bar w:val="nil"/>
        </w:pBdr>
        <w:jc w:val="both"/>
        <w:rPr>
          <w:rFonts w:ascii="Arial" w:eastAsia="Arial" w:hAnsi="Arial" w:cs="Arial"/>
          <w:bdr w:val="nil"/>
          <w:lang w:val="en-US"/>
        </w:rPr>
      </w:pPr>
    </w:p>
    <w:p w14:paraId="71F3E71A" w14:textId="77777777" w:rsidR="00EC720A" w:rsidRPr="003E028F" w:rsidRDefault="003A4815" w:rsidP="00EC720A">
      <w:pPr>
        <w:pBdr>
          <w:top w:val="nil"/>
          <w:left w:val="nil"/>
          <w:bottom w:val="nil"/>
          <w:right w:val="nil"/>
          <w:between w:val="nil"/>
          <w:bar w:val="nil"/>
        </w:pBdr>
        <w:jc w:val="both"/>
        <w:rPr>
          <w:rFonts w:ascii="Arial" w:eastAsia="Arial" w:hAnsi="Arial" w:cs="Arial"/>
          <w:bdr w:val="nil"/>
          <w:lang w:val="en-US"/>
        </w:rPr>
      </w:pPr>
      <w:r w:rsidRPr="00EC720A">
        <w:rPr>
          <w:rFonts w:ascii="Arial" w:eastAsia="Arial" w:hAnsi="Arial" w:cs="Arial"/>
          <w:szCs w:val="24"/>
          <w:lang w:val="en-US" w:bidi="en-US"/>
        </w:rPr>
        <w:t xml:space="preserve">As of the date of this annual report, </w:t>
      </w:r>
      <w:r w:rsidR="00FF3D29">
        <w:rPr>
          <w:rFonts w:ascii="Arial" w:eastAsia="Arial" w:hAnsi="Arial" w:cs="Arial"/>
          <w:szCs w:val="24"/>
          <w:lang w:val="en-US" w:bidi="en-US"/>
        </w:rPr>
        <w:t xml:space="preserve">we have outstanding commitments amounting to: (i) </w:t>
      </w:r>
      <w:r w:rsidRPr="00EC720A">
        <w:rPr>
          <w:rFonts w:ascii="Arial" w:eastAsia="Arial" w:hAnsi="Arial" w:cs="Arial"/>
          <w:szCs w:val="24"/>
          <w:lang w:val="en-US" w:bidi="en-US"/>
        </w:rPr>
        <w:t>$73.6 million for the construction of two 81,200 dwt methanol dual</w:t>
      </w:r>
      <w:r w:rsidRPr="00EC720A">
        <w:rPr>
          <w:rFonts w:ascii="Arial" w:eastAsia="Arial" w:hAnsi="Arial" w:cs="Arial"/>
          <w:szCs w:val="24"/>
          <w:lang w:val="en-US" w:bidi="en-US"/>
        </w:rPr>
        <w:noBreakHyphen/>
        <w:t>fuel newbuilding Kamsarmax dry bulk vessels expected to be delivered in the third quarter of 2027 and the first quarter of 2028</w:t>
      </w:r>
      <w:r w:rsidR="00FF3D29">
        <w:rPr>
          <w:rFonts w:ascii="Arial" w:eastAsia="Arial" w:hAnsi="Arial" w:cs="Arial"/>
          <w:szCs w:val="24"/>
          <w:lang w:val="en-US" w:bidi="en-US"/>
        </w:rPr>
        <w:t xml:space="preserve">; (ii)  </w:t>
      </w:r>
      <w:r w:rsidR="00077CD7" w:rsidRPr="00EC720A">
        <w:rPr>
          <w:rFonts w:ascii="Arial" w:eastAsia="Arial" w:hAnsi="Arial" w:cs="Arial"/>
          <w:szCs w:val="24"/>
          <w:lang w:val="en-US" w:bidi="en-US"/>
        </w:rPr>
        <w:t>€</w:t>
      </w:r>
      <w:r w:rsidR="00077CD7">
        <w:rPr>
          <w:rFonts w:ascii="Arial" w:eastAsia="Arial" w:hAnsi="Arial" w:cs="Arial"/>
          <w:szCs w:val="24"/>
          <w:lang w:val="en-US" w:bidi="en-US"/>
        </w:rPr>
        <w:t>9.</w:t>
      </w:r>
      <w:r w:rsidR="00D50495">
        <w:rPr>
          <w:rFonts w:ascii="Arial" w:eastAsia="Arial" w:hAnsi="Arial" w:cs="Arial"/>
          <w:szCs w:val="24"/>
          <w:lang w:val="en-US" w:bidi="en-US"/>
        </w:rPr>
        <w:t>4</w:t>
      </w:r>
      <w:r w:rsidR="00077CD7">
        <w:rPr>
          <w:rFonts w:ascii="Arial" w:eastAsia="Arial" w:hAnsi="Arial" w:cs="Arial"/>
          <w:szCs w:val="24"/>
          <w:lang w:val="en-US" w:bidi="en-US"/>
        </w:rPr>
        <w:t xml:space="preserve"> milli</w:t>
      </w:r>
      <w:r w:rsidR="00077CD7" w:rsidRPr="00077CD7">
        <w:rPr>
          <w:rFonts w:ascii="Arial" w:eastAsia="Arial" w:hAnsi="Arial" w:cs="Arial"/>
          <w:szCs w:val="24"/>
          <w:lang w:val="en-US" w:bidi="en-US"/>
        </w:rPr>
        <w:t xml:space="preserve">on </w:t>
      </w:r>
      <w:r w:rsidR="00FF3D29">
        <w:rPr>
          <w:rFonts w:ascii="Arial" w:eastAsia="Arial" w:hAnsi="Arial" w:cs="Arial"/>
          <w:szCs w:val="24"/>
          <w:lang w:val="en-US" w:bidi="en-US"/>
        </w:rPr>
        <w:t xml:space="preserve">under our joint venture agreement with </w:t>
      </w:r>
      <w:r w:rsidRPr="00077CD7">
        <w:rPr>
          <w:rFonts w:ascii="Arial" w:eastAsia="Arial" w:hAnsi="Arial" w:cs="Arial"/>
          <w:szCs w:val="24"/>
          <w:lang w:val="en-US" w:bidi="en-US"/>
        </w:rPr>
        <w:t>Windward</w:t>
      </w:r>
      <w:r w:rsidR="00FF3D29">
        <w:rPr>
          <w:rFonts w:ascii="Arial" w:eastAsia="Arial" w:hAnsi="Arial" w:cs="Arial"/>
          <w:szCs w:val="24"/>
          <w:lang w:val="en-US" w:bidi="en-US"/>
        </w:rPr>
        <w:t xml:space="preserve">; (iii) </w:t>
      </w:r>
      <w:r w:rsidRPr="00EC720A">
        <w:rPr>
          <w:rFonts w:ascii="Arial" w:eastAsia="Arial" w:hAnsi="Arial" w:cs="Arial"/>
          <w:szCs w:val="24"/>
          <w:lang w:val="en-US" w:bidi="en-US"/>
        </w:rPr>
        <w:t xml:space="preserve">$8.2 million </w:t>
      </w:r>
      <w:r w:rsidR="00FF3D29">
        <w:rPr>
          <w:rFonts w:ascii="Arial" w:eastAsia="Arial" w:hAnsi="Arial" w:cs="Arial"/>
          <w:szCs w:val="24"/>
          <w:lang w:val="en-US" w:bidi="en-US"/>
        </w:rPr>
        <w:t xml:space="preserve">remaining commitment </w:t>
      </w:r>
      <w:r w:rsidRPr="00EC720A">
        <w:rPr>
          <w:rFonts w:ascii="Arial" w:eastAsia="Arial" w:hAnsi="Arial" w:cs="Arial"/>
          <w:szCs w:val="24"/>
          <w:lang w:val="en-US" w:bidi="en-US"/>
        </w:rPr>
        <w:t>to Ecogas for the construction of two 7,500 cbm LPG vessels with</w:t>
      </w:r>
      <w:r w:rsidR="0086283A">
        <w:rPr>
          <w:rFonts w:ascii="Arial" w:eastAsia="Arial" w:hAnsi="Arial" w:cs="Arial"/>
          <w:szCs w:val="24"/>
          <w:lang w:val="en-US" w:bidi="en-US"/>
        </w:rPr>
        <w:t xml:space="preserve"> expected</w:t>
      </w:r>
      <w:r w:rsidRPr="00EC720A">
        <w:rPr>
          <w:rFonts w:ascii="Arial" w:eastAsia="Arial" w:hAnsi="Arial" w:cs="Arial"/>
          <w:szCs w:val="24"/>
          <w:lang w:val="en-US" w:bidi="en-US"/>
        </w:rPr>
        <w:t xml:space="preserve"> deliver</w:t>
      </w:r>
      <w:r w:rsidR="00FF3D29">
        <w:rPr>
          <w:rFonts w:ascii="Arial" w:eastAsia="Arial" w:hAnsi="Arial" w:cs="Arial"/>
          <w:szCs w:val="24"/>
          <w:lang w:val="en-US" w:bidi="en-US"/>
        </w:rPr>
        <w:t>ies</w:t>
      </w:r>
      <w:r w:rsidRPr="00EC720A">
        <w:rPr>
          <w:rFonts w:ascii="Arial" w:eastAsia="Arial" w:hAnsi="Arial" w:cs="Arial"/>
          <w:szCs w:val="24"/>
          <w:lang w:val="en-US" w:bidi="en-US"/>
        </w:rPr>
        <w:t xml:space="preserve"> in 2027</w:t>
      </w:r>
      <w:r w:rsidR="00FF3D29">
        <w:rPr>
          <w:rFonts w:ascii="Arial" w:eastAsia="Arial" w:hAnsi="Arial" w:cs="Arial"/>
          <w:szCs w:val="24"/>
          <w:lang w:val="en-US" w:bidi="en-US"/>
        </w:rPr>
        <w:t xml:space="preserve"> and (iv) </w:t>
      </w:r>
      <w:r w:rsidR="003E028F" w:rsidRPr="003E028F">
        <w:rPr>
          <w:rFonts w:ascii="Arial" w:eastAsia="Arial" w:hAnsi="Arial" w:cs="Arial"/>
          <w:szCs w:val="24"/>
          <w:lang w:val="en-US" w:bidi="en-US"/>
        </w:rPr>
        <w:t xml:space="preserve">$50.4 million </w:t>
      </w:r>
      <w:r w:rsidR="00FF3D29">
        <w:rPr>
          <w:rFonts w:ascii="Arial" w:eastAsia="Arial" w:hAnsi="Arial" w:cs="Arial"/>
          <w:szCs w:val="24"/>
          <w:lang w:val="en-US" w:bidi="en-US"/>
        </w:rPr>
        <w:t xml:space="preserve">of purchase obligations under our </w:t>
      </w:r>
      <w:r w:rsidR="003E028F" w:rsidRPr="003E028F">
        <w:rPr>
          <w:rFonts w:ascii="Arial" w:eastAsia="Arial" w:hAnsi="Arial" w:cs="Arial"/>
          <w:szCs w:val="24"/>
          <w:lang w:val="en-US" w:bidi="en-US"/>
        </w:rPr>
        <w:t>lease agreements.</w:t>
      </w:r>
    </w:p>
    <w:p w14:paraId="71F3E71B" w14:textId="77777777" w:rsidR="00EC720A" w:rsidRDefault="00EC720A" w:rsidP="00D3518B">
      <w:pPr>
        <w:pBdr>
          <w:top w:val="nil"/>
          <w:left w:val="nil"/>
          <w:bottom w:val="nil"/>
          <w:right w:val="nil"/>
          <w:between w:val="nil"/>
          <w:bar w:val="nil"/>
        </w:pBdr>
        <w:jc w:val="both"/>
        <w:rPr>
          <w:rFonts w:ascii="Arial" w:eastAsia="Arial" w:hAnsi="Arial" w:cs="Arial"/>
          <w:bdr w:val="nil"/>
          <w:lang w:val="en-US"/>
        </w:rPr>
      </w:pPr>
    </w:p>
    <w:p w14:paraId="71F3E71C" w14:textId="77777777" w:rsidR="00EC720A" w:rsidRDefault="003A4815" w:rsidP="00D3518B">
      <w:pPr>
        <w:pBdr>
          <w:top w:val="nil"/>
          <w:left w:val="nil"/>
          <w:bottom w:val="nil"/>
          <w:right w:val="nil"/>
          <w:between w:val="nil"/>
          <w:bar w:val="nil"/>
        </w:pBdr>
        <w:jc w:val="both"/>
        <w:rPr>
          <w:rFonts w:ascii="Arial" w:eastAsia="Arial" w:hAnsi="Arial" w:cs="Arial"/>
          <w:bdr w:val="nil"/>
          <w:lang w:val="en-US"/>
        </w:rPr>
      </w:pPr>
      <w:r w:rsidRPr="00EC720A">
        <w:rPr>
          <w:rFonts w:ascii="Arial" w:eastAsia="Arial" w:hAnsi="Arial" w:cs="Arial"/>
          <w:bdr w:val="none" w:sz="0" w:space="0" w:color="auto" w:frame="1"/>
          <w:lang w:val="en-US" w:bidi="en-US"/>
        </w:rPr>
        <w:t xml:space="preserve">We also incur capital expenditures when our vessels undergo statutory </w:t>
      </w:r>
      <w:r w:rsidR="00FF3D29">
        <w:rPr>
          <w:rFonts w:ascii="Arial" w:eastAsia="Arial" w:hAnsi="Arial" w:cs="Arial"/>
          <w:bdr w:val="none" w:sz="0" w:space="0" w:color="auto" w:frame="1"/>
          <w:lang w:val="en-US" w:bidi="en-US"/>
        </w:rPr>
        <w:t xml:space="preserve">(drydock and special) </w:t>
      </w:r>
      <w:r w:rsidRPr="00EC720A">
        <w:rPr>
          <w:rFonts w:ascii="Arial" w:eastAsia="Arial" w:hAnsi="Arial" w:cs="Arial"/>
          <w:bdr w:val="none" w:sz="0" w:space="0" w:color="auto" w:frame="1"/>
          <w:lang w:val="en-US" w:bidi="en-US"/>
        </w:rPr>
        <w:t>surveys. This process may require us to reposition vessels from discharging ports to shipyard facilities, which reduces operating days during the period. Additional capital expenditure may also be required for vessel improvements needed to comply with new or upcoming regulations</w:t>
      </w:r>
      <w:r w:rsidR="00032562" w:rsidRPr="008D27B8">
        <w:rPr>
          <w:rFonts w:ascii="Arial" w:eastAsia="Arial" w:hAnsi="Arial" w:cs="Arial"/>
          <w:bdr w:val="none" w:sz="0" w:space="0" w:color="auto" w:frame="1"/>
          <w:lang w:val="en-US" w:bidi="en-US"/>
        </w:rPr>
        <w:t xml:space="preserve">. </w:t>
      </w:r>
    </w:p>
    <w:p w14:paraId="71F3E71D" w14:textId="77777777" w:rsidR="00EC720A" w:rsidRDefault="00EC720A" w:rsidP="00D3518B">
      <w:pPr>
        <w:pBdr>
          <w:top w:val="nil"/>
          <w:left w:val="nil"/>
          <w:bottom w:val="nil"/>
          <w:right w:val="nil"/>
          <w:between w:val="nil"/>
          <w:bar w:val="nil"/>
        </w:pBdr>
        <w:jc w:val="both"/>
        <w:rPr>
          <w:rFonts w:ascii="Arial" w:eastAsia="Arial" w:hAnsi="Arial" w:cs="Arial"/>
          <w:bdr w:val="nil"/>
          <w:lang w:val="en-US"/>
        </w:rPr>
      </w:pPr>
    </w:p>
    <w:p w14:paraId="71F3E71E" w14:textId="77777777" w:rsidR="00157DCD" w:rsidRDefault="003A4815" w:rsidP="00D3518B">
      <w:pPr>
        <w:pBdr>
          <w:top w:val="nil"/>
          <w:left w:val="nil"/>
          <w:bottom w:val="nil"/>
          <w:right w:val="nil"/>
          <w:between w:val="nil"/>
          <w:bar w:val="nil"/>
        </w:pBdr>
        <w:jc w:val="both"/>
        <w:rPr>
          <w:rFonts w:ascii="Arial" w:eastAsia="Arial" w:hAnsi="Arial" w:cs="Arial"/>
          <w:bdr w:val="nil"/>
          <w:lang w:val="en-US"/>
        </w:rPr>
      </w:pPr>
      <w:r w:rsidRPr="00EC720A">
        <w:rPr>
          <w:rFonts w:ascii="Arial" w:eastAsia="Arial" w:hAnsi="Arial" w:cs="Arial"/>
          <w:bdr w:val="none" w:sz="0" w:space="0" w:color="auto" w:frame="1"/>
          <w:lang w:val="en-US" w:bidi="en-US"/>
        </w:rPr>
        <w:t xml:space="preserve">Over the next twelve months, we will require capital to fund ongoing operations, debt service, </w:t>
      </w:r>
      <w:r w:rsidR="00FF3D29">
        <w:rPr>
          <w:rFonts w:ascii="Arial" w:eastAsia="Arial" w:hAnsi="Arial" w:cs="Arial"/>
          <w:bdr w:val="none" w:sz="0" w:space="0" w:color="auto" w:frame="1"/>
          <w:lang w:val="en-US" w:bidi="en-US"/>
        </w:rPr>
        <w:t xml:space="preserve">common and </w:t>
      </w:r>
      <w:r w:rsidRPr="00EC720A">
        <w:rPr>
          <w:rFonts w:ascii="Arial" w:eastAsia="Arial" w:hAnsi="Arial" w:cs="Arial"/>
          <w:bdr w:val="none" w:sz="0" w:space="0" w:color="auto" w:frame="1"/>
          <w:lang w:val="en-US" w:bidi="en-US"/>
        </w:rPr>
        <w:t>preferred dividend payments, bareboat charter hire payments</w:t>
      </w:r>
      <w:r w:rsidR="00FF3D29">
        <w:rPr>
          <w:rFonts w:ascii="Arial" w:eastAsia="Arial" w:hAnsi="Arial" w:cs="Arial"/>
          <w:bdr w:val="none" w:sz="0" w:space="0" w:color="auto" w:frame="1"/>
          <w:lang w:val="en-US" w:bidi="en-US"/>
        </w:rPr>
        <w:t>, and</w:t>
      </w:r>
      <w:r w:rsidR="00254BBB">
        <w:rPr>
          <w:rFonts w:ascii="Arial" w:eastAsia="Arial" w:hAnsi="Arial" w:cs="Arial"/>
          <w:bdr w:val="none" w:sz="0" w:space="0" w:color="auto" w:frame="1"/>
          <w:lang w:val="en-US" w:bidi="en-US"/>
        </w:rPr>
        <w:t xml:space="preserve"> investments.</w:t>
      </w:r>
    </w:p>
    <w:p w14:paraId="71F3E71F" w14:textId="77777777" w:rsidR="00EC720A" w:rsidRDefault="00EC720A" w:rsidP="00D3518B">
      <w:pPr>
        <w:pBdr>
          <w:top w:val="nil"/>
          <w:left w:val="nil"/>
          <w:bottom w:val="nil"/>
          <w:right w:val="nil"/>
          <w:between w:val="nil"/>
          <w:bar w:val="nil"/>
        </w:pBdr>
        <w:jc w:val="both"/>
        <w:rPr>
          <w:rFonts w:ascii="Arial" w:eastAsia="Arial" w:hAnsi="Arial" w:cs="Arial"/>
          <w:bdr w:val="nil"/>
          <w:lang w:val="en-US"/>
        </w:rPr>
      </w:pPr>
    </w:p>
    <w:p w14:paraId="71F3E720" w14:textId="77777777" w:rsidR="00254BBB" w:rsidRPr="00D3518B" w:rsidRDefault="003A4815" w:rsidP="00D3518B">
      <w:pPr>
        <w:pBdr>
          <w:top w:val="nil"/>
          <w:left w:val="nil"/>
          <w:bottom w:val="nil"/>
          <w:right w:val="nil"/>
          <w:between w:val="nil"/>
          <w:bar w:val="nil"/>
        </w:pBdr>
        <w:jc w:val="both"/>
        <w:rPr>
          <w:rFonts w:ascii="Arial" w:eastAsia="Arial" w:hAnsi="Arial" w:cs="Arial"/>
          <w:bdr w:val="nil"/>
          <w:lang w:val="en-US"/>
        </w:rPr>
      </w:pPr>
      <w:r w:rsidRPr="001E4B7B">
        <w:rPr>
          <w:rFonts w:ascii="Arial" w:eastAsia="Arial" w:hAnsi="Arial" w:cs="Arial"/>
          <w:bdr w:val="none" w:sz="0" w:space="0" w:color="auto" w:frame="1"/>
          <w:lang w:val="en-US" w:bidi="en-US"/>
        </w:rPr>
        <w:t>A</w:t>
      </w:r>
      <w:r w:rsidR="005924B3" w:rsidRPr="001E4B7B">
        <w:rPr>
          <w:rFonts w:ascii="Arial" w:eastAsia="Arial" w:hAnsi="Arial" w:cs="Arial"/>
          <w:bdr w:val="none" w:sz="0" w:space="0" w:color="auto" w:frame="1"/>
          <w:lang w:val="en-US" w:bidi="en-US"/>
        </w:rPr>
        <w:t>s</w:t>
      </w:r>
      <w:r w:rsidRPr="001E4B7B">
        <w:rPr>
          <w:rFonts w:ascii="Arial" w:eastAsia="Arial" w:hAnsi="Arial" w:cs="Arial"/>
          <w:bdr w:val="none" w:sz="0" w:space="0" w:color="auto" w:frame="1"/>
          <w:lang w:val="en-US" w:bidi="en-US"/>
        </w:rPr>
        <w:t xml:space="preserve"> </w:t>
      </w:r>
      <w:r w:rsidR="005924B3" w:rsidRPr="001E4B7B">
        <w:rPr>
          <w:rFonts w:ascii="Arial" w:eastAsia="Arial" w:hAnsi="Arial" w:cs="Arial"/>
          <w:bdr w:val="none" w:sz="0" w:space="0" w:color="auto" w:frame="1"/>
          <w:lang w:val="en-US" w:bidi="en-US"/>
        </w:rPr>
        <w:t xml:space="preserve">of the date of this annual report, we have </w:t>
      </w:r>
      <w:r w:rsidR="00545131" w:rsidRPr="001E4B7B">
        <w:rPr>
          <w:rFonts w:ascii="Arial" w:eastAsia="Arial" w:hAnsi="Arial" w:cs="Arial"/>
          <w:bdr w:val="none" w:sz="0" w:space="0" w:color="auto" w:frame="1"/>
          <w:lang w:val="en-US" w:bidi="en-US"/>
        </w:rPr>
        <w:t xml:space="preserve">contracted revenues covering </w:t>
      </w:r>
      <w:r w:rsidR="00163A8E" w:rsidRPr="001E4B7B">
        <w:rPr>
          <w:rFonts w:ascii="Arial" w:eastAsia="Arial" w:hAnsi="Arial" w:cs="Arial"/>
          <w:bdr w:val="none" w:sz="0" w:space="0" w:color="auto" w:frame="1"/>
          <w:lang w:val="en-US" w:bidi="en-US"/>
        </w:rPr>
        <w:t xml:space="preserve">around </w:t>
      </w:r>
      <w:r w:rsidR="0029265F">
        <w:rPr>
          <w:rFonts w:ascii="Arial" w:eastAsia="Arial" w:hAnsi="Arial" w:cs="Arial"/>
          <w:bdr w:val="none" w:sz="0" w:space="0" w:color="auto" w:frame="1"/>
          <w:lang w:val="en-US" w:bidi="en-US"/>
        </w:rPr>
        <w:t>81</w:t>
      </w:r>
      <w:r w:rsidR="005924B3" w:rsidRPr="001E4B7B">
        <w:rPr>
          <w:rFonts w:ascii="Arial" w:eastAsia="Arial" w:hAnsi="Arial" w:cs="Arial"/>
          <w:bdr w:val="none" w:sz="0" w:space="0" w:color="auto" w:frame="1"/>
          <w:lang w:val="en-US" w:bidi="en-US"/>
        </w:rPr>
        <w:t>% of our ownership days in 202</w:t>
      </w:r>
      <w:r w:rsidR="00BE1C59" w:rsidRPr="001E4B7B">
        <w:rPr>
          <w:rFonts w:ascii="Arial" w:eastAsia="Arial" w:hAnsi="Arial" w:cs="Arial"/>
          <w:bdr w:val="none" w:sz="0" w:space="0" w:color="auto" w:frame="1"/>
          <w:lang w:val="en-US" w:bidi="en-US"/>
        </w:rPr>
        <w:t>6</w:t>
      </w:r>
      <w:r w:rsidR="00163A8E" w:rsidRPr="001E4B7B">
        <w:rPr>
          <w:rFonts w:ascii="Arial" w:eastAsia="Arial" w:hAnsi="Arial" w:cs="Arial"/>
          <w:bdr w:val="none" w:sz="0" w:space="0" w:color="auto" w:frame="1"/>
          <w:lang w:val="en-US" w:bidi="en-US"/>
        </w:rPr>
        <w:t>,</w:t>
      </w:r>
      <w:r w:rsidR="00545131" w:rsidRPr="001E4B7B">
        <w:rPr>
          <w:rFonts w:ascii="Arial" w:eastAsia="Arial" w:hAnsi="Arial" w:cs="Arial"/>
          <w:bdr w:val="none" w:sz="0" w:space="0" w:color="auto" w:frame="1"/>
          <w:lang w:val="en-US" w:bidi="en-US"/>
        </w:rPr>
        <w:t xml:space="preserve"> in time charter agreements</w:t>
      </w:r>
      <w:r w:rsidR="005924B3" w:rsidRPr="001E4B7B">
        <w:rPr>
          <w:rFonts w:ascii="Arial" w:eastAsia="Arial" w:hAnsi="Arial" w:cs="Arial"/>
          <w:bdr w:val="none" w:sz="0" w:space="0" w:color="auto" w:frame="1"/>
          <w:lang w:val="en-US" w:bidi="en-US"/>
        </w:rPr>
        <w:t xml:space="preserve"> </w:t>
      </w:r>
      <w:r w:rsidR="00545131" w:rsidRPr="001E4B7B">
        <w:rPr>
          <w:rFonts w:ascii="Arial" w:eastAsia="Arial" w:hAnsi="Arial" w:cs="Arial"/>
          <w:bdr w:val="none" w:sz="0" w:space="0" w:color="auto" w:frame="1"/>
          <w:lang w:val="en-US" w:bidi="en-US"/>
        </w:rPr>
        <w:t xml:space="preserve">having </w:t>
      </w:r>
      <w:r w:rsidR="00163A8E" w:rsidRPr="001E4B7B">
        <w:rPr>
          <w:rFonts w:ascii="Arial" w:eastAsia="Arial" w:hAnsi="Arial" w:cs="Arial"/>
          <w:bdr w:val="none" w:sz="0" w:space="0" w:color="auto" w:frame="1"/>
          <w:lang w:val="en-US" w:bidi="en-US"/>
        </w:rPr>
        <w:t xml:space="preserve">an </w:t>
      </w:r>
      <w:r w:rsidR="005924B3" w:rsidRPr="001E4B7B">
        <w:rPr>
          <w:rFonts w:ascii="Arial" w:eastAsia="Arial" w:hAnsi="Arial" w:cs="Arial"/>
          <w:bdr w:val="none" w:sz="0" w:space="0" w:color="auto" w:frame="1"/>
          <w:lang w:val="en-US" w:bidi="en-US"/>
        </w:rPr>
        <w:t>average time charter rate</w:t>
      </w:r>
      <w:r w:rsidR="00163A8E" w:rsidRPr="001E4B7B">
        <w:rPr>
          <w:rFonts w:ascii="Arial" w:eastAsia="Arial" w:hAnsi="Arial" w:cs="Arial"/>
          <w:bdr w:val="none" w:sz="0" w:space="0" w:color="auto" w:frame="1"/>
          <w:lang w:val="en-US" w:bidi="en-US"/>
        </w:rPr>
        <w:t xml:space="preserve"> </w:t>
      </w:r>
      <w:r w:rsidR="00420AEC">
        <w:rPr>
          <w:rFonts w:ascii="Arial" w:eastAsia="Arial" w:hAnsi="Arial" w:cs="Arial"/>
          <w:bdr w:val="none" w:sz="0" w:space="0" w:color="auto" w:frame="1"/>
          <w:lang w:val="en-US" w:bidi="en-US"/>
        </w:rPr>
        <w:t>above</w:t>
      </w:r>
      <w:r w:rsidR="00163A8E" w:rsidRPr="001E4B7B">
        <w:rPr>
          <w:rFonts w:ascii="Arial" w:eastAsia="Arial" w:hAnsi="Arial" w:cs="Arial"/>
          <w:bdr w:val="none" w:sz="0" w:space="0" w:color="auto" w:frame="1"/>
          <w:lang w:val="en-US" w:bidi="en-US"/>
        </w:rPr>
        <w:t xml:space="preserve"> our break-even rate as of December 31, 202</w:t>
      </w:r>
      <w:r w:rsidR="00BE1C59" w:rsidRPr="001E4B7B">
        <w:rPr>
          <w:rFonts w:ascii="Arial" w:eastAsia="Arial" w:hAnsi="Arial" w:cs="Arial"/>
          <w:bdr w:val="none" w:sz="0" w:space="0" w:color="auto" w:frame="1"/>
          <w:lang w:val="en-US" w:bidi="en-US"/>
        </w:rPr>
        <w:t>5</w:t>
      </w:r>
      <w:r w:rsidR="005924B3" w:rsidRPr="001E4B7B">
        <w:rPr>
          <w:rFonts w:ascii="Arial" w:eastAsia="Arial" w:hAnsi="Arial" w:cs="Arial"/>
          <w:bdr w:val="none" w:sz="0" w:space="0" w:color="auto" w:frame="1"/>
          <w:lang w:val="en-US" w:bidi="en-US"/>
        </w:rPr>
        <w:t xml:space="preserve">, and we have fixed around </w:t>
      </w:r>
      <w:r w:rsidR="00BE1C59" w:rsidRPr="001E4B7B">
        <w:rPr>
          <w:rFonts w:ascii="Arial" w:eastAsia="Arial" w:hAnsi="Arial" w:cs="Arial"/>
          <w:bdr w:val="none" w:sz="0" w:space="0" w:color="auto" w:frame="1"/>
          <w:lang w:val="en-US" w:bidi="en-US"/>
        </w:rPr>
        <w:t>9</w:t>
      </w:r>
      <w:r w:rsidR="005924B3" w:rsidRPr="001E4B7B">
        <w:rPr>
          <w:rFonts w:ascii="Arial" w:eastAsia="Arial" w:hAnsi="Arial" w:cs="Arial"/>
          <w:bdr w:val="none" w:sz="0" w:space="0" w:color="auto" w:frame="1"/>
          <w:lang w:val="en-US" w:bidi="en-US"/>
        </w:rPr>
        <w:t>% of our ownerships days in 202</w:t>
      </w:r>
      <w:r w:rsidR="00BE1C59" w:rsidRPr="001E4B7B">
        <w:rPr>
          <w:rFonts w:ascii="Arial" w:eastAsia="Arial" w:hAnsi="Arial" w:cs="Arial"/>
          <w:bdr w:val="none" w:sz="0" w:space="0" w:color="auto" w:frame="1"/>
          <w:lang w:val="en-US" w:bidi="en-US"/>
        </w:rPr>
        <w:t>7</w:t>
      </w:r>
      <w:r w:rsidR="005924B3" w:rsidRPr="001E4B7B">
        <w:rPr>
          <w:rFonts w:ascii="Arial" w:eastAsia="Arial" w:hAnsi="Arial" w:cs="Arial"/>
          <w:bdr w:val="none" w:sz="0" w:space="0" w:color="auto" w:frame="1"/>
          <w:lang w:val="en-US" w:bidi="en-US"/>
        </w:rPr>
        <w:t>.</w:t>
      </w:r>
      <w:r w:rsidR="005924B3" w:rsidRPr="00D3518B">
        <w:rPr>
          <w:rFonts w:ascii="Arial" w:eastAsia="Arial" w:hAnsi="Arial" w:cs="Arial"/>
          <w:bdr w:val="none" w:sz="0" w:space="0" w:color="auto" w:frame="1"/>
          <w:lang w:val="en-US" w:bidi="en-US"/>
        </w:rPr>
        <w:t xml:space="preserve"> </w:t>
      </w:r>
      <w:r w:rsidR="00B94A9D">
        <w:rPr>
          <w:rFonts w:ascii="Arial" w:eastAsia="Arial" w:hAnsi="Arial" w:cs="Arial"/>
          <w:bdr w:val="none" w:sz="0" w:space="0" w:color="auto" w:frame="1"/>
          <w:lang w:val="en-US" w:bidi="en-US"/>
        </w:rPr>
        <w:t>Our revenues for the unfixed days in 202</w:t>
      </w:r>
      <w:r w:rsidR="00BE1C59">
        <w:rPr>
          <w:rFonts w:ascii="Arial" w:eastAsia="Arial" w:hAnsi="Arial" w:cs="Arial"/>
          <w:bdr w:val="none" w:sz="0" w:space="0" w:color="auto" w:frame="1"/>
          <w:lang w:val="en-US" w:bidi="en-US"/>
        </w:rPr>
        <w:t>6</w:t>
      </w:r>
      <w:r w:rsidR="00B94A9D">
        <w:rPr>
          <w:rFonts w:ascii="Arial" w:eastAsia="Arial" w:hAnsi="Arial" w:cs="Arial"/>
          <w:bdr w:val="none" w:sz="0" w:space="0" w:color="auto" w:frame="1"/>
          <w:lang w:val="en-US" w:bidi="en-US"/>
        </w:rPr>
        <w:t xml:space="preserve"> and 202</w:t>
      </w:r>
      <w:r w:rsidR="00BE1C59">
        <w:rPr>
          <w:rFonts w:ascii="Arial" w:eastAsia="Arial" w:hAnsi="Arial" w:cs="Arial"/>
          <w:bdr w:val="none" w:sz="0" w:space="0" w:color="auto" w:frame="1"/>
          <w:lang w:val="en-US" w:bidi="en-US"/>
        </w:rPr>
        <w:t>7</w:t>
      </w:r>
      <w:r w:rsidR="00B94A9D">
        <w:rPr>
          <w:rFonts w:ascii="Arial" w:eastAsia="Arial" w:hAnsi="Arial" w:cs="Arial"/>
          <w:bdr w:val="none" w:sz="0" w:space="0" w:color="auto" w:frame="1"/>
          <w:lang w:val="en-US" w:bidi="en-US"/>
        </w:rPr>
        <w:t xml:space="preserve"> will be affected by the developments in the dry bulk market </w:t>
      </w:r>
      <w:r w:rsidR="00553DD2">
        <w:rPr>
          <w:rFonts w:ascii="Arial" w:eastAsia="Arial" w:hAnsi="Arial" w:cs="Arial"/>
          <w:bdr w:val="none" w:sz="0" w:space="0" w:color="auto" w:frame="1"/>
          <w:lang w:val="en-US" w:bidi="en-US"/>
        </w:rPr>
        <w:t xml:space="preserve">and we </w:t>
      </w:r>
      <w:r w:rsidR="00B94A9D" w:rsidRPr="00B94A9D">
        <w:rPr>
          <w:rFonts w:ascii="Arial" w:eastAsia="Arial" w:hAnsi="Arial" w:cs="Arial"/>
          <w:bdr w:val="none" w:sz="0" w:space="0" w:color="auto" w:frame="1"/>
          <w:lang w:val="en-US" w:bidi="en-US"/>
        </w:rPr>
        <w:t xml:space="preserve">cannot assure you that we will be able to successfully renew existing charters at rates sufficient to allow us to meet </w:t>
      </w:r>
      <w:r w:rsidR="00553DD2">
        <w:rPr>
          <w:rFonts w:ascii="Arial" w:eastAsia="Arial" w:hAnsi="Arial" w:cs="Arial"/>
          <w:bdr w:val="none" w:sz="0" w:space="0" w:color="auto" w:frame="1"/>
          <w:lang w:val="en-US" w:bidi="en-US"/>
        </w:rPr>
        <w:t xml:space="preserve">all of </w:t>
      </w:r>
      <w:r w:rsidR="00B94A9D" w:rsidRPr="00B94A9D">
        <w:rPr>
          <w:rFonts w:ascii="Arial" w:eastAsia="Arial" w:hAnsi="Arial" w:cs="Arial"/>
          <w:bdr w:val="none" w:sz="0" w:space="0" w:color="auto" w:frame="1"/>
          <w:lang w:val="en-US" w:bidi="en-US"/>
        </w:rPr>
        <w:t>our obligations</w:t>
      </w:r>
      <w:r w:rsidR="00553DD2">
        <w:rPr>
          <w:rFonts w:ascii="Arial" w:eastAsia="Arial" w:hAnsi="Arial" w:cs="Arial"/>
          <w:bdr w:val="none" w:sz="0" w:space="0" w:color="auto" w:frame="1"/>
          <w:lang w:val="en-US" w:bidi="en-US"/>
        </w:rPr>
        <w:t xml:space="preserve">. </w:t>
      </w:r>
      <w:r>
        <w:rPr>
          <w:rFonts w:ascii="Arial" w:eastAsia="Arial" w:hAnsi="Arial" w:cs="Arial"/>
          <w:bdr w:val="none" w:sz="0" w:space="0" w:color="auto" w:frame="1"/>
          <w:lang w:val="en-US" w:bidi="en-US"/>
        </w:rPr>
        <w:t>A</w:t>
      </w:r>
      <w:r w:rsidR="00553DD2">
        <w:rPr>
          <w:rFonts w:ascii="Arial" w:eastAsia="Arial" w:hAnsi="Arial" w:cs="Arial"/>
          <w:bdr w:val="none" w:sz="0" w:space="0" w:color="auto" w:frame="1"/>
          <w:lang w:val="en-US" w:bidi="en-US"/>
        </w:rPr>
        <w:t>s of the date of this annual report, w</w:t>
      </w:r>
      <w:r w:rsidR="00163A8E" w:rsidRPr="00D3518B">
        <w:rPr>
          <w:rFonts w:ascii="Arial" w:eastAsia="Arial" w:hAnsi="Arial" w:cs="Arial"/>
          <w:bdr w:val="none" w:sz="0" w:space="0" w:color="auto" w:frame="1"/>
          <w:lang w:val="en-US" w:bidi="en-US"/>
        </w:rPr>
        <w:t>e believe that contracted and anticipated revenues will result in internally generated cash flows and together with available cash</w:t>
      </w:r>
      <w:r w:rsidR="00163A8E">
        <w:rPr>
          <w:rFonts w:ascii="Arial" w:eastAsia="Arial" w:hAnsi="Arial" w:cs="Arial"/>
          <w:bdr w:val="none" w:sz="0" w:space="0" w:color="auto" w:frame="1"/>
          <w:lang w:val="en-US" w:bidi="en-US"/>
        </w:rPr>
        <w:t xml:space="preserve"> and cash equivalents</w:t>
      </w:r>
      <w:r w:rsidR="00163A8E" w:rsidRPr="00D3518B">
        <w:rPr>
          <w:rFonts w:ascii="Arial" w:eastAsia="Arial" w:hAnsi="Arial" w:cs="Arial"/>
          <w:bdr w:val="none" w:sz="0" w:space="0" w:color="auto" w:frame="1"/>
          <w:lang w:val="en-US" w:bidi="en-US"/>
        </w:rPr>
        <w:t xml:space="preserve"> will be sufficient to fund </w:t>
      </w:r>
      <w:r w:rsidR="00553DD2">
        <w:rPr>
          <w:rFonts w:ascii="Arial" w:eastAsia="Arial" w:hAnsi="Arial" w:cs="Arial"/>
          <w:bdr w:val="none" w:sz="0" w:space="0" w:color="auto" w:frame="1"/>
          <w:lang w:val="en-US" w:bidi="en-US"/>
        </w:rPr>
        <w:t xml:space="preserve">our </w:t>
      </w:r>
      <w:r>
        <w:rPr>
          <w:rFonts w:ascii="Arial" w:eastAsia="Arial" w:hAnsi="Arial" w:cs="Arial"/>
          <w:bdr w:val="none" w:sz="0" w:space="0" w:color="auto" w:frame="1"/>
          <w:lang w:val="en-US" w:bidi="en-US"/>
        </w:rPr>
        <w:t>short-term</w:t>
      </w:r>
      <w:r w:rsidR="00553DD2">
        <w:rPr>
          <w:rFonts w:ascii="Arial" w:eastAsia="Arial" w:hAnsi="Arial" w:cs="Arial"/>
          <w:bdr w:val="none" w:sz="0" w:space="0" w:color="auto" w:frame="1"/>
          <w:lang w:val="en-US" w:bidi="en-US"/>
        </w:rPr>
        <w:t xml:space="preserve"> and long-term </w:t>
      </w:r>
      <w:r w:rsidR="00163A8E" w:rsidRPr="00D3518B">
        <w:rPr>
          <w:rFonts w:ascii="Arial" w:eastAsia="Arial" w:hAnsi="Arial" w:cs="Arial"/>
          <w:bdr w:val="none" w:sz="0" w:space="0" w:color="auto" w:frame="1"/>
          <w:lang w:val="en-US" w:bidi="en-US"/>
        </w:rPr>
        <w:t>capital requirements</w:t>
      </w:r>
      <w:r w:rsidR="00553DD2">
        <w:rPr>
          <w:rFonts w:ascii="Arial" w:eastAsia="Arial" w:hAnsi="Arial" w:cs="Arial"/>
          <w:bdr w:val="none" w:sz="0" w:space="0" w:color="auto" w:frame="1"/>
          <w:lang w:val="en-US" w:bidi="en-US"/>
        </w:rPr>
        <w:t>.</w:t>
      </w:r>
      <w:r>
        <w:rPr>
          <w:rFonts w:ascii="Arial" w:eastAsia="Arial" w:hAnsi="Arial" w:cs="Arial"/>
          <w:bdr w:val="none" w:sz="0" w:space="0" w:color="auto" w:frame="1"/>
          <w:lang w:val="en-US" w:bidi="en-US"/>
        </w:rPr>
        <w:t xml:space="preserve"> In addition, we expect to finance part of</w:t>
      </w:r>
      <w:r w:rsidR="00A7297D">
        <w:rPr>
          <w:rFonts w:ascii="Arial" w:eastAsia="Arial" w:hAnsi="Arial" w:cs="Arial"/>
          <w:bdr w:val="none" w:sz="0" w:space="0" w:color="auto" w:frame="1"/>
          <w:lang w:val="en-US" w:bidi="en-US"/>
        </w:rPr>
        <w:t xml:space="preserve"> our long term capital requirements, such as </w:t>
      </w:r>
      <w:r>
        <w:rPr>
          <w:rFonts w:ascii="Arial" w:eastAsia="Arial" w:hAnsi="Arial" w:cs="Arial"/>
          <w:bdr w:val="none" w:sz="0" w:space="0" w:color="auto" w:frame="1"/>
          <w:lang w:val="en-US" w:bidi="en-US"/>
        </w:rPr>
        <w:t>the construction cost of our methanol vessels</w:t>
      </w:r>
      <w:r w:rsidR="00A7297D">
        <w:rPr>
          <w:rFonts w:ascii="Arial" w:eastAsia="Arial" w:hAnsi="Arial" w:cs="Arial"/>
          <w:bdr w:val="none" w:sz="0" w:space="0" w:color="auto" w:frame="1"/>
          <w:lang w:val="en-US" w:bidi="en-US"/>
        </w:rPr>
        <w:t>,</w:t>
      </w:r>
      <w:r>
        <w:rPr>
          <w:rFonts w:ascii="Arial" w:eastAsia="Arial" w:hAnsi="Arial" w:cs="Arial"/>
          <w:bdr w:val="none" w:sz="0" w:space="0" w:color="auto" w:frame="1"/>
          <w:lang w:val="en-US" w:bidi="en-US"/>
        </w:rPr>
        <w:t xml:space="preserve"> with new bank debt</w:t>
      </w:r>
      <w:r w:rsidR="00A7297D">
        <w:rPr>
          <w:rFonts w:ascii="Arial" w:eastAsia="Arial" w:hAnsi="Arial" w:cs="Arial"/>
          <w:bdr w:val="none" w:sz="0" w:space="0" w:color="auto" w:frame="1"/>
          <w:lang w:val="en-US" w:bidi="en-US"/>
        </w:rPr>
        <w:t xml:space="preserve"> and if needed vessel sales. </w:t>
      </w:r>
    </w:p>
    <w:p w14:paraId="71F3E721"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722" w14:textId="77777777" w:rsidR="004064A0" w:rsidRPr="008B3F71" w:rsidRDefault="003A4815" w:rsidP="00820F0A">
      <w:pPr>
        <w:pStyle w:val="Heading3"/>
        <w:keepLines/>
        <w:pBdr>
          <w:top w:val="nil"/>
          <w:left w:val="nil"/>
          <w:bottom w:val="nil"/>
          <w:right w:val="nil"/>
          <w:between w:val="nil"/>
          <w:bar w:val="nil"/>
        </w:pBdr>
        <w:rPr>
          <w:rFonts w:eastAsia="Arial" w:cs="Arial"/>
          <w:i w:val="0"/>
          <w:color w:val="000000"/>
          <w:sz w:val="24"/>
          <w:bdr w:val="nil"/>
          <w:lang w:val="en-US" w:eastAsia="el-GR" w:bidi="en-US"/>
        </w:rPr>
      </w:pPr>
      <w:bookmarkStart w:id="167" w:name="RG_MARKER_23057"/>
      <w:r w:rsidRPr="008B3F71">
        <w:rPr>
          <w:rFonts w:eastAsia="Arial" w:cs="Arial"/>
          <w:i w:val="0"/>
          <w:color w:val="000000"/>
          <w:sz w:val="24"/>
          <w:lang w:val="en-US" w:eastAsia="el-GR" w:bidi="en-US"/>
        </w:rPr>
        <w:t xml:space="preserve">Debt </w:t>
      </w:r>
      <w:bookmarkEnd w:id="167"/>
      <w:r w:rsidR="00CB251B">
        <w:rPr>
          <w:rFonts w:eastAsia="Arial" w:cs="Arial"/>
          <w:i w:val="0"/>
          <w:color w:val="000000"/>
          <w:sz w:val="24"/>
          <w:lang w:val="en-US" w:eastAsia="el-GR" w:bidi="en-US"/>
        </w:rPr>
        <w:t xml:space="preserve">instruments </w:t>
      </w:r>
      <w:r w:rsidRPr="008B3F71">
        <w:rPr>
          <w:rFonts w:eastAsia="Arial" w:cs="Arial"/>
          <w:i w:val="0"/>
          <w:color w:val="000000"/>
          <w:sz w:val="24"/>
          <w:lang w:val="en-US" w:eastAsia="el-GR" w:bidi="en-US"/>
        </w:rPr>
        <w:t xml:space="preserve">and </w:t>
      </w:r>
      <w:r w:rsidR="00CB251B">
        <w:rPr>
          <w:rFonts w:eastAsia="Arial" w:cs="Arial"/>
          <w:i w:val="0"/>
          <w:color w:val="000000"/>
          <w:sz w:val="24"/>
          <w:lang w:val="en-US" w:eastAsia="el-GR" w:bidi="en-US"/>
        </w:rPr>
        <w:t>guarantees</w:t>
      </w:r>
    </w:p>
    <w:p w14:paraId="71F3E723" w14:textId="77777777" w:rsidR="00DB6782" w:rsidRPr="008B3F71" w:rsidRDefault="00DB6782" w:rsidP="00820F0A">
      <w:pPr>
        <w:keepNext/>
        <w:keepLines/>
        <w:pBdr>
          <w:top w:val="nil"/>
          <w:left w:val="nil"/>
          <w:bottom w:val="nil"/>
          <w:right w:val="nil"/>
          <w:between w:val="nil"/>
          <w:bar w:val="nil"/>
        </w:pBdr>
        <w:jc w:val="both"/>
        <w:rPr>
          <w:rFonts w:ascii="Arial" w:eastAsia="Arial" w:hAnsi="Arial" w:cs="Arial"/>
          <w:bdr w:val="nil"/>
          <w:lang w:val="en-US"/>
        </w:rPr>
      </w:pPr>
      <w:bookmarkStart w:id="168" w:name="page_1_49"/>
      <w:bookmarkStart w:id="169" w:name="page_dg2550_1_45"/>
      <w:bookmarkEnd w:id="168"/>
      <w:bookmarkEnd w:id="169"/>
    </w:p>
    <w:p w14:paraId="71F3E724" w14:textId="77777777" w:rsidR="004F38C7" w:rsidRPr="008B3F71" w:rsidRDefault="003A4815" w:rsidP="00820F0A">
      <w:pPr>
        <w:pBdr>
          <w:top w:val="nil"/>
          <w:left w:val="nil"/>
          <w:bottom w:val="nil"/>
          <w:right w:val="nil"/>
          <w:between w:val="nil"/>
          <w:bar w:val="nil"/>
        </w:pBdr>
        <w:jc w:val="both"/>
        <w:rPr>
          <w:rFonts w:ascii="Arial" w:eastAsia="Arial" w:hAnsi="Arial" w:cs="Arial"/>
          <w:bdr w:val="nil"/>
          <w:lang w:val="en-US"/>
        </w:rPr>
      </w:pPr>
      <w:r w:rsidRPr="008B3F71">
        <w:rPr>
          <w:rFonts w:ascii="Arial" w:eastAsia="Arial" w:hAnsi="Arial" w:cs="Arial"/>
          <w:color w:val="000000"/>
          <w:lang w:val="en-US" w:eastAsia="el-GR" w:bidi="en-US"/>
        </w:rPr>
        <w:t xml:space="preserve">As </w:t>
      </w:r>
      <w:r>
        <w:rPr>
          <w:rFonts w:ascii="Arial" w:eastAsia="Arial" w:hAnsi="Arial" w:cs="Arial"/>
          <w:color w:val="000000"/>
          <w:lang w:val="en-US" w:eastAsia="el-GR" w:bidi="en-US"/>
        </w:rPr>
        <w:t>of</w:t>
      </w:r>
      <w:r w:rsidRPr="008B3F71">
        <w:rPr>
          <w:rFonts w:ascii="Arial" w:eastAsia="Arial" w:hAnsi="Arial" w:cs="Arial"/>
          <w:color w:val="000000"/>
          <w:lang w:val="en-US" w:eastAsia="el-GR" w:bidi="en-US"/>
        </w:rPr>
        <w:t xml:space="preserve"> December 31, 2025, we had $529.2 million of long-term debt </w:t>
      </w:r>
      <w:r w:rsidR="00AC7499" w:rsidRPr="008B3F71">
        <w:rPr>
          <w:rFonts w:ascii="Arial" w:eastAsia="Arial" w:hAnsi="Arial" w:cs="Arial"/>
          <w:color w:val="000000"/>
          <w:lang w:val="en-US" w:eastAsia="el-GR" w:bidi="en-US"/>
        </w:rPr>
        <w:t xml:space="preserve">under the </w:t>
      </w:r>
      <w:r w:rsidRPr="008B3F71">
        <w:rPr>
          <w:rFonts w:ascii="Arial" w:eastAsia="Arial" w:hAnsi="Arial" w:cs="Arial"/>
          <w:color w:val="000000"/>
          <w:lang w:val="en-US" w:eastAsia="el-GR" w:bidi="en-US"/>
        </w:rPr>
        <w:t>agreements described below.</w:t>
      </w:r>
    </w:p>
    <w:p w14:paraId="71F3E725" w14:textId="77777777" w:rsidR="00453A37" w:rsidRPr="008B3F71" w:rsidRDefault="00453A37" w:rsidP="00820F0A">
      <w:pPr>
        <w:pBdr>
          <w:top w:val="nil"/>
          <w:left w:val="nil"/>
          <w:bottom w:val="nil"/>
          <w:right w:val="nil"/>
          <w:between w:val="nil"/>
          <w:bar w:val="nil"/>
        </w:pBdr>
        <w:jc w:val="both"/>
        <w:rPr>
          <w:rFonts w:ascii="Arial" w:eastAsia="Arial" w:hAnsi="Arial" w:cs="Arial"/>
          <w:bdr w:val="nil"/>
          <w:lang w:val="en-US"/>
        </w:rPr>
      </w:pPr>
    </w:p>
    <w:p w14:paraId="71F3E726" w14:textId="77777777" w:rsidR="00974855" w:rsidRPr="00BD45D2" w:rsidRDefault="003A4815" w:rsidP="00BD45D2">
      <w:pPr>
        <w:pStyle w:val="Heading313"/>
        <w:keepLines/>
        <w:pBdr>
          <w:top w:val="nil"/>
          <w:left w:val="nil"/>
          <w:bottom w:val="nil"/>
          <w:right w:val="nil"/>
          <w:between w:val="nil"/>
          <w:bar w:val="nil"/>
        </w:pBdr>
        <w:rPr>
          <w:rFonts w:ascii="Arial" w:eastAsia="Arial" w:hAnsi="Arial" w:cs="Arial"/>
          <w:szCs w:val="20"/>
          <w:bdr w:val="nil"/>
        </w:rPr>
      </w:pPr>
      <w:r w:rsidRPr="00BD45D2">
        <w:rPr>
          <w:rFonts w:ascii="Arial" w:eastAsia="Arial" w:hAnsi="Arial" w:cs="Arial"/>
          <w:szCs w:val="20"/>
        </w:rPr>
        <w:t>Secured Term Loans</w:t>
      </w:r>
    </w:p>
    <w:p w14:paraId="71F3E727" w14:textId="77777777" w:rsidR="00172E77" w:rsidRDefault="00172E77" w:rsidP="00820F0A">
      <w:pPr>
        <w:pStyle w:val="Notesbody8"/>
        <w:pBdr>
          <w:top w:val="nil"/>
          <w:left w:val="nil"/>
          <w:bottom w:val="nil"/>
          <w:right w:val="nil"/>
          <w:between w:val="nil"/>
          <w:bar w:val="nil"/>
        </w:pBdr>
        <w:spacing w:before="0" w:after="0"/>
        <w:rPr>
          <w:rFonts w:ascii="Arial" w:eastAsia="Arial" w:hAnsi="Arial" w:cs="Arial"/>
          <w:szCs w:val="22"/>
          <w:bdr w:val="nil"/>
          <w:lang w:val="en-GB"/>
        </w:rPr>
      </w:pPr>
    </w:p>
    <w:p w14:paraId="71F3E728" w14:textId="77777777" w:rsidR="005C70AC" w:rsidRPr="008B3F71" w:rsidRDefault="003A4815" w:rsidP="00172E77">
      <w:pPr>
        <w:pStyle w:val="Notesbody8"/>
        <w:pBdr>
          <w:top w:val="nil"/>
          <w:left w:val="nil"/>
          <w:bottom w:val="nil"/>
          <w:right w:val="nil"/>
          <w:between w:val="nil"/>
          <w:bar w:val="nil"/>
        </w:pBdr>
        <w:spacing w:before="0" w:after="0"/>
        <w:rPr>
          <w:rFonts w:ascii="Arial" w:eastAsia="Arial" w:hAnsi="Arial" w:cs="Arial"/>
          <w:szCs w:val="22"/>
          <w:bdr w:val="nil"/>
          <w:lang w:val="en-GB"/>
        </w:rPr>
      </w:pPr>
      <w:r w:rsidRPr="008B3F71">
        <w:rPr>
          <w:rFonts w:ascii="Arial" w:eastAsia="Arial" w:hAnsi="Arial" w:cs="Arial"/>
          <w:szCs w:val="22"/>
          <w:bdr w:val="none" w:sz="0" w:space="0" w:color="auto" w:frame="1"/>
          <w:lang w:val="en-GB"/>
        </w:rPr>
        <w:t>On January 4, 2017, we drew down $57.24 million</w:t>
      </w:r>
      <w:r w:rsidR="00E230FC">
        <w:rPr>
          <w:rFonts w:ascii="Arial" w:eastAsia="Arial" w:hAnsi="Arial" w:cs="Arial"/>
          <w:szCs w:val="22"/>
          <w:bdr w:val="none" w:sz="0" w:space="0" w:color="auto" w:frame="1"/>
          <w:lang w:val="en-GB"/>
        </w:rPr>
        <w:t xml:space="preserve">, under </w:t>
      </w:r>
      <w:r w:rsidR="00E230FC" w:rsidRPr="008B3F71">
        <w:rPr>
          <w:rFonts w:ascii="Arial" w:eastAsia="Arial" w:hAnsi="Arial" w:cs="Arial"/>
          <w:szCs w:val="22"/>
          <w:bdr w:val="none" w:sz="0" w:space="0" w:color="auto" w:frame="1"/>
          <w:lang w:val="en-GB"/>
        </w:rPr>
        <w:t>a secured loan agreement with the Export-Import Bank of China</w:t>
      </w:r>
      <w:r w:rsidR="00E230FC">
        <w:rPr>
          <w:rFonts w:ascii="Arial" w:eastAsia="Arial" w:hAnsi="Arial" w:cs="Arial"/>
          <w:szCs w:val="22"/>
          <w:bdr w:val="none" w:sz="0" w:space="0" w:color="auto" w:frame="1"/>
          <w:lang w:val="en-GB"/>
        </w:rPr>
        <w:t xml:space="preserve">, dated </w:t>
      </w:r>
      <w:r w:rsidR="00E230FC" w:rsidRPr="008B3F71">
        <w:rPr>
          <w:rFonts w:ascii="Arial" w:eastAsia="Arial" w:hAnsi="Arial" w:cs="Arial"/>
          <w:szCs w:val="22"/>
          <w:bdr w:val="none" w:sz="0" w:space="0" w:color="auto" w:frame="1"/>
          <w:lang w:val="en-GB"/>
        </w:rPr>
        <w:t xml:space="preserve">January 7, 2016, </w:t>
      </w:r>
      <w:r w:rsidRPr="008B3F71">
        <w:rPr>
          <w:rFonts w:ascii="Arial" w:eastAsia="Arial" w:hAnsi="Arial" w:cs="Arial"/>
          <w:szCs w:val="22"/>
          <w:bdr w:val="none" w:sz="0" w:space="0" w:color="auto" w:frame="1"/>
          <w:lang w:val="en-GB"/>
        </w:rPr>
        <w:t xml:space="preserve">to finance part of the construction cost of </w:t>
      </w:r>
      <w:r w:rsidRPr="008B3F71">
        <w:rPr>
          <w:rFonts w:ascii="Arial" w:eastAsia="Arial" w:hAnsi="Arial" w:cs="Arial"/>
          <w:i/>
          <w:szCs w:val="22"/>
          <w:bdr w:val="none" w:sz="0" w:space="0" w:color="auto" w:frame="1"/>
          <w:lang w:val="en-GB"/>
        </w:rPr>
        <w:t>San Francisco</w:t>
      </w:r>
      <w:r w:rsidRPr="008B3F71">
        <w:rPr>
          <w:rFonts w:ascii="Arial" w:eastAsia="Arial" w:hAnsi="Arial" w:cs="Arial"/>
          <w:szCs w:val="22"/>
          <w:bdr w:val="none" w:sz="0" w:space="0" w:color="auto" w:frame="1"/>
          <w:lang w:val="en-GB"/>
        </w:rPr>
        <w:t xml:space="preserve"> and </w:t>
      </w:r>
      <w:r w:rsidRPr="008B3F71">
        <w:rPr>
          <w:rFonts w:ascii="Arial" w:eastAsia="Arial" w:hAnsi="Arial" w:cs="Arial"/>
          <w:i/>
          <w:szCs w:val="22"/>
          <w:bdr w:val="none" w:sz="0" w:space="0" w:color="auto" w:frame="1"/>
          <w:lang w:val="en-GB"/>
        </w:rPr>
        <w:t>Newport News</w:t>
      </w:r>
      <w:r w:rsidRPr="008B3F71">
        <w:rPr>
          <w:rFonts w:ascii="Arial" w:eastAsia="Arial" w:hAnsi="Arial" w:cs="Arial"/>
          <w:szCs w:val="22"/>
          <w:bdr w:val="none" w:sz="0" w:space="0" w:color="auto" w:frame="1"/>
          <w:lang w:val="en-GB"/>
        </w:rPr>
        <w:t xml:space="preserve">. The loan is payable in equal quarterly instalments of </w:t>
      </w:r>
      <w:r w:rsidRPr="008B3F71">
        <w:rPr>
          <w:rFonts w:ascii="Arial" w:eastAsia="Arial" w:hAnsi="Arial" w:cs="Arial"/>
          <w:bdr w:val="none" w:sz="0" w:space="0" w:color="auto" w:frame="1"/>
          <w:lang w:val="en-GB"/>
        </w:rPr>
        <w:t>about $1.0 million each</w:t>
      </w:r>
      <w:r w:rsidRPr="008B3F71">
        <w:rPr>
          <w:rFonts w:ascii="Arial" w:eastAsia="Arial" w:hAnsi="Arial" w:cs="Arial"/>
          <w:szCs w:val="22"/>
          <w:bdr w:val="none" w:sz="0" w:space="0" w:color="auto" w:frame="1"/>
          <w:lang w:val="en-GB"/>
        </w:rPr>
        <w:t xml:space="preserve"> </w:t>
      </w:r>
      <w:r w:rsidR="006C530E">
        <w:rPr>
          <w:rFonts w:ascii="Arial" w:eastAsia="Arial" w:hAnsi="Arial" w:cs="Arial"/>
          <w:szCs w:val="22"/>
          <w:bdr w:val="none" w:sz="0" w:space="0" w:color="auto" w:frame="1"/>
          <w:lang w:val="en-GB"/>
        </w:rPr>
        <w:t>until</w:t>
      </w:r>
      <w:r w:rsidRPr="008B3F71">
        <w:rPr>
          <w:rFonts w:ascii="Arial" w:eastAsia="Arial" w:hAnsi="Arial" w:cs="Arial"/>
          <w:szCs w:val="22"/>
          <w:bdr w:val="none" w:sz="0" w:space="0" w:color="auto" w:frame="1"/>
          <w:lang w:val="en-GB"/>
        </w:rPr>
        <w:t xml:space="preserve"> January 4, 2032</w:t>
      </w:r>
      <w:r w:rsidR="00E230FC">
        <w:rPr>
          <w:rFonts w:ascii="Arial" w:eastAsia="Arial" w:hAnsi="Arial" w:cs="Arial"/>
          <w:szCs w:val="22"/>
          <w:bdr w:val="none" w:sz="0" w:space="0" w:color="auto" w:frame="1"/>
          <w:lang w:val="en-GB"/>
        </w:rPr>
        <w:t>.</w:t>
      </w:r>
    </w:p>
    <w:p w14:paraId="71F3E729" w14:textId="77777777" w:rsidR="000C3A06" w:rsidRDefault="000C3A06" w:rsidP="000C3A06">
      <w:pPr>
        <w:pStyle w:val="Notesbody8"/>
        <w:pBdr>
          <w:top w:val="nil"/>
          <w:left w:val="nil"/>
          <w:bottom w:val="nil"/>
          <w:right w:val="nil"/>
          <w:between w:val="nil"/>
          <w:bar w:val="nil"/>
        </w:pBdr>
        <w:spacing w:before="0" w:after="0"/>
        <w:rPr>
          <w:rFonts w:ascii="Arial" w:eastAsia="Arial" w:hAnsi="Arial" w:cs="Arial"/>
          <w:szCs w:val="22"/>
          <w:bdr w:val="nil"/>
          <w:lang w:val="en-GB"/>
        </w:rPr>
      </w:pPr>
    </w:p>
    <w:p w14:paraId="71F3E72A" w14:textId="77777777" w:rsidR="0054524B" w:rsidRPr="000C3A06" w:rsidRDefault="003A4815" w:rsidP="0004141B">
      <w:pPr>
        <w:pStyle w:val="Notesbody"/>
        <w:pBdr>
          <w:top w:val="nil"/>
          <w:left w:val="nil"/>
          <w:bottom w:val="nil"/>
          <w:right w:val="nil"/>
          <w:between w:val="nil"/>
          <w:bar w:val="nil"/>
        </w:pBdr>
        <w:rPr>
          <w:rFonts w:ascii="Arial" w:eastAsia="Arial" w:hAnsi="Arial" w:cs="Arial"/>
          <w:bdr w:val="nil"/>
          <w:lang w:val="en-GB" w:eastAsia="el-GR" w:bidi="en-US"/>
        </w:rPr>
      </w:pPr>
      <w:r w:rsidRPr="000C3A06">
        <w:rPr>
          <w:rFonts w:ascii="Arial" w:eastAsia="Arial" w:hAnsi="Arial" w:cs="Arial"/>
          <w:bdr w:val="none" w:sz="0" w:space="0" w:color="auto" w:frame="1"/>
          <w:lang w:val="en-GB" w:eastAsia="el-GR" w:bidi="en-US"/>
        </w:rPr>
        <w:t xml:space="preserve">On July 25, 2024, </w:t>
      </w:r>
      <w:r w:rsidR="00BB7690">
        <w:rPr>
          <w:rFonts w:ascii="Arial" w:eastAsia="Arial" w:hAnsi="Arial" w:cs="Arial"/>
          <w:bdr w:val="none" w:sz="0" w:space="0" w:color="auto" w:frame="1"/>
          <w:lang w:val="en-GB" w:eastAsia="el-GR" w:bidi="en-US"/>
        </w:rPr>
        <w:t xml:space="preserve">we </w:t>
      </w:r>
      <w:r w:rsidR="006C530E">
        <w:rPr>
          <w:rFonts w:ascii="Arial" w:eastAsia="Arial" w:hAnsi="Arial" w:cs="Arial"/>
          <w:bdr w:val="none" w:sz="0" w:space="0" w:color="auto" w:frame="1"/>
          <w:lang w:val="en-GB" w:eastAsia="el-GR" w:bidi="en-US"/>
        </w:rPr>
        <w:t xml:space="preserve">drew down </w:t>
      </w:r>
      <w:r w:rsidRPr="000C3A06">
        <w:rPr>
          <w:rFonts w:ascii="Arial" w:eastAsia="Arial" w:hAnsi="Arial" w:cs="Arial"/>
          <w:bdr w:val="none" w:sz="0" w:space="0" w:color="auto" w:frame="1"/>
          <w:lang w:val="en-GB" w:eastAsia="el-GR" w:bidi="en-US"/>
        </w:rPr>
        <w:t xml:space="preserve">$167.3 </w:t>
      </w:r>
      <w:r w:rsidR="006C530E">
        <w:rPr>
          <w:rFonts w:ascii="Arial" w:eastAsia="Arial" w:hAnsi="Arial" w:cs="Arial"/>
          <w:bdr w:val="none" w:sz="0" w:space="0" w:color="auto" w:frame="1"/>
          <w:lang w:val="en-GB" w:eastAsia="el-GR" w:bidi="en-US"/>
        </w:rPr>
        <w:t>million under a new loan agreement with Nordea Bank AB, or Nordea, which was used to refinance other outstanding agreements with the same bank</w:t>
      </w:r>
      <w:r w:rsidR="00BB7690">
        <w:rPr>
          <w:rFonts w:ascii="Arial" w:eastAsia="Arial" w:hAnsi="Arial" w:cs="Arial"/>
          <w:bdr w:val="none" w:sz="0" w:space="0" w:color="auto" w:frame="1"/>
          <w:lang w:val="en-GB" w:eastAsia="el-GR" w:bidi="en-US"/>
        </w:rPr>
        <w:t>.</w:t>
      </w:r>
      <w:r w:rsidRPr="000C3A06">
        <w:rPr>
          <w:rFonts w:ascii="Arial" w:eastAsia="Arial" w:hAnsi="Arial" w:cs="Arial"/>
          <w:bdr w:val="none" w:sz="0" w:space="0" w:color="auto" w:frame="1"/>
          <w:lang w:val="en-GB" w:eastAsia="el-GR" w:bidi="en-US"/>
        </w:rPr>
        <w:t xml:space="preserve"> The loan is repayable in equal quarterly instalments of $4.5 </w:t>
      </w:r>
      <w:r w:rsidR="0037234C" w:rsidRPr="000C3A06">
        <w:rPr>
          <w:rFonts w:ascii="Arial" w:eastAsia="Arial" w:hAnsi="Arial" w:cs="Arial"/>
          <w:bdr w:val="none" w:sz="0" w:space="0" w:color="auto" w:frame="1"/>
          <w:lang w:val="en-GB" w:eastAsia="el-GR" w:bidi="en-US"/>
        </w:rPr>
        <w:t xml:space="preserve">million </w:t>
      </w:r>
      <w:r w:rsidRPr="000C3A06">
        <w:rPr>
          <w:rFonts w:ascii="Arial" w:eastAsia="Arial" w:hAnsi="Arial" w:cs="Arial"/>
          <w:bdr w:val="none" w:sz="0" w:space="0" w:color="auto" w:frame="1"/>
          <w:lang w:val="en-GB" w:eastAsia="el-GR" w:bidi="en-US"/>
        </w:rPr>
        <w:t>and a balloon instalment of $64.8</w:t>
      </w:r>
      <w:r w:rsidR="0037234C" w:rsidRPr="000C3A06">
        <w:rPr>
          <w:rFonts w:ascii="Arial" w:eastAsia="Arial" w:hAnsi="Arial" w:cs="Arial"/>
          <w:bdr w:val="none" w:sz="0" w:space="0" w:color="auto" w:frame="1"/>
          <w:lang w:val="en-GB" w:eastAsia="el-GR" w:bidi="en-US"/>
        </w:rPr>
        <w:t xml:space="preserve"> million</w:t>
      </w:r>
      <w:r w:rsidRPr="000C3A06">
        <w:rPr>
          <w:rFonts w:ascii="Arial" w:eastAsia="Arial" w:hAnsi="Arial" w:cs="Arial"/>
          <w:bdr w:val="none" w:sz="0" w:space="0" w:color="auto" w:frame="1"/>
          <w:lang w:val="en-GB" w:eastAsia="el-GR" w:bidi="en-US"/>
        </w:rPr>
        <w:t xml:space="preserve"> payable on </w:t>
      </w:r>
      <w:r w:rsidR="0037234C" w:rsidRPr="000C3A06">
        <w:rPr>
          <w:rFonts w:ascii="Arial" w:eastAsia="Arial" w:hAnsi="Arial" w:cs="Arial"/>
          <w:bdr w:val="none" w:sz="0" w:space="0" w:color="auto" w:frame="1"/>
          <w:lang w:val="en-GB" w:eastAsia="el-GR" w:bidi="en-US"/>
        </w:rPr>
        <w:t>July</w:t>
      </w:r>
      <w:r w:rsidRPr="000C3A06">
        <w:rPr>
          <w:rFonts w:ascii="Arial" w:eastAsia="Arial" w:hAnsi="Arial" w:cs="Arial"/>
          <w:bdr w:val="none" w:sz="0" w:space="0" w:color="auto" w:frame="1"/>
          <w:lang w:val="en-GB" w:eastAsia="el-GR" w:bidi="en-US"/>
        </w:rPr>
        <w:t xml:space="preserve"> 25, 2030. </w:t>
      </w:r>
    </w:p>
    <w:p w14:paraId="71F3E72B" w14:textId="77777777" w:rsidR="000C3A06" w:rsidRDefault="000C3A06" w:rsidP="000C3A06">
      <w:pPr>
        <w:pStyle w:val="Notesbody8"/>
        <w:pBdr>
          <w:top w:val="nil"/>
          <w:left w:val="nil"/>
          <w:bottom w:val="nil"/>
          <w:right w:val="nil"/>
          <w:between w:val="nil"/>
          <w:bar w:val="nil"/>
        </w:pBdr>
        <w:spacing w:before="0" w:after="0"/>
        <w:rPr>
          <w:rFonts w:ascii="Arial" w:eastAsia="Arial" w:hAnsi="Arial" w:cs="Arial"/>
          <w:szCs w:val="22"/>
          <w:bdr w:val="nil"/>
          <w:lang w:val="en-GB"/>
        </w:rPr>
      </w:pPr>
    </w:p>
    <w:p w14:paraId="71F3E72C" w14:textId="77777777" w:rsidR="004843FE" w:rsidRDefault="003A4815" w:rsidP="006C530E">
      <w:pPr>
        <w:pStyle w:val="Notesbody8"/>
        <w:pBdr>
          <w:top w:val="nil"/>
          <w:left w:val="nil"/>
          <w:bottom w:val="nil"/>
          <w:right w:val="nil"/>
          <w:between w:val="nil"/>
          <w:bar w:val="nil"/>
        </w:pBdr>
        <w:spacing w:before="0" w:after="0"/>
        <w:rPr>
          <w:rFonts w:ascii="Arial" w:eastAsia="Arial" w:hAnsi="Arial" w:cs="Arial"/>
          <w:szCs w:val="22"/>
          <w:bdr w:val="nil"/>
          <w:lang w:val="en-GB"/>
        </w:rPr>
      </w:pPr>
      <w:r w:rsidRPr="000C3A06">
        <w:rPr>
          <w:rFonts w:ascii="Arial" w:eastAsia="Arial" w:hAnsi="Arial" w:cs="Arial"/>
          <w:szCs w:val="22"/>
          <w:bdr w:val="none" w:sz="0" w:space="0" w:color="auto" w:frame="1"/>
          <w:lang w:val="en-GB"/>
        </w:rPr>
        <w:t xml:space="preserve">On April 12, 2023, we entered into a $100 million term loan facility with Danish Ship Finance A/S to refinance outstanding </w:t>
      </w:r>
      <w:r w:rsidR="006C530E">
        <w:rPr>
          <w:rFonts w:ascii="Arial" w:eastAsia="Arial" w:hAnsi="Arial" w:cs="Arial"/>
          <w:szCs w:val="22"/>
          <w:bdr w:val="none" w:sz="0" w:space="0" w:color="auto" w:frame="1"/>
          <w:lang w:val="en-GB"/>
        </w:rPr>
        <w:t xml:space="preserve">loan </w:t>
      </w:r>
      <w:r w:rsidRPr="000C3A06">
        <w:rPr>
          <w:rFonts w:ascii="Arial" w:eastAsia="Arial" w:hAnsi="Arial" w:cs="Arial"/>
          <w:szCs w:val="22"/>
          <w:bdr w:val="none" w:sz="0" w:space="0" w:color="auto" w:frame="1"/>
          <w:lang w:val="en-GB"/>
        </w:rPr>
        <w:t>balance</w:t>
      </w:r>
      <w:r w:rsidR="006C530E">
        <w:rPr>
          <w:rFonts w:ascii="Arial" w:eastAsia="Arial" w:hAnsi="Arial" w:cs="Arial"/>
          <w:szCs w:val="22"/>
          <w:bdr w:val="none" w:sz="0" w:space="0" w:color="auto" w:frame="1"/>
          <w:lang w:val="en-GB"/>
        </w:rPr>
        <w:t>s</w:t>
      </w:r>
      <w:r w:rsidRPr="000C3A06">
        <w:rPr>
          <w:rFonts w:ascii="Arial" w:eastAsia="Arial" w:hAnsi="Arial" w:cs="Arial"/>
          <w:szCs w:val="22"/>
          <w:bdr w:val="none" w:sz="0" w:space="0" w:color="auto" w:frame="1"/>
          <w:lang w:val="en-GB"/>
        </w:rPr>
        <w:t xml:space="preserve"> </w:t>
      </w:r>
      <w:r w:rsidR="002E687D">
        <w:rPr>
          <w:rFonts w:ascii="Arial" w:eastAsia="Arial" w:hAnsi="Arial" w:cs="Arial"/>
          <w:szCs w:val="22"/>
          <w:bdr w:val="none" w:sz="0" w:space="0" w:color="auto" w:frame="1"/>
          <w:lang w:val="en-GB"/>
        </w:rPr>
        <w:t>with</w:t>
      </w:r>
      <w:r w:rsidR="006C530E">
        <w:rPr>
          <w:rFonts w:ascii="Arial" w:eastAsia="Arial" w:hAnsi="Arial" w:cs="Arial"/>
          <w:szCs w:val="22"/>
          <w:bdr w:val="none" w:sz="0" w:space="0" w:color="auto" w:frame="1"/>
          <w:lang w:val="en-GB"/>
        </w:rPr>
        <w:t xml:space="preserve"> another bank </w:t>
      </w:r>
      <w:r w:rsidRPr="000C3A06">
        <w:rPr>
          <w:rFonts w:ascii="Arial" w:eastAsia="Arial" w:hAnsi="Arial" w:cs="Arial"/>
          <w:szCs w:val="22"/>
          <w:bdr w:val="none" w:sz="0" w:space="0" w:color="auto" w:frame="1"/>
          <w:lang w:val="en-GB"/>
        </w:rPr>
        <w:t xml:space="preserve">and </w:t>
      </w:r>
      <w:r w:rsidR="006C530E">
        <w:rPr>
          <w:rFonts w:ascii="Arial" w:eastAsia="Arial" w:hAnsi="Arial" w:cs="Arial"/>
          <w:szCs w:val="22"/>
          <w:bdr w:val="none" w:sz="0" w:space="0" w:color="auto" w:frame="1"/>
          <w:lang w:val="en-GB"/>
        </w:rPr>
        <w:t xml:space="preserve">for </w:t>
      </w:r>
      <w:r w:rsidRPr="000C3A06">
        <w:rPr>
          <w:rFonts w:ascii="Arial" w:eastAsia="Arial" w:hAnsi="Arial" w:cs="Arial"/>
          <w:szCs w:val="22"/>
          <w:bdr w:val="none" w:sz="0" w:space="0" w:color="auto" w:frame="1"/>
          <w:lang w:val="en-GB"/>
        </w:rPr>
        <w:t>working capital.</w:t>
      </w:r>
      <w:r w:rsidR="002D575A" w:rsidRPr="000C3A06">
        <w:rPr>
          <w:rFonts w:ascii="Arial" w:eastAsia="Arial" w:hAnsi="Arial" w:cs="Arial"/>
          <w:szCs w:val="22"/>
          <w:bdr w:val="none" w:sz="0" w:space="0" w:color="auto" w:frame="1"/>
          <w:lang w:val="en-GB"/>
        </w:rPr>
        <w:t xml:space="preserve"> On October 18, 2024, </w:t>
      </w:r>
      <w:r w:rsidR="0004141B">
        <w:rPr>
          <w:rFonts w:ascii="Arial" w:eastAsia="Arial" w:hAnsi="Arial" w:cs="Arial"/>
          <w:szCs w:val="22"/>
          <w:bdr w:val="none" w:sz="0" w:space="0" w:color="auto" w:frame="1"/>
          <w:lang w:val="en-GB"/>
        </w:rPr>
        <w:t>we</w:t>
      </w:r>
      <w:r w:rsidR="002D575A" w:rsidRPr="000C3A06">
        <w:rPr>
          <w:rFonts w:ascii="Arial" w:eastAsia="Arial" w:hAnsi="Arial" w:cs="Arial"/>
          <w:szCs w:val="22"/>
          <w:bdr w:val="none" w:sz="0" w:space="0" w:color="auto" w:frame="1"/>
          <w:lang w:val="en-GB"/>
        </w:rPr>
        <w:t xml:space="preserve"> refinanced the outstanding balance of </w:t>
      </w:r>
      <w:r w:rsidR="0004141B">
        <w:rPr>
          <w:rFonts w:ascii="Arial" w:eastAsia="Arial" w:hAnsi="Arial" w:cs="Arial"/>
          <w:szCs w:val="22"/>
          <w:bdr w:val="none" w:sz="0" w:space="0" w:color="auto" w:frame="1"/>
          <w:lang w:val="en-GB"/>
        </w:rPr>
        <w:t>the</w:t>
      </w:r>
      <w:r w:rsidR="002D575A" w:rsidRPr="000C3A06">
        <w:rPr>
          <w:rFonts w:ascii="Arial" w:eastAsia="Arial" w:hAnsi="Arial" w:cs="Arial"/>
          <w:szCs w:val="22"/>
          <w:bdr w:val="none" w:sz="0" w:space="0" w:color="auto" w:frame="1"/>
          <w:lang w:val="en-GB"/>
        </w:rPr>
        <w:t xml:space="preserve"> loan with a </w:t>
      </w:r>
      <w:r w:rsidR="0004141B">
        <w:rPr>
          <w:rFonts w:ascii="Arial" w:eastAsia="Arial" w:hAnsi="Arial" w:cs="Arial"/>
          <w:szCs w:val="22"/>
          <w:bdr w:val="none" w:sz="0" w:space="0" w:color="auto" w:frame="1"/>
          <w:lang w:val="en-GB"/>
        </w:rPr>
        <w:t xml:space="preserve">new </w:t>
      </w:r>
      <w:r w:rsidR="002D575A" w:rsidRPr="000C3A06">
        <w:rPr>
          <w:rFonts w:ascii="Arial" w:eastAsia="Arial" w:hAnsi="Arial" w:cs="Arial"/>
          <w:szCs w:val="22"/>
          <w:bdr w:val="none" w:sz="0" w:space="0" w:color="auto" w:frame="1"/>
          <w:lang w:val="en-GB"/>
        </w:rPr>
        <w:t>loan which is repayable in equal quarterly instalments of $2.5</w:t>
      </w:r>
      <w:r w:rsidRPr="000C3A06">
        <w:rPr>
          <w:rFonts w:ascii="Arial" w:eastAsia="Arial" w:hAnsi="Arial" w:cs="Arial"/>
          <w:szCs w:val="22"/>
          <w:bdr w:val="none" w:sz="0" w:space="0" w:color="auto" w:frame="1"/>
          <w:lang w:val="en-GB"/>
        </w:rPr>
        <w:t xml:space="preserve"> million</w:t>
      </w:r>
      <w:r w:rsidR="002D575A" w:rsidRPr="000C3A06">
        <w:rPr>
          <w:rFonts w:ascii="Arial" w:eastAsia="Arial" w:hAnsi="Arial" w:cs="Arial"/>
          <w:szCs w:val="22"/>
          <w:bdr w:val="none" w:sz="0" w:space="0" w:color="auto" w:frame="1"/>
          <w:lang w:val="en-GB"/>
        </w:rPr>
        <w:t xml:space="preserve"> each and a balloon of $14.3</w:t>
      </w:r>
      <w:r w:rsidRPr="000C3A06">
        <w:rPr>
          <w:rFonts w:ascii="Arial" w:eastAsia="Arial" w:hAnsi="Arial" w:cs="Arial"/>
          <w:szCs w:val="22"/>
          <w:bdr w:val="none" w:sz="0" w:space="0" w:color="auto" w:frame="1"/>
          <w:lang w:val="en-GB"/>
        </w:rPr>
        <w:t xml:space="preserve"> million</w:t>
      </w:r>
      <w:r w:rsidR="002D575A" w:rsidRPr="000C3A06">
        <w:rPr>
          <w:rFonts w:ascii="Arial" w:eastAsia="Arial" w:hAnsi="Arial" w:cs="Arial"/>
          <w:szCs w:val="22"/>
          <w:bdr w:val="none" w:sz="0" w:space="0" w:color="auto" w:frame="1"/>
          <w:lang w:val="en-GB"/>
        </w:rPr>
        <w:t xml:space="preserve"> payable together with the last instalment on April 18, 2031.</w:t>
      </w:r>
    </w:p>
    <w:p w14:paraId="71F3E72D" w14:textId="77777777" w:rsidR="006C530E" w:rsidRDefault="006C530E" w:rsidP="006C530E">
      <w:pPr>
        <w:pStyle w:val="Notesbody8"/>
        <w:pBdr>
          <w:top w:val="nil"/>
          <w:left w:val="nil"/>
          <w:bottom w:val="nil"/>
          <w:right w:val="nil"/>
          <w:between w:val="nil"/>
          <w:bar w:val="nil"/>
        </w:pBdr>
        <w:spacing w:before="0" w:after="0"/>
        <w:rPr>
          <w:rFonts w:ascii="Arial" w:eastAsia="Arial" w:hAnsi="Arial" w:cs="Arial"/>
          <w:szCs w:val="22"/>
          <w:bdr w:val="nil"/>
        </w:rPr>
      </w:pPr>
    </w:p>
    <w:p w14:paraId="71F3E72E" w14:textId="77777777" w:rsidR="0004241D" w:rsidRDefault="003A4815" w:rsidP="00820F0A">
      <w:pPr>
        <w:pStyle w:val="Notesbody"/>
        <w:pBdr>
          <w:top w:val="nil"/>
          <w:left w:val="nil"/>
          <w:bottom w:val="nil"/>
          <w:right w:val="nil"/>
          <w:between w:val="nil"/>
          <w:bar w:val="nil"/>
        </w:pBdr>
        <w:rPr>
          <w:rFonts w:ascii="Arial" w:eastAsia="Arial" w:hAnsi="Arial" w:cs="Arial"/>
          <w:bdr w:val="nil"/>
          <w:lang w:val="en-GB" w:eastAsia="el-GR" w:bidi="en-US"/>
        </w:rPr>
      </w:pPr>
      <w:r>
        <w:rPr>
          <w:rFonts w:ascii="Arial" w:eastAsia="Arial" w:hAnsi="Arial" w:cs="Arial"/>
          <w:szCs w:val="20"/>
          <w:lang w:val="en-GB" w:eastAsia="el-GR" w:bidi="en-US"/>
        </w:rPr>
        <w:t xml:space="preserve">On June 26, 2023, </w:t>
      </w:r>
      <w:r w:rsidR="002A0F34">
        <w:rPr>
          <w:rFonts w:ascii="Arial" w:eastAsia="Arial" w:hAnsi="Arial" w:cs="Arial"/>
          <w:lang w:eastAsia="el-GR" w:bidi="en-US"/>
        </w:rPr>
        <w:t xml:space="preserve">we entered into </w:t>
      </w:r>
      <w:r>
        <w:rPr>
          <w:rFonts w:ascii="Arial" w:eastAsia="Arial" w:hAnsi="Arial" w:cs="Arial"/>
          <w:szCs w:val="20"/>
          <w:lang w:val="en-GB" w:eastAsia="el-GR" w:bidi="en-US"/>
        </w:rPr>
        <w:t xml:space="preserve">a $100 million loan agreement </w:t>
      </w:r>
      <w:r w:rsidR="00B150C7">
        <w:rPr>
          <w:rFonts w:ascii="Arial" w:eastAsia="Arial" w:hAnsi="Arial" w:cs="Arial"/>
          <w:szCs w:val="20"/>
          <w:lang w:val="en-GB" w:eastAsia="el-GR" w:bidi="en-US"/>
        </w:rPr>
        <w:t xml:space="preserve">with DNB Bank ASA, or DNB, </w:t>
      </w:r>
      <w:r>
        <w:rPr>
          <w:rFonts w:ascii="Arial" w:eastAsia="Arial" w:hAnsi="Arial" w:cs="Arial"/>
          <w:szCs w:val="20"/>
          <w:lang w:val="en-GB" w:eastAsia="el-GR" w:bidi="en-US"/>
        </w:rPr>
        <w:t xml:space="preserve">to refinance </w:t>
      </w:r>
      <w:r w:rsidR="002E687D">
        <w:rPr>
          <w:rFonts w:ascii="Arial" w:eastAsia="Arial" w:hAnsi="Arial" w:cs="Arial"/>
          <w:szCs w:val="20"/>
          <w:lang w:val="en-GB" w:eastAsia="el-GR" w:bidi="en-US"/>
        </w:rPr>
        <w:t xml:space="preserve">an </w:t>
      </w:r>
      <w:r>
        <w:rPr>
          <w:rFonts w:ascii="Arial" w:eastAsia="Arial" w:hAnsi="Arial" w:cs="Arial"/>
          <w:szCs w:val="20"/>
          <w:lang w:val="en-GB" w:eastAsia="el-GR" w:bidi="en-US"/>
        </w:rPr>
        <w:t xml:space="preserve">outstanding </w:t>
      </w:r>
      <w:r w:rsidR="002E687D">
        <w:rPr>
          <w:rFonts w:ascii="Arial" w:eastAsia="Arial" w:hAnsi="Arial" w:cs="Arial"/>
          <w:szCs w:val="20"/>
          <w:lang w:val="en-GB" w:eastAsia="el-GR" w:bidi="en-US"/>
        </w:rPr>
        <w:t xml:space="preserve">loan </w:t>
      </w:r>
      <w:r>
        <w:rPr>
          <w:rFonts w:ascii="Arial" w:eastAsia="Arial" w:hAnsi="Arial" w:cs="Arial"/>
          <w:szCs w:val="20"/>
          <w:lang w:val="en-GB" w:eastAsia="el-GR" w:bidi="en-US"/>
        </w:rPr>
        <w:t xml:space="preserve">balance </w:t>
      </w:r>
      <w:r w:rsidR="004843FE">
        <w:rPr>
          <w:rFonts w:ascii="Arial" w:eastAsia="Arial" w:hAnsi="Arial" w:cs="Arial"/>
          <w:szCs w:val="20"/>
          <w:lang w:val="en-GB" w:eastAsia="el-GR" w:bidi="en-US"/>
        </w:rPr>
        <w:t xml:space="preserve">with </w:t>
      </w:r>
      <w:r w:rsidR="002E687D">
        <w:rPr>
          <w:rFonts w:ascii="Arial" w:eastAsia="Arial" w:hAnsi="Arial" w:cs="Arial"/>
          <w:szCs w:val="20"/>
          <w:lang w:val="en-GB" w:eastAsia="el-GR" w:bidi="en-US"/>
        </w:rPr>
        <w:t xml:space="preserve">another bank </w:t>
      </w:r>
      <w:r>
        <w:rPr>
          <w:rFonts w:ascii="Arial" w:eastAsia="Arial" w:hAnsi="Arial" w:cs="Arial"/>
          <w:szCs w:val="20"/>
          <w:lang w:val="en-GB" w:eastAsia="el-GR" w:bidi="en-US"/>
        </w:rPr>
        <w:t xml:space="preserve">and for working capital. The loan is repayable in equal quarterly instalments of $3.8 million until December 27, 2029. </w:t>
      </w:r>
      <w:r w:rsidR="002E687D">
        <w:rPr>
          <w:rFonts w:ascii="Arial" w:eastAsia="Arial" w:hAnsi="Arial" w:cs="Arial"/>
          <w:szCs w:val="20"/>
          <w:lang w:val="en-GB" w:eastAsia="el-GR" w:bidi="en-US"/>
        </w:rPr>
        <w:t>T</w:t>
      </w:r>
      <w:r>
        <w:rPr>
          <w:rFonts w:ascii="Arial" w:eastAsia="Arial" w:hAnsi="Arial" w:cs="Arial"/>
          <w:szCs w:val="20"/>
          <w:lang w:val="en-GB" w:eastAsia="el-GR" w:bidi="en-US"/>
        </w:rPr>
        <w:t xml:space="preserve">he loan is subject to a margin reset, according to which the borrowers and the lenders will enter into discussions to agree on a new margin. Unless the parties agree on a new margin, the loan will be mandatorily repayable on June 27, 2027. As part of the loan agreement, on July 6, 2023, </w:t>
      </w:r>
      <w:r w:rsidR="004843FE">
        <w:rPr>
          <w:rFonts w:ascii="Arial" w:eastAsia="Arial" w:hAnsi="Arial" w:cs="Arial"/>
          <w:szCs w:val="20"/>
          <w:lang w:val="en-GB" w:eastAsia="el-GR" w:bidi="en-US"/>
        </w:rPr>
        <w:t>we</w:t>
      </w:r>
      <w:r>
        <w:rPr>
          <w:rFonts w:ascii="Arial" w:eastAsia="Arial" w:hAnsi="Arial" w:cs="Arial"/>
          <w:szCs w:val="20"/>
          <w:lang w:val="en-GB" w:eastAsia="el-GR" w:bidi="en-US"/>
        </w:rPr>
        <w:t xml:space="preserve"> entered into an interest rate swap with DNB for a notional amount of $30 million and quarterly amortization of $1.2 million. Under the interest rate swap, </w:t>
      </w:r>
      <w:r w:rsidR="004843FE">
        <w:rPr>
          <w:rFonts w:ascii="Arial" w:eastAsia="Arial" w:hAnsi="Arial" w:cs="Arial"/>
          <w:szCs w:val="20"/>
          <w:lang w:val="en-GB" w:eastAsia="el-GR" w:bidi="en-US"/>
        </w:rPr>
        <w:t>we</w:t>
      </w:r>
      <w:r>
        <w:rPr>
          <w:rFonts w:ascii="Arial" w:eastAsia="Arial" w:hAnsi="Arial" w:cs="Arial"/>
          <w:szCs w:val="20"/>
          <w:lang w:val="en-GB" w:eastAsia="el-GR" w:bidi="en-US"/>
        </w:rPr>
        <w:t xml:space="preserve"> pay a fixed rate of 4.268% and receive floating under term SOFR. The swap has a termination date on December 27, 2029, and a mandatory break on June 27, 2027, </w:t>
      </w:r>
      <w:r w:rsidR="002E687D">
        <w:rPr>
          <w:rFonts w:ascii="Arial" w:eastAsia="Arial" w:hAnsi="Arial" w:cs="Arial"/>
          <w:szCs w:val="20"/>
          <w:lang w:val="en-GB" w:eastAsia="el-GR" w:bidi="en-US"/>
        </w:rPr>
        <w:t xml:space="preserve">the </w:t>
      </w:r>
      <w:r>
        <w:rPr>
          <w:rFonts w:ascii="Arial" w:eastAsia="Arial" w:hAnsi="Arial" w:cs="Arial"/>
          <w:szCs w:val="20"/>
          <w:lang w:val="en-GB" w:eastAsia="el-GR" w:bidi="en-US"/>
        </w:rPr>
        <w:t xml:space="preserve">margin reset date of the loan, according to which the swap will be terminated if the loan is prepaid. As of December 31, 2025, the interest rate swap </w:t>
      </w:r>
      <w:r w:rsidR="002A0F34">
        <w:rPr>
          <w:rFonts w:ascii="Arial" w:eastAsia="Arial" w:hAnsi="Arial" w:cs="Arial"/>
          <w:szCs w:val="20"/>
          <w:lang w:val="en-GB" w:eastAsia="el-GR" w:bidi="en-US"/>
        </w:rPr>
        <w:t xml:space="preserve">was a liability having a fair value of </w:t>
      </w:r>
      <w:r>
        <w:rPr>
          <w:rFonts w:ascii="Arial" w:eastAsia="Arial" w:hAnsi="Arial" w:cs="Arial"/>
          <w:szCs w:val="20"/>
          <w:lang w:val="en-GB" w:eastAsia="el-GR" w:bidi="en-US"/>
        </w:rPr>
        <w:t>$</w:t>
      </w:r>
      <w:r w:rsidR="002A0F34">
        <w:rPr>
          <w:rFonts w:ascii="Arial" w:eastAsia="Arial" w:hAnsi="Arial" w:cs="Arial"/>
          <w:szCs w:val="20"/>
          <w:lang w:val="en-GB" w:eastAsia="el-GR" w:bidi="en-US"/>
        </w:rPr>
        <w:t>0.</w:t>
      </w:r>
      <w:r w:rsidR="002D7EAB">
        <w:rPr>
          <w:rFonts w:ascii="Arial" w:eastAsia="Arial" w:hAnsi="Arial" w:cs="Arial"/>
          <w:szCs w:val="20"/>
          <w:lang w:val="en-GB" w:eastAsia="el-GR" w:bidi="en-US"/>
        </w:rPr>
        <w:t>4</w:t>
      </w:r>
      <w:r w:rsidR="002A0F34">
        <w:rPr>
          <w:rFonts w:ascii="Arial" w:eastAsia="Arial" w:hAnsi="Arial" w:cs="Arial"/>
          <w:szCs w:val="20"/>
          <w:lang w:val="en-GB" w:eastAsia="el-GR" w:bidi="en-US"/>
        </w:rPr>
        <w:t xml:space="preserve"> million.</w:t>
      </w:r>
    </w:p>
    <w:p w14:paraId="71F3E72F" w14:textId="77777777" w:rsidR="00666160" w:rsidRDefault="00666160" w:rsidP="00820F0A">
      <w:pPr>
        <w:pStyle w:val="Notesbody"/>
        <w:pBdr>
          <w:top w:val="nil"/>
          <w:left w:val="nil"/>
          <w:bottom w:val="nil"/>
          <w:right w:val="nil"/>
          <w:between w:val="nil"/>
          <w:bar w:val="nil"/>
        </w:pBdr>
        <w:rPr>
          <w:rFonts w:ascii="Arial" w:eastAsia="Arial" w:hAnsi="Arial" w:cs="Arial"/>
          <w:bdr w:val="nil"/>
          <w:lang w:val="en-GB" w:eastAsia="el-GR" w:bidi="en-US"/>
        </w:rPr>
      </w:pPr>
    </w:p>
    <w:p w14:paraId="71F3E730" w14:textId="77777777" w:rsidR="00666160" w:rsidRDefault="003A4815" w:rsidP="00820F0A">
      <w:pPr>
        <w:pStyle w:val="Notesbody"/>
        <w:pBdr>
          <w:top w:val="nil"/>
          <w:left w:val="nil"/>
          <w:bottom w:val="nil"/>
          <w:right w:val="nil"/>
          <w:between w:val="nil"/>
          <w:bar w:val="nil"/>
        </w:pBdr>
        <w:rPr>
          <w:rFonts w:ascii="Arial" w:eastAsia="Arial" w:hAnsi="Arial" w:cs="Arial"/>
          <w:bdr w:val="nil"/>
          <w:lang w:eastAsia="el-GR" w:bidi="en-US"/>
        </w:rPr>
      </w:pPr>
      <w:r w:rsidRPr="00666160">
        <w:rPr>
          <w:rFonts w:ascii="Arial" w:eastAsia="Arial" w:hAnsi="Arial" w:cs="Arial"/>
          <w:lang w:eastAsia="el-GR" w:bidi="en-US"/>
        </w:rPr>
        <w:t xml:space="preserve">On September 29, 2025, </w:t>
      </w:r>
      <w:r>
        <w:rPr>
          <w:rFonts w:ascii="Arial" w:eastAsia="Arial" w:hAnsi="Arial" w:cs="Arial"/>
          <w:lang w:eastAsia="el-GR" w:bidi="en-US"/>
        </w:rPr>
        <w:t>we</w:t>
      </w:r>
      <w:r w:rsidRPr="00666160">
        <w:rPr>
          <w:rFonts w:ascii="Arial" w:eastAsia="Arial" w:hAnsi="Arial" w:cs="Arial"/>
          <w:lang w:eastAsia="el-GR" w:bidi="en-US"/>
        </w:rPr>
        <w:t xml:space="preserve"> </w:t>
      </w:r>
      <w:r w:rsidR="002E687D">
        <w:rPr>
          <w:rFonts w:ascii="Arial" w:eastAsia="Arial" w:hAnsi="Arial" w:cs="Arial"/>
          <w:lang w:eastAsia="el-GR" w:bidi="en-US"/>
        </w:rPr>
        <w:t>drew down</w:t>
      </w:r>
      <w:r w:rsidRPr="00666160">
        <w:rPr>
          <w:rFonts w:ascii="Arial" w:eastAsia="Arial" w:hAnsi="Arial" w:cs="Arial"/>
          <w:lang w:eastAsia="el-GR" w:bidi="en-US"/>
        </w:rPr>
        <w:t xml:space="preserve"> $55</w:t>
      </w:r>
      <w:r>
        <w:rPr>
          <w:rFonts w:ascii="Arial" w:eastAsia="Arial" w:hAnsi="Arial" w:cs="Arial"/>
          <w:lang w:eastAsia="el-GR" w:bidi="en-US"/>
        </w:rPr>
        <w:t xml:space="preserve"> million</w:t>
      </w:r>
      <w:r w:rsidRPr="00666160">
        <w:rPr>
          <w:rFonts w:ascii="Arial" w:eastAsia="Arial" w:hAnsi="Arial" w:cs="Arial"/>
          <w:lang w:eastAsia="el-GR" w:bidi="en-US"/>
        </w:rPr>
        <w:t xml:space="preserve"> </w:t>
      </w:r>
      <w:r w:rsidR="002E687D">
        <w:rPr>
          <w:rFonts w:ascii="Arial" w:eastAsia="Arial" w:hAnsi="Arial" w:cs="Arial"/>
          <w:lang w:eastAsia="el-GR" w:bidi="en-US"/>
        </w:rPr>
        <w:t xml:space="preserve">under a </w:t>
      </w:r>
      <w:r w:rsidRPr="00666160">
        <w:rPr>
          <w:rFonts w:ascii="Arial" w:eastAsia="Arial" w:hAnsi="Arial" w:cs="Arial"/>
          <w:lang w:eastAsia="el-GR" w:bidi="en-US"/>
        </w:rPr>
        <w:t>loan agreement</w:t>
      </w:r>
      <w:r>
        <w:rPr>
          <w:rFonts w:ascii="Arial" w:eastAsia="Arial" w:hAnsi="Arial" w:cs="Arial"/>
          <w:lang w:eastAsia="el-GR" w:bidi="en-US"/>
        </w:rPr>
        <w:t xml:space="preserve"> with </w:t>
      </w:r>
      <w:r w:rsidRPr="00666160">
        <w:rPr>
          <w:rFonts w:ascii="Arial" w:eastAsia="Arial" w:hAnsi="Arial" w:cs="Arial"/>
          <w:lang w:eastAsia="el-GR" w:bidi="en-US"/>
        </w:rPr>
        <w:t>National Bank of Greece</w:t>
      </w:r>
      <w:r>
        <w:rPr>
          <w:rFonts w:ascii="Arial" w:eastAsia="Arial" w:hAnsi="Arial" w:cs="Arial"/>
          <w:lang w:eastAsia="el-GR" w:bidi="en-US"/>
        </w:rPr>
        <w:t>, or</w:t>
      </w:r>
      <w:r w:rsidRPr="00666160">
        <w:rPr>
          <w:rFonts w:ascii="Arial" w:eastAsia="Arial" w:hAnsi="Arial" w:cs="Arial"/>
          <w:lang w:eastAsia="el-GR" w:bidi="en-US"/>
        </w:rPr>
        <w:t xml:space="preserve"> </w:t>
      </w:r>
      <w:r>
        <w:rPr>
          <w:rFonts w:ascii="Arial" w:eastAsia="Arial" w:hAnsi="Arial" w:cs="Arial"/>
          <w:lang w:eastAsia="el-GR" w:bidi="en-US"/>
        </w:rPr>
        <w:t>NBG</w:t>
      </w:r>
      <w:r w:rsidRPr="00666160">
        <w:rPr>
          <w:rFonts w:ascii="Arial" w:eastAsia="Arial" w:hAnsi="Arial" w:cs="Arial"/>
          <w:lang w:eastAsia="el-GR" w:bidi="en-US"/>
        </w:rPr>
        <w:t xml:space="preserve">. The loan proceeds were deposited in a pledged account with the bank to reduce the margin. The Company may withdraw any part or all of the funds from the pledged account at the end of </w:t>
      </w:r>
      <w:r w:rsidR="002E687D">
        <w:rPr>
          <w:rFonts w:ascii="Arial" w:eastAsia="Arial" w:hAnsi="Arial" w:cs="Arial"/>
          <w:lang w:eastAsia="el-GR" w:bidi="en-US"/>
        </w:rPr>
        <w:t xml:space="preserve">each </w:t>
      </w:r>
      <w:r w:rsidRPr="00666160">
        <w:rPr>
          <w:rFonts w:ascii="Arial" w:eastAsia="Arial" w:hAnsi="Arial" w:cs="Arial"/>
          <w:lang w:eastAsia="el-GR" w:bidi="en-US"/>
        </w:rPr>
        <w:t>interest period, provided no event of default has occurred. The loan is repayable in equal quarterly instalments of $1</w:t>
      </w:r>
      <w:r w:rsidR="00A430E1">
        <w:rPr>
          <w:rFonts w:ascii="Arial" w:eastAsia="Arial" w:hAnsi="Arial" w:cs="Arial"/>
          <w:lang w:eastAsia="el-GR" w:bidi="en-US"/>
        </w:rPr>
        <w:t>.3 million</w:t>
      </w:r>
      <w:r w:rsidRPr="00666160">
        <w:rPr>
          <w:rFonts w:ascii="Arial" w:eastAsia="Arial" w:hAnsi="Arial" w:cs="Arial"/>
          <w:lang w:eastAsia="el-GR" w:bidi="en-US"/>
        </w:rPr>
        <w:t xml:space="preserve"> and a balloon instalment of $25</w:t>
      </w:r>
      <w:r w:rsidR="00A430E1">
        <w:rPr>
          <w:rFonts w:ascii="Arial" w:eastAsia="Arial" w:hAnsi="Arial" w:cs="Arial"/>
          <w:lang w:eastAsia="el-GR" w:bidi="en-US"/>
        </w:rPr>
        <w:t>.0 million</w:t>
      </w:r>
      <w:r w:rsidRPr="00666160">
        <w:rPr>
          <w:rFonts w:ascii="Arial" w:eastAsia="Arial" w:hAnsi="Arial" w:cs="Arial"/>
          <w:lang w:eastAsia="el-GR" w:bidi="en-US"/>
        </w:rPr>
        <w:t xml:space="preserve"> payable on September 29, 2031.</w:t>
      </w:r>
    </w:p>
    <w:p w14:paraId="71F3E731" w14:textId="77777777" w:rsidR="0004241D" w:rsidRPr="008B3F71" w:rsidRDefault="0004241D" w:rsidP="00820F0A">
      <w:pPr>
        <w:pStyle w:val="Notesbody"/>
        <w:pBdr>
          <w:top w:val="nil"/>
          <w:left w:val="nil"/>
          <w:bottom w:val="nil"/>
          <w:right w:val="nil"/>
          <w:between w:val="nil"/>
          <w:bar w:val="nil"/>
        </w:pBdr>
        <w:rPr>
          <w:rFonts w:ascii="Arial" w:eastAsia="Arial" w:hAnsi="Arial" w:cs="Arial"/>
          <w:color w:val="auto"/>
          <w:bdr w:val="nil"/>
        </w:rPr>
      </w:pPr>
    </w:p>
    <w:p w14:paraId="71F3E732" w14:textId="77777777" w:rsidR="00172E77" w:rsidRPr="008B3F71" w:rsidRDefault="003A4815" w:rsidP="00172E77">
      <w:pPr>
        <w:pStyle w:val="Normal14"/>
        <w:pBdr>
          <w:top w:val="nil"/>
          <w:left w:val="nil"/>
          <w:bottom w:val="nil"/>
          <w:right w:val="nil"/>
          <w:between w:val="nil"/>
          <w:bar w:val="nil"/>
        </w:pBdr>
        <w:autoSpaceDE w:val="0"/>
        <w:autoSpaceDN w:val="0"/>
        <w:adjustRightInd w:val="0"/>
        <w:jc w:val="both"/>
        <w:rPr>
          <w:rFonts w:ascii="Arial" w:eastAsia="Arial" w:hAnsi="Arial" w:cs="Arial"/>
          <w:bdr w:val="nil"/>
          <w:lang w:val="en-GB"/>
        </w:rPr>
      </w:pPr>
      <w:r w:rsidRPr="008B3F71">
        <w:rPr>
          <w:rFonts w:ascii="Arial" w:eastAsia="Arial" w:hAnsi="Arial" w:cs="Arial"/>
          <w:lang w:val="en-GB" w:bidi="en-US"/>
        </w:rPr>
        <w:t xml:space="preserve">Under the secured term loans outstanding as of December 31, 2025, 31 vessels of </w:t>
      </w:r>
      <w:r>
        <w:rPr>
          <w:rFonts w:ascii="Arial" w:eastAsia="Arial" w:hAnsi="Arial" w:cs="Arial"/>
          <w:lang w:val="en-GB" w:bidi="en-US"/>
        </w:rPr>
        <w:t>our</w:t>
      </w:r>
      <w:r w:rsidRPr="008B3F71">
        <w:rPr>
          <w:rFonts w:ascii="Arial" w:eastAsia="Arial" w:hAnsi="Arial" w:cs="Arial"/>
          <w:lang w:val="en-GB" w:bidi="en-US"/>
        </w:rPr>
        <w:t xml:space="preserve"> fleet were mortgaged with first preferred or priority ship mortgages. Additional securities required by the banks include first priority assignment of all earnings, insurances, first assignment of time charter contracts with duration that exceeds a certain period, pledge over the shares of the borrowers, manager’s undertaking and subordination and requisition compensation and either a corporate guarantee by Diana Shipping Inc. (the “Guarantor”) or a guarantee by the ship owning companies (where applicable), financial covenants, as well as operating account assignments. The lenders may also require additional security in the future in the event the borrowers breach certain covenants under the loan agreements. The secured term loans generally include restrictions as to changes in management and ownership of the vessels, additional indebtedness, as well as minimum requirements regarding hull cover ratio and minimum liquidity per vessel owned by the borrowers, or the Guarantor, maintained in the bank accounts of the borrowers, or the Guarantor. </w:t>
      </w:r>
      <w:bookmarkStart w:id="170" w:name="_Hlk159944370"/>
      <w:r w:rsidRPr="008B3F71">
        <w:rPr>
          <w:rFonts w:ascii="Arial" w:eastAsia="Arial" w:hAnsi="Arial" w:cs="Arial"/>
          <w:lang w:val="en-GB" w:bidi="en-US"/>
        </w:rPr>
        <w:t xml:space="preserve">Furthermore, the secured term loans contain cross default provisions and additionally </w:t>
      </w:r>
      <w:r>
        <w:rPr>
          <w:rFonts w:ascii="Arial" w:eastAsia="Arial" w:hAnsi="Arial" w:cs="Arial"/>
          <w:lang w:val="en-GB" w:bidi="en-US"/>
        </w:rPr>
        <w:t>we are</w:t>
      </w:r>
      <w:r w:rsidRPr="008B3F71">
        <w:rPr>
          <w:rFonts w:ascii="Arial" w:eastAsia="Arial" w:hAnsi="Arial" w:cs="Arial"/>
          <w:lang w:val="en-GB" w:bidi="en-US"/>
        </w:rPr>
        <w:t xml:space="preserve"> not permitted to pay any dividends following the occurrence of an event of default. </w:t>
      </w:r>
      <w:r w:rsidRPr="002D575A">
        <w:rPr>
          <w:rFonts w:ascii="Arial" w:eastAsia="Arial" w:hAnsi="Arial" w:cs="Arial"/>
          <w:lang w:val="en-US" w:bidi="en-US"/>
        </w:rPr>
        <w:t xml:space="preserve">All of </w:t>
      </w:r>
      <w:r>
        <w:rPr>
          <w:rFonts w:ascii="Arial" w:eastAsia="Arial" w:hAnsi="Arial" w:cs="Arial"/>
          <w:lang w:val="en-US" w:bidi="en-US"/>
        </w:rPr>
        <w:t>our</w:t>
      </w:r>
      <w:r w:rsidRPr="002D575A">
        <w:rPr>
          <w:rFonts w:ascii="Arial" w:eastAsia="Arial" w:hAnsi="Arial" w:cs="Arial"/>
          <w:lang w:val="en-US" w:bidi="en-US"/>
        </w:rPr>
        <w:t xml:space="preserve"> secured term loans bear interest </w:t>
      </w:r>
      <w:r w:rsidR="0004141B" w:rsidRPr="002D575A">
        <w:rPr>
          <w:rFonts w:ascii="Arial" w:eastAsia="Arial" w:hAnsi="Arial" w:cs="Arial"/>
          <w:lang w:val="en-US" w:bidi="en-US"/>
        </w:rPr>
        <w:t>in</w:t>
      </w:r>
      <w:r w:rsidRPr="002D575A">
        <w:rPr>
          <w:rFonts w:ascii="Arial" w:eastAsia="Arial" w:hAnsi="Arial" w:cs="Arial"/>
          <w:lang w:val="en-US" w:bidi="en-US"/>
        </w:rPr>
        <w:t xml:space="preserve"> </w:t>
      </w:r>
      <w:r>
        <w:rPr>
          <w:rFonts w:ascii="Arial" w:eastAsia="Arial" w:hAnsi="Arial" w:cs="Arial"/>
          <w:lang w:val="en-US" w:bidi="en-US"/>
        </w:rPr>
        <w:t xml:space="preserve">Term </w:t>
      </w:r>
      <w:r w:rsidRPr="002D575A">
        <w:rPr>
          <w:rFonts w:ascii="Arial" w:eastAsia="Arial" w:hAnsi="Arial" w:cs="Arial"/>
          <w:lang w:val="en-US" w:bidi="en-US"/>
        </w:rPr>
        <w:t>SOFR plus a margin.</w:t>
      </w:r>
    </w:p>
    <w:bookmarkEnd w:id="170"/>
    <w:p w14:paraId="71F3E733" w14:textId="77777777" w:rsidR="00202F74" w:rsidRPr="008B3F71" w:rsidRDefault="00202F74" w:rsidP="00820F0A">
      <w:pPr>
        <w:pStyle w:val="Notesbody50"/>
        <w:pBdr>
          <w:top w:val="nil"/>
          <w:left w:val="nil"/>
          <w:bottom w:val="nil"/>
          <w:right w:val="nil"/>
          <w:between w:val="nil"/>
          <w:bar w:val="nil"/>
        </w:pBdr>
        <w:spacing w:before="0" w:after="0"/>
        <w:rPr>
          <w:rFonts w:ascii="Arial" w:eastAsia="Arial" w:hAnsi="Arial" w:cs="Arial"/>
          <w:szCs w:val="22"/>
          <w:bdr w:val="nil"/>
          <w:lang w:val="en-GB"/>
        </w:rPr>
      </w:pPr>
    </w:p>
    <w:p w14:paraId="71F3E734" w14:textId="77777777" w:rsidR="00AF71CF" w:rsidRDefault="003A4815" w:rsidP="00820F0A">
      <w:pPr>
        <w:pStyle w:val="Normal14"/>
        <w:pBdr>
          <w:top w:val="nil"/>
          <w:left w:val="nil"/>
          <w:bottom w:val="nil"/>
          <w:right w:val="nil"/>
          <w:between w:val="nil"/>
          <w:bar w:val="nil"/>
        </w:pBdr>
        <w:autoSpaceDE w:val="0"/>
        <w:autoSpaceDN w:val="0"/>
        <w:adjustRightInd w:val="0"/>
        <w:jc w:val="both"/>
        <w:rPr>
          <w:rFonts w:ascii="Arial" w:eastAsia="Arial" w:hAnsi="Arial" w:cs="Arial"/>
          <w:bdr w:val="nil"/>
          <w:lang w:val="en-GB"/>
        </w:rPr>
      </w:pPr>
      <w:r w:rsidRPr="008B3F71">
        <w:rPr>
          <w:rFonts w:ascii="Arial" w:eastAsia="Arial" w:hAnsi="Arial" w:cs="Arial"/>
          <w:lang w:val="en-GB" w:bidi="en-US"/>
        </w:rPr>
        <w:t>As of December 31, 2024 and 2025, and the date of this</w:t>
      </w:r>
      <w:r>
        <w:rPr>
          <w:rFonts w:ascii="Arial" w:eastAsia="Arial" w:hAnsi="Arial" w:cs="Arial"/>
          <w:lang w:val="en-GB" w:bidi="en-US"/>
        </w:rPr>
        <w:t xml:space="preserve"> annual</w:t>
      </w:r>
      <w:r w:rsidRPr="008B3F71">
        <w:rPr>
          <w:rFonts w:ascii="Arial" w:eastAsia="Arial" w:hAnsi="Arial" w:cs="Arial"/>
          <w:lang w:val="en-GB" w:bidi="en-US"/>
        </w:rPr>
        <w:t xml:space="preserve"> report, we were in compliance with all of our loan covenants.</w:t>
      </w:r>
    </w:p>
    <w:p w14:paraId="71F3E735" w14:textId="77777777" w:rsidR="00202F74" w:rsidRPr="008B3F71" w:rsidRDefault="00202F74" w:rsidP="00820F0A">
      <w:pPr>
        <w:pStyle w:val="Notesbody50"/>
        <w:pBdr>
          <w:top w:val="nil"/>
          <w:left w:val="nil"/>
          <w:bottom w:val="nil"/>
          <w:right w:val="nil"/>
          <w:between w:val="nil"/>
          <w:bar w:val="nil"/>
        </w:pBdr>
        <w:spacing w:before="0" w:after="0"/>
        <w:rPr>
          <w:rFonts w:ascii="Arial" w:eastAsia="Arial" w:hAnsi="Arial" w:cs="Arial"/>
          <w:szCs w:val="22"/>
          <w:bdr w:val="nil"/>
          <w:lang w:val="en-GB"/>
        </w:rPr>
      </w:pPr>
    </w:p>
    <w:p w14:paraId="71F3E736" w14:textId="77777777" w:rsidR="00A2284A" w:rsidRPr="0054524B" w:rsidRDefault="003A4815" w:rsidP="00820F0A">
      <w:pPr>
        <w:pStyle w:val="Heading313"/>
        <w:keepLines/>
        <w:pBdr>
          <w:top w:val="nil"/>
          <w:left w:val="nil"/>
          <w:bottom w:val="nil"/>
          <w:right w:val="nil"/>
          <w:between w:val="nil"/>
          <w:bar w:val="nil"/>
        </w:pBdr>
        <w:rPr>
          <w:rFonts w:ascii="Arial" w:eastAsia="Arial" w:hAnsi="Arial" w:cs="Arial"/>
          <w:szCs w:val="20"/>
          <w:bdr w:val="nil"/>
        </w:rPr>
      </w:pPr>
      <w:r w:rsidRPr="0054524B">
        <w:rPr>
          <w:rFonts w:ascii="Arial" w:eastAsia="Arial" w:hAnsi="Arial" w:cs="Arial"/>
          <w:szCs w:val="20"/>
        </w:rPr>
        <w:t>Senior</w:t>
      </w:r>
      <w:r w:rsidR="00E23051" w:rsidRPr="00E23051">
        <w:rPr>
          <w:rFonts w:ascii="Arial" w:eastAsia="Arial" w:hAnsi="Arial" w:cs="Arial"/>
          <w:szCs w:val="20"/>
        </w:rPr>
        <w:t xml:space="preserve"> Unsecured Bond</w:t>
      </w:r>
      <w:r w:rsidR="00E23051">
        <w:rPr>
          <w:rFonts w:ascii="Arial" w:eastAsia="Arial" w:hAnsi="Arial" w:cs="Arial"/>
          <w:szCs w:val="20"/>
        </w:rPr>
        <w:t>:</w:t>
      </w:r>
    </w:p>
    <w:p w14:paraId="71F3E737" w14:textId="77777777" w:rsidR="00820F0A" w:rsidRPr="00820F0A" w:rsidRDefault="00820F0A" w:rsidP="00E20353">
      <w:pPr>
        <w:pStyle w:val="Normal34"/>
        <w:keepNext/>
        <w:keepLines/>
        <w:pBdr>
          <w:top w:val="nil"/>
          <w:left w:val="nil"/>
          <w:bottom w:val="nil"/>
          <w:right w:val="nil"/>
          <w:between w:val="nil"/>
          <w:bar w:val="nil"/>
        </w:pBdr>
        <w:rPr>
          <w:rFonts w:ascii="Arial" w:eastAsia="Arial" w:hAnsi="Arial" w:cs="Arial"/>
          <w:bdr w:val="nil"/>
          <w:lang w:eastAsia="el-GR"/>
        </w:rPr>
      </w:pPr>
    </w:p>
    <w:p w14:paraId="71F3E738" w14:textId="77777777" w:rsidR="00E23051" w:rsidRPr="00E23051" w:rsidRDefault="003A4815" w:rsidP="00BD45D2">
      <w:pPr>
        <w:pBdr>
          <w:top w:val="nil"/>
          <w:left w:val="nil"/>
          <w:bottom w:val="nil"/>
          <w:right w:val="nil"/>
          <w:between w:val="nil"/>
          <w:bar w:val="nil"/>
        </w:pBdr>
        <w:jc w:val="both"/>
        <w:rPr>
          <w:rFonts w:ascii="Arial" w:eastAsia="Arial" w:hAnsi="Arial" w:cs="Arial"/>
          <w:b/>
          <w:bCs/>
          <w:bdr w:val="nil"/>
          <w:lang w:val="en-US"/>
        </w:rPr>
      </w:pPr>
      <w:r>
        <w:rPr>
          <w:rFonts w:ascii="Arial" w:eastAsia="Arial" w:hAnsi="Arial" w:cs="Arial"/>
          <w:color w:val="000000"/>
          <w:lang w:val="en-US" w:eastAsia="el-GR"/>
        </w:rPr>
        <w:t xml:space="preserve">On </w:t>
      </w:r>
      <w:r w:rsidR="00BB7690" w:rsidRPr="00E23051">
        <w:rPr>
          <w:rFonts w:ascii="Arial" w:eastAsia="Arial" w:hAnsi="Arial" w:cs="Arial"/>
          <w:color w:val="000000"/>
          <w:szCs w:val="24"/>
          <w:lang w:val="en-US" w:eastAsia="el-GR"/>
        </w:rPr>
        <w:t xml:space="preserve">July 2, 2024, </w:t>
      </w:r>
      <w:r>
        <w:rPr>
          <w:rFonts w:ascii="Arial" w:eastAsia="Arial" w:hAnsi="Arial" w:cs="Arial"/>
          <w:color w:val="000000"/>
          <w:lang w:val="en-US" w:eastAsia="el-GR"/>
        </w:rPr>
        <w:t xml:space="preserve">we issued </w:t>
      </w:r>
      <w:r w:rsidR="002E687D">
        <w:rPr>
          <w:rFonts w:ascii="Arial" w:eastAsia="Arial" w:hAnsi="Arial" w:cs="Arial"/>
          <w:color w:val="000000"/>
          <w:lang w:val="en-US" w:eastAsia="el-GR"/>
        </w:rPr>
        <w:t xml:space="preserve">a </w:t>
      </w:r>
      <w:r>
        <w:rPr>
          <w:rFonts w:ascii="Arial" w:eastAsia="Arial" w:hAnsi="Arial" w:cs="Arial"/>
          <w:color w:val="000000"/>
          <w:lang w:val="en-US" w:eastAsia="el-GR"/>
        </w:rPr>
        <w:t xml:space="preserve">bond </w:t>
      </w:r>
      <w:r w:rsidR="004C5F12">
        <w:rPr>
          <w:rFonts w:ascii="Arial" w:eastAsia="Arial" w:hAnsi="Arial" w:cs="Arial"/>
          <w:color w:val="000000"/>
          <w:lang w:val="en-US" w:eastAsia="el-GR"/>
        </w:rPr>
        <w:t xml:space="preserve">of </w:t>
      </w:r>
      <w:r w:rsidR="00BB7690" w:rsidRPr="00E23051">
        <w:rPr>
          <w:rFonts w:ascii="Arial" w:eastAsia="Arial" w:hAnsi="Arial" w:cs="Arial"/>
          <w:color w:val="000000"/>
          <w:szCs w:val="24"/>
          <w:lang w:val="en-US" w:eastAsia="el-GR"/>
        </w:rPr>
        <w:t>$150</w:t>
      </w:r>
      <w:r w:rsidR="00BB7690">
        <w:rPr>
          <w:rFonts w:ascii="Arial" w:eastAsia="Arial" w:hAnsi="Arial" w:cs="Arial"/>
          <w:color w:val="000000"/>
          <w:szCs w:val="24"/>
          <w:lang w:val="en-US" w:eastAsia="el-GR"/>
        </w:rPr>
        <w:t xml:space="preserve"> million</w:t>
      </w:r>
      <w:r w:rsidR="00BB7690" w:rsidRPr="00E23051">
        <w:rPr>
          <w:rFonts w:ascii="Arial" w:eastAsia="Arial" w:hAnsi="Arial" w:cs="Arial"/>
          <w:color w:val="000000"/>
          <w:szCs w:val="24"/>
          <w:lang w:val="en-US" w:eastAsia="el-GR"/>
        </w:rPr>
        <w:t xml:space="preserve"> </w:t>
      </w:r>
      <w:r>
        <w:rPr>
          <w:rFonts w:ascii="Arial" w:eastAsia="Arial" w:hAnsi="Arial" w:cs="Arial"/>
          <w:color w:val="000000"/>
          <w:szCs w:val="24"/>
          <w:lang w:val="en-US" w:eastAsia="el-GR"/>
        </w:rPr>
        <w:t>nominal value</w:t>
      </w:r>
      <w:r w:rsidR="004C5F12">
        <w:rPr>
          <w:rFonts w:ascii="Arial" w:eastAsia="Arial" w:hAnsi="Arial" w:cs="Arial"/>
          <w:color w:val="000000"/>
          <w:szCs w:val="24"/>
          <w:lang w:val="en-US" w:eastAsia="el-GR"/>
        </w:rPr>
        <w:t xml:space="preserve"> </w:t>
      </w:r>
      <w:r>
        <w:rPr>
          <w:rFonts w:ascii="Arial" w:eastAsia="Arial" w:hAnsi="Arial" w:cs="Arial"/>
          <w:color w:val="000000"/>
          <w:szCs w:val="24"/>
          <w:lang w:val="en-US" w:eastAsia="el-GR"/>
        </w:rPr>
        <w:t xml:space="preserve">at par and on </w:t>
      </w:r>
      <w:r w:rsidRPr="00E23051">
        <w:rPr>
          <w:rFonts w:ascii="Arial" w:eastAsia="Arial" w:hAnsi="Arial" w:cs="Arial"/>
          <w:color w:val="000000"/>
          <w:szCs w:val="24"/>
          <w:lang w:val="en-US" w:eastAsia="el-GR"/>
        </w:rPr>
        <w:t xml:space="preserve">November 8, 2024, </w:t>
      </w:r>
      <w:r>
        <w:rPr>
          <w:rFonts w:ascii="Arial" w:eastAsia="Arial" w:hAnsi="Arial" w:cs="Arial"/>
          <w:color w:val="000000"/>
          <w:szCs w:val="24"/>
          <w:lang w:val="en-US" w:eastAsia="el-GR"/>
        </w:rPr>
        <w:t>we</w:t>
      </w:r>
      <w:r w:rsidRPr="00E23051">
        <w:rPr>
          <w:rFonts w:ascii="Arial" w:eastAsia="Arial" w:hAnsi="Arial" w:cs="Arial"/>
          <w:color w:val="000000"/>
          <w:szCs w:val="24"/>
          <w:lang w:val="en-US" w:eastAsia="el-GR"/>
        </w:rPr>
        <w:t xml:space="preserve"> issued </w:t>
      </w:r>
      <w:r>
        <w:rPr>
          <w:rFonts w:ascii="Arial" w:eastAsia="Arial" w:hAnsi="Arial" w:cs="Arial"/>
          <w:color w:val="000000"/>
          <w:szCs w:val="24"/>
          <w:lang w:val="en-US" w:eastAsia="el-GR"/>
        </w:rPr>
        <w:t xml:space="preserve">an additional amount of </w:t>
      </w:r>
      <w:r w:rsidRPr="00E23051">
        <w:rPr>
          <w:rFonts w:ascii="Arial" w:eastAsia="Arial" w:hAnsi="Arial" w:cs="Arial"/>
          <w:color w:val="000000"/>
          <w:szCs w:val="24"/>
          <w:lang w:val="en-US" w:eastAsia="el-GR"/>
        </w:rPr>
        <w:t>$25</w:t>
      </w:r>
      <w:r>
        <w:rPr>
          <w:rFonts w:ascii="Arial" w:eastAsia="Arial" w:hAnsi="Arial" w:cs="Arial"/>
          <w:color w:val="000000"/>
          <w:szCs w:val="24"/>
          <w:lang w:val="en-US" w:eastAsia="el-GR"/>
        </w:rPr>
        <w:t xml:space="preserve"> million</w:t>
      </w:r>
      <w:r w:rsidRPr="00E23051">
        <w:rPr>
          <w:rFonts w:ascii="Arial" w:eastAsia="Arial" w:hAnsi="Arial" w:cs="Arial"/>
          <w:color w:val="000000"/>
          <w:szCs w:val="24"/>
          <w:lang w:val="en-US" w:eastAsia="el-GR"/>
        </w:rPr>
        <w:t xml:space="preserve"> nominal value at 102.00% of par</w:t>
      </w:r>
      <w:r>
        <w:rPr>
          <w:rFonts w:ascii="Arial" w:eastAsia="Arial" w:hAnsi="Arial" w:cs="Arial"/>
          <w:color w:val="000000"/>
          <w:szCs w:val="24"/>
          <w:lang w:val="en-US" w:eastAsia="el-GR"/>
        </w:rPr>
        <w:t xml:space="preserve">. </w:t>
      </w:r>
      <w:r w:rsidR="002E687D">
        <w:rPr>
          <w:rFonts w:ascii="Arial" w:eastAsia="Arial" w:hAnsi="Arial" w:cs="Arial"/>
          <w:color w:val="000000"/>
          <w:szCs w:val="24"/>
          <w:lang w:val="en-US" w:eastAsia="el-GR"/>
        </w:rPr>
        <w:t xml:space="preserve">The bond proceeds were used to refinance the outstanding balance of our </w:t>
      </w:r>
      <w:r w:rsidR="002E687D">
        <w:rPr>
          <w:rFonts w:ascii="Arial" w:eastAsia="Arial" w:hAnsi="Arial" w:cs="Arial"/>
          <w:color w:val="000000"/>
          <w:lang w:val="en-US" w:eastAsia="el-GR"/>
        </w:rPr>
        <w:t>$125 million senior unsecured bond maturing in June 2026</w:t>
      </w:r>
      <w:r w:rsidR="004C5F12">
        <w:rPr>
          <w:rFonts w:ascii="Arial" w:eastAsia="Arial" w:hAnsi="Arial" w:cs="Arial"/>
          <w:color w:val="000000"/>
          <w:lang w:val="en-US" w:eastAsia="el-GR"/>
        </w:rPr>
        <w:t xml:space="preserve"> </w:t>
      </w:r>
      <w:r w:rsidR="002E687D" w:rsidRPr="00E23051">
        <w:rPr>
          <w:rFonts w:ascii="Arial" w:eastAsia="Arial" w:hAnsi="Arial" w:cs="Arial"/>
          <w:color w:val="000000"/>
          <w:lang w:val="en-US" w:eastAsia="el-GR"/>
        </w:rPr>
        <w:t>at a price equal to 103.35% of nominal value</w:t>
      </w:r>
      <w:r w:rsidR="004C5F12">
        <w:rPr>
          <w:rFonts w:ascii="Arial" w:eastAsia="Arial" w:hAnsi="Arial" w:cs="Arial"/>
          <w:color w:val="000000"/>
          <w:lang w:val="en-US" w:eastAsia="el-GR"/>
        </w:rPr>
        <w:t xml:space="preserve">. </w:t>
      </w:r>
      <w:r>
        <w:rPr>
          <w:rFonts w:ascii="Arial" w:eastAsia="Arial" w:hAnsi="Arial" w:cs="Arial"/>
          <w:color w:val="000000"/>
          <w:szCs w:val="24"/>
          <w:lang w:val="en-US" w:eastAsia="el-GR"/>
        </w:rPr>
        <w:t>The</w:t>
      </w:r>
      <w:r w:rsidR="00BB7690">
        <w:rPr>
          <w:rFonts w:ascii="Arial" w:eastAsia="Arial" w:hAnsi="Arial" w:cs="Arial"/>
          <w:color w:val="000000"/>
          <w:szCs w:val="24"/>
          <w:lang w:val="en-US" w:eastAsia="el-GR"/>
        </w:rPr>
        <w:t xml:space="preserve"> </w:t>
      </w:r>
      <w:r>
        <w:rPr>
          <w:rFonts w:ascii="Arial" w:eastAsia="Arial" w:hAnsi="Arial" w:cs="Arial"/>
          <w:color w:val="000000"/>
          <w:szCs w:val="24"/>
          <w:lang w:val="en-US" w:eastAsia="el-GR"/>
        </w:rPr>
        <w:t xml:space="preserve">bond </w:t>
      </w:r>
      <w:r w:rsidR="00BB7690">
        <w:rPr>
          <w:rFonts w:ascii="Arial" w:eastAsia="Arial" w:hAnsi="Arial" w:cs="Arial"/>
          <w:color w:val="000000"/>
          <w:szCs w:val="24"/>
          <w:lang w:val="en-US" w:eastAsia="el-GR"/>
        </w:rPr>
        <w:t>has</w:t>
      </w:r>
      <w:r w:rsidR="00BB7690" w:rsidRPr="00E23051">
        <w:rPr>
          <w:rFonts w:ascii="Arial" w:eastAsia="Arial" w:hAnsi="Arial" w:cs="Arial"/>
          <w:color w:val="000000"/>
          <w:szCs w:val="24"/>
          <w:lang w:val="en-US" w:eastAsia="el-GR"/>
        </w:rPr>
        <w:t xml:space="preserve"> a US Dollar fixed-rate coupon of 8.75% payable semi-annually in arrears in January and July of each year. The bond is callable in whole or in part in July 2027 at a price equal to 103.50% of nominal value; in January 2028 at a price equal to 102.625% of nominal value; in July 2028 at a price equal to 101.75% and after January 2029 at a price equal to 100.00% of nominal value. The bond ranks ahead of subordinated capital and ranks the same with all other senior unsecured obligations of the Company other than obligations which are mandatorily preferred by law. The bond includes financial and other covenants and is trading </w:t>
      </w:r>
      <w:r w:rsidR="00BB7690">
        <w:rPr>
          <w:rFonts w:ascii="Arial" w:eastAsia="Arial" w:hAnsi="Arial" w:cs="Arial"/>
          <w:color w:val="000000"/>
          <w:szCs w:val="24"/>
          <w:lang w:val="en-US" w:eastAsia="el-GR"/>
        </w:rPr>
        <w:t>on the</w:t>
      </w:r>
      <w:r w:rsidR="00BB7690" w:rsidRPr="00E23051">
        <w:rPr>
          <w:rFonts w:ascii="Arial" w:eastAsia="Arial" w:hAnsi="Arial" w:cs="Arial"/>
          <w:color w:val="000000"/>
          <w:szCs w:val="24"/>
          <w:lang w:val="en-US" w:eastAsia="el-GR"/>
        </w:rPr>
        <w:t xml:space="preserve"> Oslo Stock Exchange under the ticker symbol “DIASH03”.</w:t>
      </w:r>
    </w:p>
    <w:p w14:paraId="71F3E739" w14:textId="77777777" w:rsidR="00472087" w:rsidRPr="00465F11" w:rsidRDefault="00472087" w:rsidP="00820F0A">
      <w:pPr>
        <w:pStyle w:val="Notesbody50"/>
        <w:pBdr>
          <w:top w:val="nil"/>
          <w:left w:val="nil"/>
          <w:bottom w:val="nil"/>
          <w:right w:val="nil"/>
          <w:between w:val="nil"/>
          <w:bar w:val="nil"/>
        </w:pBdr>
        <w:spacing w:before="0" w:after="0"/>
        <w:rPr>
          <w:rFonts w:ascii="Arial" w:eastAsia="Arial" w:hAnsi="Arial" w:cs="Arial"/>
          <w:szCs w:val="22"/>
          <w:bdr w:val="nil"/>
        </w:rPr>
      </w:pPr>
    </w:p>
    <w:p w14:paraId="71F3E73A" w14:textId="77777777" w:rsidR="00472087" w:rsidRDefault="003A4815" w:rsidP="00820F0A">
      <w:pPr>
        <w:pStyle w:val="Heading313"/>
        <w:keepLines/>
        <w:pBdr>
          <w:top w:val="nil"/>
          <w:left w:val="nil"/>
          <w:bottom w:val="nil"/>
          <w:right w:val="nil"/>
          <w:between w:val="nil"/>
          <w:bar w:val="nil"/>
        </w:pBdr>
        <w:rPr>
          <w:rFonts w:ascii="Arial" w:eastAsia="Arial" w:hAnsi="Arial" w:cs="Arial"/>
          <w:szCs w:val="20"/>
          <w:bdr w:val="nil"/>
        </w:rPr>
      </w:pPr>
      <w:r w:rsidRPr="0054524B">
        <w:rPr>
          <w:rFonts w:ascii="Arial" w:eastAsia="Arial" w:hAnsi="Arial" w:cs="Arial"/>
          <w:szCs w:val="20"/>
        </w:rPr>
        <w:t>Finance Liabilities</w:t>
      </w:r>
    </w:p>
    <w:p w14:paraId="71F3E73B" w14:textId="77777777" w:rsidR="00DF0C9F" w:rsidRPr="00DF0C9F" w:rsidRDefault="00DF0C9F" w:rsidP="00DF0C9F">
      <w:pPr>
        <w:pBdr>
          <w:top w:val="nil"/>
          <w:left w:val="nil"/>
          <w:bottom w:val="nil"/>
          <w:right w:val="nil"/>
          <w:between w:val="nil"/>
          <w:bar w:val="nil"/>
        </w:pBdr>
        <w:jc w:val="both"/>
        <w:rPr>
          <w:rFonts w:ascii="Arial" w:eastAsia="Arial" w:hAnsi="Arial" w:cs="Arial"/>
          <w:bdr w:val="nil"/>
          <w:lang w:val="en-US"/>
        </w:rPr>
      </w:pPr>
    </w:p>
    <w:p w14:paraId="71F3E73C" w14:textId="77777777" w:rsidR="00465F11" w:rsidRDefault="003A4815" w:rsidP="00DF0C9F">
      <w:pPr>
        <w:pBdr>
          <w:top w:val="nil"/>
          <w:left w:val="nil"/>
          <w:bottom w:val="nil"/>
          <w:right w:val="nil"/>
          <w:between w:val="nil"/>
          <w:bar w:val="nil"/>
        </w:pBdr>
        <w:jc w:val="both"/>
        <w:rPr>
          <w:rFonts w:ascii="Arial" w:eastAsia="Arial" w:hAnsi="Arial" w:cs="Arial"/>
          <w:bdr w:val="nil"/>
          <w:lang w:val="en-US"/>
        </w:rPr>
      </w:pPr>
      <w:bookmarkStart w:id="171" w:name="RG_MARKER_17058"/>
      <w:r w:rsidRPr="00DF0C9F">
        <w:rPr>
          <w:rFonts w:ascii="Arial" w:eastAsia="Arial" w:hAnsi="Arial" w:cs="Arial"/>
          <w:color w:val="000000"/>
          <w:lang w:val="en-US" w:eastAsia="el-GR"/>
        </w:rPr>
        <w:t xml:space="preserve">On March 29, 2022, </w:t>
      </w:r>
      <w:bookmarkEnd w:id="171"/>
      <w:r w:rsidRPr="00DF0C9F">
        <w:rPr>
          <w:rFonts w:ascii="Arial" w:eastAsia="Arial" w:hAnsi="Arial" w:cs="Arial"/>
          <w:color w:val="000000"/>
          <w:lang w:val="en-US" w:eastAsia="el-GR"/>
        </w:rPr>
        <w:t>we entered into a $50</w:t>
      </w:r>
      <w:r w:rsidR="002A0F34" w:rsidRPr="00DF0C9F">
        <w:rPr>
          <w:rFonts w:ascii="Arial" w:eastAsia="Arial" w:hAnsi="Arial" w:cs="Arial"/>
          <w:color w:val="000000"/>
          <w:lang w:val="en-US" w:eastAsia="el-GR"/>
        </w:rPr>
        <w:t xml:space="preserve"> million </w:t>
      </w:r>
      <w:r w:rsidRPr="00DF0C9F">
        <w:rPr>
          <w:rFonts w:ascii="Arial" w:eastAsia="Arial" w:hAnsi="Arial" w:cs="Arial"/>
          <w:color w:val="000000"/>
          <w:lang w:val="en-US" w:eastAsia="el-GR"/>
        </w:rPr>
        <w:t xml:space="preserve">sale and leaseback agreement with </w:t>
      </w:r>
      <w:r w:rsidR="007F6B11">
        <w:rPr>
          <w:rFonts w:ascii="Arial" w:eastAsia="Arial" w:hAnsi="Arial" w:cs="Arial"/>
          <w:color w:val="000000"/>
          <w:lang w:val="en-US" w:eastAsia="el-GR"/>
        </w:rPr>
        <w:t xml:space="preserve">an </w:t>
      </w:r>
      <w:r w:rsidRPr="00DF0C9F">
        <w:rPr>
          <w:rFonts w:ascii="Arial" w:eastAsia="Arial" w:hAnsi="Arial" w:cs="Arial"/>
          <w:color w:val="000000"/>
          <w:lang w:val="en-US" w:eastAsia="el-GR"/>
        </w:rPr>
        <w:t>unaffiliated third part</w:t>
      </w:r>
      <w:r w:rsidR="007F6B11">
        <w:rPr>
          <w:rFonts w:ascii="Arial" w:eastAsia="Arial" w:hAnsi="Arial" w:cs="Arial"/>
          <w:color w:val="000000"/>
          <w:lang w:val="en-US" w:eastAsia="el-GR"/>
        </w:rPr>
        <w:t>y</w:t>
      </w:r>
      <w:r w:rsidRPr="00DF0C9F">
        <w:rPr>
          <w:rFonts w:ascii="Arial" w:eastAsia="Arial" w:hAnsi="Arial" w:cs="Arial"/>
          <w:color w:val="000000"/>
          <w:lang w:val="en-US" w:eastAsia="el-GR"/>
        </w:rPr>
        <w:t xml:space="preserve">, for a period of ten years, under which </w:t>
      </w:r>
      <w:r>
        <w:rPr>
          <w:rFonts w:ascii="Arial" w:eastAsia="Arial" w:hAnsi="Arial" w:cs="Arial"/>
          <w:color w:val="000000"/>
          <w:lang w:val="en-US" w:eastAsia="el-GR"/>
        </w:rPr>
        <w:t>we</w:t>
      </w:r>
      <w:r w:rsidRPr="00DF0C9F">
        <w:rPr>
          <w:rFonts w:ascii="Arial" w:eastAsia="Arial" w:hAnsi="Arial" w:cs="Arial"/>
          <w:color w:val="000000"/>
          <w:lang w:val="en-US" w:eastAsia="el-GR"/>
        </w:rPr>
        <w:t xml:space="preserve"> pay hire, monthly in advance and we have the option to repurchase the vessel after the end of the third year of the charter period, or each year thereafter, until the termination of the lease, at specific prices, subject to irrevocable and written notice to the owner. If not repurchased earlier, we have the obligation to repurchase the vessel for $16</w:t>
      </w:r>
      <w:r w:rsidR="002A0F34" w:rsidRPr="00DF0C9F">
        <w:rPr>
          <w:rFonts w:ascii="Arial" w:eastAsia="Arial" w:hAnsi="Arial" w:cs="Arial"/>
          <w:color w:val="000000"/>
          <w:lang w:val="en-US" w:eastAsia="el-GR"/>
        </w:rPr>
        <w:t>.</w:t>
      </w:r>
      <w:r w:rsidRPr="00DF0C9F">
        <w:rPr>
          <w:rFonts w:ascii="Arial" w:eastAsia="Arial" w:hAnsi="Arial" w:cs="Arial"/>
          <w:color w:val="000000"/>
          <w:lang w:val="en-US" w:eastAsia="el-GR"/>
        </w:rPr>
        <w:t>4</w:t>
      </w:r>
      <w:r w:rsidR="002A0F34" w:rsidRPr="00DF0C9F">
        <w:rPr>
          <w:rFonts w:ascii="Arial" w:eastAsia="Arial" w:hAnsi="Arial" w:cs="Arial"/>
          <w:color w:val="000000"/>
          <w:lang w:val="en-US" w:eastAsia="el-GR"/>
        </w:rPr>
        <w:t xml:space="preserve"> million</w:t>
      </w:r>
      <w:r w:rsidRPr="00DF0C9F">
        <w:rPr>
          <w:rFonts w:ascii="Arial" w:eastAsia="Arial" w:hAnsi="Arial" w:cs="Arial"/>
          <w:color w:val="000000"/>
          <w:lang w:val="en-US" w:eastAsia="el-GR"/>
        </w:rPr>
        <w:t xml:space="preserve">, on the expiration of the lease on the tenth year. </w:t>
      </w:r>
    </w:p>
    <w:p w14:paraId="71F3E73D" w14:textId="77777777" w:rsidR="00DF0C9F" w:rsidRPr="00DF0C9F" w:rsidRDefault="00DF0C9F" w:rsidP="00DF0C9F">
      <w:pPr>
        <w:pBdr>
          <w:top w:val="nil"/>
          <w:left w:val="nil"/>
          <w:bottom w:val="nil"/>
          <w:right w:val="nil"/>
          <w:between w:val="nil"/>
          <w:bar w:val="nil"/>
        </w:pBdr>
        <w:jc w:val="both"/>
        <w:rPr>
          <w:rFonts w:ascii="Arial" w:eastAsia="Arial" w:hAnsi="Arial" w:cs="Arial"/>
          <w:bdr w:val="nil"/>
          <w:lang w:val="en-US"/>
        </w:rPr>
      </w:pPr>
    </w:p>
    <w:p w14:paraId="71F3E73E" w14:textId="77777777" w:rsidR="00465F11" w:rsidRDefault="003A4815" w:rsidP="00DF0C9F">
      <w:pPr>
        <w:pBdr>
          <w:top w:val="nil"/>
          <w:left w:val="nil"/>
          <w:bottom w:val="nil"/>
          <w:right w:val="nil"/>
          <w:between w:val="nil"/>
          <w:bar w:val="nil"/>
        </w:pBdr>
        <w:jc w:val="both"/>
        <w:rPr>
          <w:rFonts w:ascii="Arial" w:eastAsia="Arial" w:hAnsi="Arial" w:cs="Arial"/>
          <w:bdr w:val="nil"/>
          <w:lang w:val="en-US"/>
        </w:rPr>
      </w:pPr>
      <w:r w:rsidRPr="00DF0C9F">
        <w:rPr>
          <w:rFonts w:ascii="Arial" w:eastAsia="Arial" w:hAnsi="Arial" w:cs="Arial"/>
          <w:color w:val="000000"/>
          <w:lang w:val="en-US" w:eastAsia="el-GR"/>
        </w:rPr>
        <w:t>On August 17, 2022, we entered into two sale and leaseback agreements with two unaffiliated Japanese third parties, for an aggregate amount of $66</w:t>
      </w:r>
      <w:r w:rsidR="002A0F34" w:rsidRPr="00DF0C9F">
        <w:rPr>
          <w:rFonts w:ascii="Arial" w:eastAsia="Arial" w:hAnsi="Arial" w:cs="Arial"/>
          <w:color w:val="000000"/>
          <w:lang w:val="en-US" w:eastAsia="el-GR"/>
        </w:rPr>
        <w:t>.</w:t>
      </w:r>
      <w:r w:rsidRPr="00DF0C9F">
        <w:rPr>
          <w:rFonts w:ascii="Arial" w:eastAsia="Arial" w:hAnsi="Arial" w:cs="Arial"/>
          <w:color w:val="000000"/>
          <w:lang w:val="en-US" w:eastAsia="el-GR"/>
        </w:rPr>
        <w:t>4</w:t>
      </w:r>
      <w:r w:rsidR="002A0F34" w:rsidRPr="00DF0C9F">
        <w:rPr>
          <w:rFonts w:ascii="Arial" w:eastAsia="Arial" w:hAnsi="Arial" w:cs="Arial"/>
          <w:color w:val="000000"/>
          <w:lang w:val="en-US" w:eastAsia="el-GR"/>
        </w:rPr>
        <w:t xml:space="preserve"> million</w:t>
      </w:r>
      <w:r w:rsidRPr="00DF0C9F">
        <w:rPr>
          <w:rFonts w:ascii="Arial" w:eastAsia="Arial" w:hAnsi="Arial" w:cs="Arial"/>
          <w:color w:val="000000"/>
          <w:lang w:val="en-US" w:eastAsia="el-GR"/>
        </w:rPr>
        <w:t>, for a period of eight years, each</w:t>
      </w:r>
      <w:r>
        <w:rPr>
          <w:rFonts w:ascii="Arial" w:eastAsia="Arial" w:hAnsi="Arial" w:cs="Arial"/>
          <w:color w:val="000000"/>
          <w:lang w:val="en-US" w:eastAsia="el-GR"/>
        </w:rPr>
        <w:t>,</w:t>
      </w:r>
      <w:r w:rsidRPr="00DF0C9F">
        <w:rPr>
          <w:rFonts w:ascii="Arial" w:eastAsia="Arial" w:hAnsi="Arial" w:cs="Arial"/>
          <w:color w:val="000000"/>
          <w:lang w:val="en-US" w:eastAsia="el-GR"/>
        </w:rPr>
        <w:t xml:space="preserve"> under which </w:t>
      </w:r>
      <w:r>
        <w:rPr>
          <w:rFonts w:ascii="Arial" w:eastAsia="Arial" w:hAnsi="Arial" w:cs="Arial"/>
          <w:color w:val="000000"/>
          <w:lang w:val="en-US" w:eastAsia="el-GR"/>
        </w:rPr>
        <w:t>we</w:t>
      </w:r>
      <w:r w:rsidRPr="00DF0C9F">
        <w:rPr>
          <w:rFonts w:ascii="Arial" w:eastAsia="Arial" w:hAnsi="Arial" w:cs="Arial"/>
          <w:color w:val="000000"/>
          <w:lang w:val="en-US" w:eastAsia="el-GR"/>
        </w:rPr>
        <w:t xml:space="preserve"> pay hire, monthly in advance</w:t>
      </w:r>
      <w:r>
        <w:rPr>
          <w:rFonts w:ascii="Arial" w:eastAsia="Arial" w:hAnsi="Arial" w:cs="Arial"/>
          <w:color w:val="000000"/>
          <w:lang w:val="en-US" w:eastAsia="el-GR"/>
        </w:rPr>
        <w:t>,</w:t>
      </w:r>
      <w:r w:rsidRPr="00DF0C9F">
        <w:rPr>
          <w:rFonts w:ascii="Arial" w:eastAsia="Arial" w:hAnsi="Arial" w:cs="Arial"/>
          <w:color w:val="000000"/>
          <w:lang w:val="en-US" w:eastAsia="el-GR"/>
        </w:rPr>
        <w:t xml:space="preserve"> and we have the option to purchase the vessels at the end of the third year of each vessel's bareboat charter period, or each year thereafter, until the termination of the lease, at specific prices, subject to irrevocable and written notice to the owner. If not repurchased earlier, we have the obligation to repurchase the vessels for $13</w:t>
      </w:r>
      <w:r w:rsidR="002A0F34" w:rsidRPr="00DF0C9F">
        <w:rPr>
          <w:rFonts w:ascii="Arial" w:eastAsia="Arial" w:hAnsi="Arial" w:cs="Arial"/>
          <w:color w:val="000000"/>
          <w:lang w:val="en-US" w:eastAsia="el-GR"/>
        </w:rPr>
        <w:t>.0 million</w:t>
      </w:r>
      <w:r w:rsidRPr="00DF0C9F">
        <w:rPr>
          <w:rFonts w:ascii="Arial" w:eastAsia="Arial" w:hAnsi="Arial" w:cs="Arial"/>
          <w:color w:val="000000"/>
          <w:lang w:val="en-US" w:eastAsia="el-GR"/>
        </w:rPr>
        <w:t>, each, on the expiration of each lease on the eighth year.</w:t>
      </w:r>
    </w:p>
    <w:p w14:paraId="71F3E73F" w14:textId="77777777" w:rsidR="00DF0C9F" w:rsidRPr="00DF0C9F" w:rsidRDefault="00DF0C9F" w:rsidP="00DF0C9F">
      <w:pPr>
        <w:pBdr>
          <w:top w:val="nil"/>
          <w:left w:val="nil"/>
          <w:bottom w:val="nil"/>
          <w:right w:val="nil"/>
          <w:between w:val="nil"/>
          <w:bar w:val="nil"/>
        </w:pBdr>
        <w:jc w:val="both"/>
        <w:rPr>
          <w:rFonts w:ascii="Arial" w:eastAsia="Arial" w:hAnsi="Arial" w:cs="Arial"/>
          <w:bdr w:val="nil"/>
          <w:lang w:val="en-US"/>
        </w:rPr>
      </w:pPr>
    </w:p>
    <w:p w14:paraId="71F3E740" w14:textId="77777777" w:rsidR="00465F11" w:rsidRDefault="003A4815" w:rsidP="00DF0C9F">
      <w:pPr>
        <w:pBdr>
          <w:top w:val="nil"/>
          <w:left w:val="nil"/>
          <w:bottom w:val="nil"/>
          <w:right w:val="nil"/>
          <w:between w:val="nil"/>
          <w:bar w:val="nil"/>
        </w:pBdr>
        <w:jc w:val="both"/>
        <w:rPr>
          <w:rFonts w:ascii="Arial" w:eastAsia="Arial" w:hAnsi="Arial" w:cs="Arial"/>
          <w:bdr w:val="nil"/>
          <w:lang w:val="en-US"/>
        </w:rPr>
      </w:pPr>
      <w:r w:rsidRPr="00DF0C9F">
        <w:rPr>
          <w:rFonts w:ascii="Arial" w:eastAsia="Arial" w:hAnsi="Arial" w:cs="Arial"/>
          <w:color w:val="000000"/>
          <w:lang w:val="en-US" w:eastAsia="el-GR"/>
        </w:rPr>
        <w:t>On December 6, 2022, we entered into a sale and leaseback agreement for $29</w:t>
      </w:r>
      <w:r w:rsidR="002A0F34" w:rsidRPr="00DF0C9F">
        <w:rPr>
          <w:rFonts w:ascii="Arial" w:eastAsia="Arial" w:hAnsi="Arial" w:cs="Arial"/>
          <w:color w:val="000000"/>
          <w:lang w:val="en-US" w:eastAsia="el-GR"/>
        </w:rPr>
        <w:t>.</w:t>
      </w:r>
      <w:r w:rsidRPr="00DF0C9F">
        <w:rPr>
          <w:rFonts w:ascii="Arial" w:eastAsia="Arial" w:hAnsi="Arial" w:cs="Arial"/>
          <w:color w:val="000000"/>
          <w:lang w:val="en-US" w:eastAsia="el-GR"/>
        </w:rPr>
        <w:t>9</w:t>
      </w:r>
      <w:r w:rsidR="002A0F34" w:rsidRPr="00DF0C9F">
        <w:rPr>
          <w:rFonts w:ascii="Arial" w:eastAsia="Arial" w:hAnsi="Arial" w:cs="Arial"/>
          <w:color w:val="000000"/>
          <w:lang w:val="en-US" w:eastAsia="el-GR"/>
        </w:rPr>
        <w:t xml:space="preserve"> million </w:t>
      </w:r>
      <w:r w:rsidRPr="00DF0C9F">
        <w:rPr>
          <w:rFonts w:ascii="Arial" w:eastAsia="Arial" w:hAnsi="Arial" w:cs="Arial"/>
          <w:color w:val="000000"/>
          <w:lang w:val="en-US" w:eastAsia="el-GR"/>
        </w:rPr>
        <w:t xml:space="preserve">with </w:t>
      </w:r>
      <w:r>
        <w:rPr>
          <w:rFonts w:ascii="Arial" w:eastAsia="Arial" w:hAnsi="Arial" w:cs="Arial"/>
          <w:color w:val="000000"/>
          <w:lang w:val="en-US" w:eastAsia="el-GR"/>
        </w:rPr>
        <w:t xml:space="preserve">an </w:t>
      </w:r>
      <w:r w:rsidRPr="00DF0C9F">
        <w:rPr>
          <w:rFonts w:ascii="Arial" w:eastAsia="Arial" w:hAnsi="Arial" w:cs="Arial"/>
          <w:color w:val="000000"/>
          <w:lang w:val="en-US" w:eastAsia="el-GR"/>
        </w:rPr>
        <w:t>unaffiliated third part</w:t>
      </w:r>
      <w:r>
        <w:rPr>
          <w:rFonts w:ascii="Arial" w:eastAsia="Arial" w:hAnsi="Arial" w:cs="Arial"/>
          <w:color w:val="000000"/>
          <w:lang w:val="en-US" w:eastAsia="el-GR"/>
        </w:rPr>
        <w:t>y</w:t>
      </w:r>
      <w:r w:rsidRPr="00DF0C9F">
        <w:rPr>
          <w:rFonts w:ascii="Arial" w:eastAsia="Arial" w:hAnsi="Arial" w:cs="Arial"/>
          <w:color w:val="000000"/>
          <w:lang w:val="en-US" w:eastAsia="el-GR"/>
        </w:rPr>
        <w:t xml:space="preserve">, for a period of ten years, under which </w:t>
      </w:r>
      <w:r>
        <w:rPr>
          <w:rFonts w:ascii="Arial" w:eastAsia="Arial" w:hAnsi="Arial" w:cs="Arial"/>
          <w:color w:val="000000"/>
          <w:lang w:val="en-US" w:eastAsia="el-GR"/>
        </w:rPr>
        <w:t>we</w:t>
      </w:r>
      <w:r w:rsidRPr="00DF0C9F">
        <w:rPr>
          <w:rFonts w:ascii="Arial" w:eastAsia="Arial" w:hAnsi="Arial" w:cs="Arial"/>
          <w:color w:val="000000"/>
          <w:lang w:val="en-US" w:eastAsia="el-GR"/>
        </w:rPr>
        <w:t xml:space="preserve"> pay hire, monthly in advance</w:t>
      </w:r>
      <w:r>
        <w:rPr>
          <w:rFonts w:ascii="Arial" w:eastAsia="Arial" w:hAnsi="Arial" w:cs="Arial"/>
          <w:color w:val="000000"/>
          <w:lang w:val="en-US" w:eastAsia="el-GR"/>
        </w:rPr>
        <w:t>,</w:t>
      </w:r>
      <w:r w:rsidRPr="00DF0C9F">
        <w:rPr>
          <w:rFonts w:ascii="Arial" w:eastAsia="Arial" w:hAnsi="Arial" w:cs="Arial"/>
          <w:color w:val="000000"/>
          <w:lang w:val="en-US" w:eastAsia="el-GR"/>
        </w:rPr>
        <w:t xml:space="preserve"> </w:t>
      </w:r>
      <w:r>
        <w:rPr>
          <w:rFonts w:ascii="Arial" w:eastAsia="Arial" w:hAnsi="Arial" w:cs="Arial"/>
          <w:color w:val="000000"/>
          <w:lang w:val="en-US" w:eastAsia="el-GR"/>
        </w:rPr>
        <w:t>and we</w:t>
      </w:r>
      <w:r w:rsidRPr="00DF0C9F">
        <w:rPr>
          <w:rFonts w:ascii="Arial" w:eastAsia="Arial" w:hAnsi="Arial" w:cs="Arial"/>
          <w:color w:val="000000"/>
          <w:lang w:val="en-US" w:eastAsia="el-GR"/>
        </w:rPr>
        <w:t xml:space="preserve"> have the option to repurchase the vessel after the end of the third year of the charter period, or each year thereafter, until the termination of the lease, at specific prices, subject to irrevocable and written notice to the owner. If not repurchased earlier, we have the obligation to repurchase the vessel for $8</w:t>
      </w:r>
      <w:r w:rsidR="002A0F34" w:rsidRPr="00DF0C9F">
        <w:rPr>
          <w:rFonts w:ascii="Arial" w:eastAsia="Arial" w:hAnsi="Arial" w:cs="Arial"/>
          <w:color w:val="000000"/>
          <w:lang w:val="en-US" w:eastAsia="el-GR"/>
        </w:rPr>
        <w:t>.</w:t>
      </w:r>
      <w:r w:rsidRPr="00DF0C9F">
        <w:rPr>
          <w:rFonts w:ascii="Arial" w:eastAsia="Arial" w:hAnsi="Arial" w:cs="Arial"/>
          <w:color w:val="000000"/>
          <w:lang w:val="en-US" w:eastAsia="el-GR"/>
        </w:rPr>
        <w:t>1</w:t>
      </w:r>
      <w:r w:rsidR="002A0F34" w:rsidRPr="00DF0C9F">
        <w:rPr>
          <w:rFonts w:ascii="Arial" w:eastAsia="Arial" w:hAnsi="Arial" w:cs="Arial"/>
          <w:color w:val="000000"/>
          <w:lang w:val="en-US" w:eastAsia="el-GR"/>
        </w:rPr>
        <w:t xml:space="preserve"> million</w:t>
      </w:r>
      <w:r w:rsidRPr="00DF0C9F">
        <w:rPr>
          <w:rFonts w:ascii="Arial" w:eastAsia="Arial" w:hAnsi="Arial" w:cs="Arial"/>
          <w:color w:val="000000"/>
          <w:lang w:val="en-US" w:eastAsia="el-GR"/>
        </w:rPr>
        <w:t>, on the expiration of the lease on the tenth year.</w:t>
      </w:r>
    </w:p>
    <w:p w14:paraId="71F3E741" w14:textId="77777777" w:rsidR="00DF0C9F" w:rsidRDefault="00DF0C9F" w:rsidP="00DF0C9F">
      <w:pPr>
        <w:pBdr>
          <w:top w:val="nil"/>
          <w:left w:val="nil"/>
          <w:bottom w:val="nil"/>
          <w:right w:val="nil"/>
          <w:between w:val="nil"/>
          <w:bar w:val="nil"/>
        </w:pBdr>
        <w:jc w:val="both"/>
        <w:rPr>
          <w:rFonts w:ascii="Arial" w:eastAsia="Arial" w:hAnsi="Arial" w:cs="Arial"/>
          <w:bdr w:val="nil"/>
          <w:lang w:val="en-US"/>
        </w:rPr>
      </w:pPr>
    </w:p>
    <w:p w14:paraId="71F3E742" w14:textId="77777777" w:rsidR="00DF0C9F" w:rsidRDefault="003A4815" w:rsidP="00DF0C9F">
      <w:pPr>
        <w:pStyle w:val="Heading313"/>
        <w:keepLines/>
        <w:pBdr>
          <w:top w:val="nil"/>
          <w:left w:val="nil"/>
          <w:bottom w:val="nil"/>
          <w:right w:val="nil"/>
          <w:between w:val="nil"/>
          <w:bar w:val="nil"/>
        </w:pBdr>
        <w:rPr>
          <w:rFonts w:ascii="Arial" w:eastAsia="Arial" w:hAnsi="Arial" w:cs="Arial"/>
          <w:szCs w:val="20"/>
          <w:bdr w:val="nil"/>
        </w:rPr>
      </w:pPr>
      <w:r>
        <w:rPr>
          <w:rFonts w:ascii="Arial" w:eastAsia="Arial" w:hAnsi="Arial" w:cs="Arial"/>
          <w:szCs w:val="20"/>
        </w:rPr>
        <w:t>Guarantees</w:t>
      </w:r>
    </w:p>
    <w:p w14:paraId="71F3E743" w14:textId="77777777" w:rsidR="00DF0C9F" w:rsidRDefault="00DF0C9F" w:rsidP="00DF0C9F">
      <w:pPr>
        <w:pBdr>
          <w:top w:val="nil"/>
          <w:left w:val="nil"/>
          <w:bottom w:val="nil"/>
          <w:right w:val="nil"/>
          <w:between w:val="nil"/>
          <w:bar w:val="nil"/>
        </w:pBdr>
        <w:jc w:val="both"/>
        <w:rPr>
          <w:rFonts w:ascii="Arial" w:eastAsia="Arial" w:hAnsi="Arial" w:cs="Arial"/>
          <w:bdr w:val="nil"/>
          <w:lang w:val="en-US"/>
        </w:rPr>
      </w:pPr>
    </w:p>
    <w:p w14:paraId="71F3E744" w14:textId="77777777" w:rsidR="00DF0C9F" w:rsidRPr="00DF0C9F" w:rsidRDefault="003A4815" w:rsidP="00DF5EDE">
      <w:pPr>
        <w:pBdr>
          <w:top w:val="nil"/>
          <w:left w:val="nil"/>
          <w:bottom w:val="nil"/>
          <w:right w:val="nil"/>
          <w:between w:val="nil"/>
          <w:bar w:val="nil"/>
        </w:pBdr>
        <w:jc w:val="both"/>
        <w:rPr>
          <w:rFonts w:ascii="Arial" w:eastAsia="Arial" w:hAnsi="Arial" w:cs="Arial"/>
          <w:bdr w:val="nil"/>
          <w:lang w:val="en-GB"/>
        </w:rPr>
      </w:pPr>
      <w:r w:rsidRPr="00B97063">
        <w:rPr>
          <w:rFonts w:ascii="Arial" w:eastAsia="Arial" w:hAnsi="Arial" w:cs="Arial"/>
          <w:color w:val="000000"/>
          <w:lang w:val="en-GB" w:eastAsia="el-GR" w:bidi="en-US"/>
        </w:rPr>
        <w:t xml:space="preserve">On March 30, 2023, </w:t>
      </w:r>
      <w:r w:rsidRPr="00B97063">
        <w:rPr>
          <w:rFonts w:ascii="Arial" w:eastAsia="Arial" w:hAnsi="Arial" w:cs="Arial"/>
          <w:color w:val="000000"/>
          <w:lang w:val="en-US" w:eastAsia="el-GR" w:bidi="en-US"/>
        </w:rPr>
        <w:t xml:space="preserve">we entered into a corporate guarantee with Nordea under which we guaranteed the performance by Bergen Ultra of its obligations under </w:t>
      </w:r>
      <w:r w:rsidR="00101F7D" w:rsidRPr="00B97063">
        <w:rPr>
          <w:rFonts w:ascii="Arial" w:eastAsia="Arial" w:hAnsi="Arial" w:cs="Arial"/>
          <w:color w:val="000000"/>
          <w:lang w:val="en-US" w:eastAsia="el-GR" w:bidi="en-US"/>
        </w:rPr>
        <w:t xml:space="preserve">a </w:t>
      </w:r>
      <w:r w:rsidRPr="00B97063">
        <w:rPr>
          <w:rFonts w:ascii="Arial" w:eastAsia="Arial" w:hAnsi="Arial" w:cs="Arial"/>
          <w:color w:val="000000"/>
          <w:lang w:val="en-US" w:eastAsia="el-GR" w:bidi="en-US"/>
        </w:rPr>
        <w:t xml:space="preserve">loan </w:t>
      </w:r>
      <w:r w:rsidR="00101F7D" w:rsidRPr="00B97063">
        <w:rPr>
          <w:rFonts w:ascii="Arial" w:eastAsia="Arial" w:hAnsi="Arial" w:cs="Arial"/>
          <w:color w:val="000000"/>
          <w:lang w:val="en-US" w:eastAsia="el-GR" w:bidi="en-US"/>
        </w:rPr>
        <w:t xml:space="preserve">agreement </w:t>
      </w:r>
      <w:r w:rsidRPr="00B97063">
        <w:rPr>
          <w:rFonts w:ascii="Arial" w:eastAsia="Arial" w:hAnsi="Arial" w:cs="Arial"/>
          <w:color w:val="000000"/>
          <w:lang w:val="en-US" w:eastAsia="el-GR" w:bidi="en-US"/>
        </w:rPr>
        <w:t>with the bank</w:t>
      </w:r>
      <w:r w:rsidR="005B3FE8">
        <w:rPr>
          <w:rFonts w:ascii="Arial" w:eastAsia="Arial" w:hAnsi="Arial" w:cs="Arial"/>
          <w:color w:val="000000"/>
          <w:lang w:val="en-US" w:eastAsia="el-GR" w:bidi="en-US"/>
        </w:rPr>
        <w:t>,</w:t>
      </w:r>
      <w:r w:rsidRPr="00B97063">
        <w:rPr>
          <w:rFonts w:ascii="Arial" w:eastAsia="Arial" w:hAnsi="Arial" w:cs="Arial"/>
          <w:color w:val="000000"/>
          <w:lang w:val="en-US" w:eastAsia="el-GR" w:bidi="en-US"/>
        </w:rPr>
        <w:t xml:space="preserve"> maturing on March 30, 2028. </w:t>
      </w:r>
      <w:r w:rsidR="00DF5EDE" w:rsidRPr="00B97063">
        <w:rPr>
          <w:rFonts w:ascii="Arial" w:eastAsia="Arial" w:hAnsi="Arial" w:cs="Arial"/>
          <w:color w:val="000000"/>
          <w:lang w:val="en-US" w:eastAsia="el-GR" w:bidi="en-US"/>
        </w:rPr>
        <w:t>As</w:t>
      </w:r>
      <w:r w:rsidRPr="00B97063">
        <w:rPr>
          <w:rFonts w:ascii="Arial" w:eastAsia="Arial" w:hAnsi="Arial" w:cs="Arial"/>
          <w:color w:val="000000"/>
          <w:lang w:val="en-US" w:eastAsia="el-GR" w:bidi="en-US"/>
        </w:rPr>
        <w:t xml:space="preserve"> of December 31, 202</w:t>
      </w:r>
      <w:r w:rsidR="00A430E1">
        <w:rPr>
          <w:rFonts w:ascii="Arial" w:eastAsia="Arial" w:hAnsi="Arial" w:cs="Arial"/>
          <w:color w:val="000000"/>
          <w:lang w:val="en-US" w:eastAsia="el-GR" w:bidi="en-US"/>
        </w:rPr>
        <w:t>5</w:t>
      </w:r>
      <w:r w:rsidRPr="00B97063">
        <w:rPr>
          <w:rFonts w:ascii="Arial" w:eastAsia="Arial" w:hAnsi="Arial" w:cs="Arial"/>
          <w:color w:val="000000"/>
          <w:lang w:val="en-US" w:eastAsia="el-GR" w:bidi="en-US"/>
        </w:rPr>
        <w:t xml:space="preserve">, the loan </w:t>
      </w:r>
      <w:r w:rsidR="00DF5EDE" w:rsidRPr="00B97063">
        <w:rPr>
          <w:rFonts w:ascii="Arial" w:eastAsia="Arial" w:hAnsi="Arial" w:cs="Arial"/>
          <w:color w:val="000000"/>
          <w:lang w:val="en-US" w:eastAsia="el-GR" w:bidi="en-US"/>
        </w:rPr>
        <w:t xml:space="preserve">had an outstanding balance of </w:t>
      </w:r>
      <w:r w:rsidRPr="00B97063">
        <w:rPr>
          <w:rFonts w:ascii="Arial" w:eastAsia="Arial" w:hAnsi="Arial" w:cs="Arial"/>
          <w:color w:val="000000"/>
          <w:lang w:val="en-US" w:eastAsia="el-GR" w:bidi="en-US"/>
        </w:rPr>
        <w:t>$1</w:t>
      </w:r>
      <w:r w:rsidR="00A430E1">
        <w:rPr>
          <w:rFonts w:ascii="Arial" w:eastAsia="Arial" w:hAnsi="Arial" w:cs="Arial"/>
          <w:color w:val="000000"/>
          <w:lang w:val="en-US" w:eastAsia="el-GR" w:bidi="en-US"/>
        </w:rPr>
        <w:t>2</w:t>
      </w:r>
      <w:r w:rsidRPr="00B97063">
        <w:rPr>
          <w:rFonts w:ascii="Arial" w:eastAsia="Arial" w:hAnsi="Arial" w:cs="Arial"/>
          <w:color w:val="000000"/>
          <w:lang w:val="en-US" w:eastAsia="el-GR" w:bidi="en-US"/>
        </w:rPr>
        <w:t>.</w:t>
      </w:r>
      <w:r w:rsidR="00A430E1">
        <w:rPr>
          <w:rFonts w:ascii="Arial" w:eastAsia="Arial" w:hAnsi="Arial" w:cs="Arial"/>
          <w:color w:val="000000"/>
          <w:lang w:val="en-US" w:eastAsia="el-GR" w:bidi="en-US"/>
        </w:rPr>
        <w:t>3</w:t>
      </w:r>
      <w:r w:rsidRPr="00B97063">
        <w:rPr>
          <w:rFonts w:ascii="Arial" w:eastAsia="Arial" w:hAnsi="Arial" w:cs="Arial"/>
          <w:color w:val="000000"/>
          <w:lang w:val="en-US" w:eastAsia="el-GR" w:bidi="en-US"/>
        </w:rPr>
        <w:t xml:space="preserve"> </w:t>
      </w:r>
      <w:r w:rsidR="00DF5EDE" w:rsidRPr="00B97063">
        <w:rPr>
          <w:rFonts w:ascii="Arial" w:eastAsia="Arial" w:hAnsi="Arial" w:cs="Arial"/>
          <w:color w:val="000000"/>
          <w:lang w:val="en-US" w:eastAsia="el-GR" w:bidi="en-US"/>
        </w:rPr>
        <w:t>million</w:t>
      </w:r>
      <w:r w:rsidR="005B3FE8">
        <w:rPr>
          <w:rFonts w:ascii="Arial" w:eastAsia="Arial" w:hAnsi="Arial" w:cs="Arial"/>
          <w:color w:val="000000"/>
          <w:lang w:val="en-US" w:eastAsia="el-GR" w:bidi="en-US"/>
        </w:rPr>
        <w:t xml:space="preserve"> and was fully repaid </w:t>
      </w:r>
      <w:r w:rsidR="00CE2EDC">
        <w:rPr>
          <w:rFonts w:ascii="Arial" w:eastAsia="Arial" w:hAnsi="Arial" w:cs="Arial"/>
          <w:color w:val="000000"/>
          <w:lang w:val="en-US" w:eastAsia="el-GR" w:bidi="en-US"/>
        </w:rPr>
        <w:t>in</w:t>
      </w:r>
      <w:r w:rsidR="00A430E1">
        <w:rPr>
          <w:rFonts w:ascii="Arial" w:eastAsia="Arial" w:hAnsi="Arial" w:cs="Arial"/>
          <w:color w:val="000000"/>
          <w:lang w:val="en-US" w:eastAsia="el-GR" w:bidi="en-US"/>
        </w:rPr>
        <w:t xml:space="preserve"> January 2026</w:t>
      </w:r>
      <w:r w:rsidR="00A430E1" w:rsidRPr="00A430E1">
        <w:rPr>
          <w:rFonts w:ascii="Arial" w:eastAsia="Arial" w:hAnsi="Arial" w:cs="Arial"/>
          <w:color w:val="000000"/>
          <w:lang w:val="en-US" w:eastAsia="el-GR" w:bidi="en-US"/>
        </w:rPr>
        <w:t xml:space="preserve"> </w:t>
      </w:r>
      <w:r w:rsidR="005B3FE8">
        <w:rPr>
          <w:rFonts w:ascii="Arial" w:eastAsia="Arial" w:hAnsi="Arial" w:cs="Arial"/>
          <w:color w:val="000000"/>
          <w:lang w:val="en-US" w:eastAsia="el-GR" w:bidi="en-US"/>
        </w:rPr>
        <w:t xml:space="preserve">after the sale of Bergen Ultra’s vessel. Following </w:t>
      </w:r>
      <w:r w:rsidR="00A430E1" w:rsidRPr="00A430E1">
        <w:rPr>
          <w:rFonts w:ascii="Arial" w:eastAsia="Arial" w:hAnsi="Arial" w:cs="Arial"/>
          <w:color w:val="000000"/>
          <w:lang w:val="en-US" w:eastAsia="el-GR" w:bidi="en-US"/>
        </w:rPr>
        <w:t xml:space="preserve">repayment of </w:t>
      </w:r>
      <w:r w:rsidR="005B3FE8">
        <w:rPr>
          <w:rFonts w:ascii="Arial" w:eastAsia="Arial" w:hAnsi="Arial" w:cs="Arial"/>
          <w:color w:val="000000"/>
          <w:lang w:val="en-US" w:eastAsia="el-GR" w:bidi="en-US"/>
        </w:rPr>
        <w:t xml:space="preserve">the </w:t>
      </w:r>
      <w:r w:rsidR="00A430E1" w:rsidRPr="00A430E1">
        <w:rPr>
          <w:rFonts w:ascii="Arial" w:eastAsia="Arial" w:hAnsi="Arial" w:cs="Arial"/>
          <w:color w:val="000000"/>
          <w:lang w:val="en-US" w:eastAsia="el-GR" w:bidi="en-US"/>
        </w:rPr>
        <w:t>loan</w:t>
      </w:r>
      <w:r w:rsidR="005B3FE8">
        <w:rPr>
          <w:rFonts w:ascii="Arial" w:eastAsia="Arial" w:hAnsi="Arial" w:cs="Arial"/>
          <w:color w:val="000000"/>
          <w:lang w:val="en-US" w:eastAsia="el-GR" w:bidi="en-US"/>
        </w:rPr>
        <w:t>,</w:t>
      </w:r>
      <w:r w:rsidR="00A430E1" w:rsidRPr="00A430E1">
        <w:rPr>
          <w:rFonts w:ascii="Arial" w:eastAsia="Arial" w:hAnsi="Arial" w:cs="Arial"/>
          <w:color w:val="000000"/>
          <w:lang w:val="en-US" w:eastAsia="el-GR" w:bidi="en-US"/>
        </w:rPr>
        <w:t xml:space="preserve"> the corporate guarantee provided to Nordea was released</w:t>
      </w:r>
      <w:r w:rsidR="00A430E1">
        <w:rPr>
          <w:rFonts w:ascii="Arial" w:eastAsia="Arial" w:hAnsi="Arial" w:cs="Arial"/>
          <w:color w:val="000000"/>
          <w:lang w:val="en-US" w:eastAsia="el-GR" w:bidi="en-US"/>
        </w:rPr>
        <w:t>.</w:t>
      </w:r>
    </w:p>
    <w:p w14:paraId="71F3E745"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746" w14:textId="77777777" w:rsidR="00404723" w:rsidRPr="00D803BE" w:rsidRDefault="003A4815" w:rsidP="005C5323">
      <w:pPr>
        <w:pStyle w:val="Heading2"/>
        <w:keepLines/>
        <w:pBdr>
          <w:top w:val="nil"/>
          <w:left w:val="nil"/>
          <w:bottom w:val="nil"/>
          <w:right w:val="nil"/>
          <w:between w:val="nil"/>
          <w:bar w:val="nil"/>
        </w:pBdr>
        <w:ind w:left="714"/>
        <w:jc w:val="both"/>
        <w:rPr>
          <w:rFonts w:ascii="Arial" w:eastAsia="Arial" w:hAnsi="Arial" w:cs="Arial"/>
          <w:szCs w:val="24"/>
          <w:bdr w:val="nil"/>
          <w:lang w:eastAsia="el-GR" w:bidi="en-US"/>
        </w:rPr>
      </w:pPr>
      <w:bookmarkStart w:id="172" w:name="RG_MARKER_22976"/>
      <w:r w:rsidRPr="00D803BE">
        <w:rPr>
          <w:rFonts w:ascii="Arial" w:eastAsia="Arial" w:hAnsi="Arial" w:cs="Arial"/>
          <w:szCs w:val="24"/>
          <w:lang w:eastAsia="el-GR" w:bidi="en-US"/>
        </w:rPr>
        <w:t>C.</w:t>
      </w:r>
      <w:bookmarkEnd w:id="172"/>
      <w:r w:rsidRPr="00D803BE">
        <w:rPr>
          <w:rFonts w:ascii="Arial" w:eastAsia="Arial" w:hAnsi="Arial" w:cs="Arial"/>
          <w:szCs w:val="24"/>
          <w:lang w:eastAsia="el-GR" w:bidi="en-US"/>
        </w:rPr>
        <w:tab/>
        <w:t>Research and development, patents and licenses</w:t>
      </w:r>
    </w:p>
    <w:p w14:paraId="71F3E747" w14:textId="77777777" w:rsidR="00400ABF" w:rsidRPr="00D803BE" w:rsidRDefault="00400ABF" w:rsidP="00D803BE">
      <w:pPr>
        <w:keepNext/>
        <w:keepLines/>
        <w:pBdr>
          <w:top w:val="nil"/>
          <w:left w:val="nil"/>
          <w:bottom w:val="nil"/>
          <w:right w:val="nil"/>
          <w:between w:val="nil"/>
          <w:bar w:val="nil"/>
        </w:pBdr>
        <w:jc w:val="both"/>
        <w:rPr>
          <w:rFonts w:ascii="Arial" w:eastAsia="Arial" w:hAnsi="Arial" w:cs="Arial"/>
          <w:bdr w:val="nil"/>
          <w:lang w:val="en-US"/>
        </w:rPr>
      </w:pPr>
    </w:p>
    <w:p w14:paraId="71F3E748" w14:textId="77777777" w:rsidR="00AF2731" w:rsidRPr="00D803BE" w:rsidRDefault="003A4815" w:rsidP="00D803BE">
      <w:pPr>
        <w:pBdr>
          <w:top w:val="nil"/>
          <w:left w:val="nil"/>
          <w:bottom w:val="nil"/>
          <w:right w:val="nil"/>
          <w:between w:val="nil"/>
          <w:bar w:val="nil"/>
        </w:pBdr>
        <w:jc w:val="both"/>
        <w:rPr>
          <w:rFonts w:ascii="Arial" w:eastAsia="Arial" w:hAnsi="Arial" w:cs="Arial"/>
          <w:bdr w:val="nil"/>
          <w:lang w:val="en-US"/>
        </w:rPr>
      </w:pPr>
      <w:r w:rsidRPr="00D803BE">
        <w:rPr>
          <w:rFonts w:ascii="Arial" w:eastAsia="Arial" w:hAnsi="Arial" w:cs="Arial"/>
          <w:color w:val="000000"/>
          <w:lang w:val="en-US" w:eastAsia="el-GR" w:bidi="en-US"/>
        </w:rPr>
        <w:t>We incur from time to time expenditures relating to inspections for acquiring new vessels that meet our standards. Such expenditures are insignificant and they are expensed as they incur.</w:t>
      </w:r>
    </w:p>
    <w:p w14:paraId="71F3E749"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74A" w14:textId="77777777" w:rsidR="00176B45" w:rsidRPr="00BF16ED" w:rsidRDefault="003A4815" w:rsidP="002700D0">
      <w:pPr>
        <w:pStyle w:val="Heading2"/>
        <w:keepLines/>
        <w:pBdr>
          <w:top w:val="nil"/>
          <w:left w:val="nil"/>
          <w:bottom w:val="nil"/>
          <w:right w:val="nil"/>
          <w:between w:val="nil"/>
          <w:bar w:val="nil"/>
        </w:pBdr>
        <w:ind w:left="714"/>
        <w:rPr>
          <w:rFonts w:ascii="Arial" w:eastAsia="Arial" w:hAnsi="Arial" w:cs="Arial"/>
          <w:bdr w:val="nil"/>
          <w:lang w:val="en-GB" w:eastAsia="el-GR"/>
        </w:rPr>
      </w:pPr>
      <w:bookmarkStart w:id="173" w:name="RG_MARKER_22977"/>
      <w:r w:rsidRPr="00BF16ED">
        <w:rPr>
          <w:rFonts w:ascii="Arial" w:eastAsia="Arial" w:hAnsi="Arial" w:cs="Arial"/>
          <w:szCs w:val="22"/>
          <w:lang w:val="en-GB" w:eastAsia="el-GR"/>
        </w:rPr>
        <w:t>D.</w:t>
      </w:r>
      <w:bookmarkEnd w:id="173"/>
      <w:r w:rsidRPr="00BF16ED">
        <w:rPr>
          <w:rFonts w:ascii="Arial" w:eastAsia="Arial" w:hAnsi="Arial" w:cs="Arial"/>
          <w:szCs w:val="22"/>
          <w:lang w:val="en-GB" w:eastAsia="el-GR"/>
        </w:rPr>
        <w:tab/>
        <w:t>Trend information</w:t>
      </w:r>
    </w:p>
    <w:p w14:paraId="71F3E74B" w14:textId="77777777" w:rsidR="006F15C8" w:rsidRPr="00BF16ED" w:rsidRDefault="006F15C8" w:rsidP="00843E87">
      <w:pPr>
        <w:keepNext/>
        <w:keepLines/>
        <w:pBdr>
          <w:top w:val="nil"/>
          <w:left w:val="nil"/>
          <w:bottom w:val="nil"/>
          <w:right w:val="nil"/>
          <w:between w:val="nil"/>
          <w:bar w:val="nil"/>
        </w:pBdr>
        <w:jc w:val="both"/>
        <w:rPr>
          <w:rFonts w:ascii="Arial" w:eastAsia="Arial" w:hAnsi="Arial" w:cs="Arial"/>
          <w:bdr w:val="nil"/>
          <w:lang w:val="en-US"/>
        </w:rPr>
      </w:pPr>
    </w:p>
    <w:p w14:paraId="71F3E74C" w14:textId="77777777" w:rsidR="006D00CC" w:rsidRPr="00520129" w:rsidRDefault="003A4815" w:rsidP="00520129">
      <w:pPr>
        <w:pBdr>
          <w:top w:val="nil"/>
          <w:left w:val="nil"/>
          <w:bottom w:val="nil"/>
          <w:right w:val="nil"/>
          <w:between w:val="nil"/>
          <w:bar w:val="nil"/>
        </w:pBdr>
        <w:jc w:val="both"/>
        <w:rPr>
          <w:rFonts w:ascii="Arial" w:eastAsia="Arial" w:hAnsi="Arial" w:cs="Arial"/>
          <w:bdr w:val="nil"/>
          <w:lang w:val="en-US"/>
        </w:rPr>
      </w:pPr>
      <w:r w:rsidRPr="00520129">
        <w:rPr>
          <w:rFonts w:ascii="Arial" w:eastAsia="Arial" w:hAnsi="Arial" w:cs="Arial"/>
          <w:color w:val="000000"/>
          <w:lang w:val="en-US"/>
        </w:rPr>
        <w:t xml:space="preserve">Demand for dry bulk vessel services is influenced by global financial conditions. Global financial markets and economic conditions have been, and continue to be, volatile. Our results of operations depend primarily on charter hire rates available to fix our vessels and the demand for dry bulk vessel services. The Baltic Dry Index, or the BDI, has long been viewed as the main benchmark to monitor the movements of the dry bulk vessel charter market and the performance of the entire dry bulk shipping market. In 2025, the BDI ranged from a low of 715 to a high of 2,845 and closed at 1,972 on March 12, 2026. Although there can be no assurance that the dry bulk charter market will not decline </w:t>
      </w:r>
      <w:r w:rsidR="003D5191">
        <w:rPr>
          <w:rFonts w:ascii="Arial" w:eastAsia="Arial" w:hAnsi="Arial" w:cs="Arial"/>
          <w:color w:val="000000"/>
          <w:lang w:val="en-US"/>
        </w:rPr>
        <w:t>from current levels</w:t>
      </w:r>
      <w:r w:rsidRPr="00520129">
        <w:rPr>
          <w:rFonts w:ascii="Arial" w:eastAsia="Arial" w:hAnsi="Arial" w:cs="Arial"/>
          <w:color w:val="000000"/>
          <w:lang w:val="en-US"/>
        </w:rPr>
        <w:t xml:space="preserve">, as of the date of this annual report, we have fixed about </w:t>
      </w:r>
      <w:r w:rsidR="00884044">
        <w:rPr>
          <w:rFonts w:ascii="Arial" w:eastAsia="Arial" w:hAnsi="Arial" w:cs="Arial"/>
          <w:color w:val="000000"/>
          <w:lang w:val="en-US"/>
        </w:rPr>
        <w:t>81</w:t>
      </w:r>
      <w:r w:rsidRPr="00520129">
        <w:rPr>
          <w:rFonts w:ascii="Arial" w:eastAsia="Arial" w:hAnsi="Arial" w:cs="Arial"/>
          <w:color w:val="000000"/>
          <w:lang w:val="en-US"/>
        </w:rPr>
        <w:t xml:space="preserve">% of our fleet ownership days in 2026 </w:t>
      </w:r>
      <w:r w:rsidRPr="009D18F5">
        <w:rPr>
          <w:rFonts w:ascii="Arial" w:eastAsia="Arial" w:hAnsi="Arial" w:cs="Arial"/>
          <w:color w:val="000000"/>
          <w:lang w:val="en-US"/>
        </w:rPr>
        <w:t xml:space="preserve">in time charter agreements having an average time charter rate </w:t>
      </w:r>
      <w:r w:rsidR="004651D3">
        <w:rPr>
          <w:rFonts w:ascii="Arial" w:eastAsia="Arial" w:hAnsi="Arial" w:cs="Arial"/>
          <w:color w:val="000000"/>
          <w:lang w:val="en-US"/>
        </w:rPr>
        <w:t>above</w:t>
      </w:r>
      <w:r w:rsidRPr="00520129">
        <w:rPr>
          <w:rFonts w:ascii="Arial" w:eastAsia="Arial" w:hAnsi="Arial" w:cs="Arial"/>
          <w:color w:val="000000"/>
          <w:lang w:val="en-US"/>
        </w:rPr>
        <w:t xml:space="preserve"> our break-even rate. Nevertheless, our revenues and results of operations in 2026 will be subject to demand for our services, the level of inflation, market disruptions and interest rates. Demand for our dry bulk oceangoing vessels is dependent upon economic growth in the world’s economies, seasonal and regional changes in demand and changes to the capacity of the global dry bulk fleet and the sources and supply for dry bulk cargo transported by sea. Continued adverse economic, political or social conditions or other developments could further negatively impact charter rates and therefore have a material adverse effect on our business and results of operations.</w:t>
      </w:r>
    </w:p>
    <w:p w14:paraId="71F3E74D"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74E" w14:textId="77777777" w:rsidR="006E7B3E" w:rsidRPr="00D95E0C" w:rsidRDefault="003A4815" w:rsidP="0065023A">
      <w:pPr>
        <w:pStyle w:val="Heading2"/>
        <w:keepLines/>
        <w:pBdr>
          <w:top w:val="nil"/>
          <w:left w:val="nil"/>
          <w:bottom w:val="nil"/>
          <w:right w:val="nil"/>
          <w:between w:val="nil"/>
          <w:bar w:val="nil"/>
        </w:pBdr>
        <w:ind w:left="714"/>
        <w:rPr>
          <w:rFonts w:ascii="Arial" w:eastAsia="Arial" w:hAnsi="Arial" w:cs="Arial"/>
          <w:color w:val="auto"/>
          <w:szCs w:val="24"/>
          <w:bdr w:val="nil"/>
          <w:lang w:val="en-GB"/>
        </w:rPr>
      </w:pPr>
      <w:bookmarkStart w:id="174" w:name="RG_MARKER_23079"/>
      <w:r w:rsidRPr="00D95E0C">
        <w:rPr>
          <w:rFonts w:ascii="Arial" w:eastAsia="Arial" w:hAnsi="Arial" w:cs="Arial"/>
          <w:color w:val="auto"/>
          <w:szCs w:val="24"/>
          <w:lang w:val="en-GB"/>
        </w:rPr>
        <w:t>E.</w:t>
      </w:r>
      <w:bookmarkEnd w:id="174"/>
      <w:r w:rsidRPr="00D95E0C">
        <w:rPr>
          <w:rFonts w:ascii="Arial" w:eastAsia="Arial" w:hAnsi="Arial" w:cs="Arial"/>
          <w:color w:val="auto"/>
          <w:szCs w:val="24"/>
          <w:lang w:val="en-GB"/>
        </w:rPr>
        <w:tab/>
        <w:t>Critical Accounting Estimates</w:t>
      </w:r>
    </w:p>
    <w:p w14:paraId="71F3E74F" w14:textId="77777777" w:rsidR="00511F50" w:rsidRPr="00D95E0C" w:rsidRDefault="00511F50" w:rsidP="00D95E0C">
      <w:pPr>
        <w:keepNext/>
        <w:keepLines/>
        <w:pBdr>
          <w:top w:val="nil"/>
          <w:left w:val="nil"/>
          <w:bottom w:val="nil"/>
          <w:right w:val="nil"/>
          <w:between w:val="nil"/>
          <w:bar w:val="nil"/>
        </w:pBdr>
        <w:jc w:val="both"/>
        <w:rPr>
          <w:rFonts w:ascii="Arial" w:eastAsia="Arial" w:hAnsi="Arial" w:cs="Arial"/>
          <w:color w:val="000000"/>
          <w:bdr w:val="nil"/>
          <w:lang w:val="en-GB"/>
        </w:rPr>
      </w:pPr>
    </w:p>
    <w:p w14:paraId="71F3E750" w14:textId="77777777" w:rsidR="00CD0791" w:rsidRPr="00D95E0C" w:rsidRDefault="003A4815" w:rsidP="00D95E0C">
      <w:pPr>
        <w:pBdr>
          <w:top w:val="nil"/>
          <w:left w:val="nil"/>
          <w:bottom w:val="nil"/>
          <w:right w:val="nil"/>
          <w:between w:val="nil"/>
          <w:bar w:val="nil"/>
        </w:pBdr>
        <w:jc w:val="both"/>
        <w:rPr>
          <w:rFonts w:ascii="Arial" w:eastAsia="Arial" w:hAnsi="Arial" w:cs="Arial"/>
          <w:color w:val="000000"/>
          <w:bdr w:val="nil"/>
          <w:lang w:val="en-US"/>
        </w:rPr>
      </w:pPr>
      <w:r w:rsidRPr="00D95E0C">
        <w:rPr>
          <w:rFonts w:ascii="Arial" w:eastAsia="Arial" w:hAnsi="Arial" w:cs="Arial"/>
          <w:color w:val="000000"/>
          <w:lang w:val="en-US"/>
        </w:rPr>
        <w:t>The discussion and analysis of our financial condition and results of operations are based upon our consolidated financial statements, which have been prepared in accordance with U.S. GAAP. The preparation of those financial statements requires us to make estimates and judgments that affect the reported amounts of assets and liabilities, revenues and expenses and related disclosure of contingent assets and liabilities at the date of our financial statements. Actual results may differ from these estimates under different assumptions and conditions.</w:t>
      </w:r>
    </w:p>
    <w:p w14:paraId="71F3E751" w14:textId="77777777" w:rsidR="004C07A2" w:rsidRPr="00D95E0C" w:rsidRDefault="004C07A2" w:rsidP="00D95E0C">
      <w:pPr>
        <w:pBdr>
          <w:top w:val="nil"/>
          <w:left w:val="nil"/>
          <w:bottom w:val="nil"/>
          <w:right w:val="nil"/>
          <w:between w:val="nil"/>
          <w:bar w:val="nil"/>
        </w:pBdr>
        <w:jc w:val="both"/>
        <w:rPr>
          <w:rFonts w:ascii="Arial" w:eastAsia="Arial" w:hAnsi="Arial" w:cs="Arial"/>
          <w:color w:val="000000"/>
          <w:bdr w:val="nil"/>
          <w:lang w:val="en-US"/>
        </w:rPr>
      </w:pPr>
    </w:p>
    <w:p w14:paraId="71F3E752" w14:textId="77777777" w:rsidR="00CD0791" w:rsidRPr="0065023A" w:rsidRDefault="003A4815" w:rsidP="00D95E0C">
      <w:pPr>
        <w:pStyle w:val="Heading4"/>
        <w:keepLines/>
        <w:pBdr>
          <w:top w:val="nil"/>
          <w:left w:val="nil"/>
          <w:bottom w:val="nil"/>
          <w:right w:val="nil"/>
          <w:between w:val="nil"/>
          <w:bar w:val="nil"/>
        </w:pBdr>
        <w:rPr>
          <w:rFonts w:ascii="Arial" w:eastAsia="Arial" w:hAnsi="Arial" w:cs="Arial"/>
          <w:i w:val="0"/>
          <w:color w:val="000000"/>
          <w:bdr w:val="nil"/>
          <w:lang w:val="en-US" w:eastAsia="el-GR"/>
        </w:rPr>
      </w:pPr>
      <w:bookmarkStart w:id="175" w:name="page_1_52"/>
      <w:bookmarkStart w:id="176" w:name="page_dg2550_1_48"/>
      <w:bookmarkEnd w:id="175"/>
      <w:bookmarkEnd w:id="176"/>
      <w:r w:rsidRPr="0065023A">
        <w:rPr>
          <w:rFonts w:ascii="Arial" w:eastAsia="Arial" w:hAnsi="Arial" w:cs="Arial"/>
          <w:i w:val="0"/>
          <w:color w:val="000000"/>
          <w:szCs w:val="22"/>
          <w:lang w:val="en-US" w:eastAsia="el-GR"/>
        </w:rPr>
        <w:t xml:space="preserve">Impairment of </w:t>
      </w:r>
      <w:r w:rsidR="00BC5161" w:rsidRPr="0065023A">
        <w:rPr>
          <w:rFonts w:ascii="Arial" w:eastAsia="Arial" w:hAnsi="Arial" w:cs="Arial"/>
          <w:i w:val="0"/>
          <w:color w:val="000000"/>
          <w:szCs w:val="22"/>
          <w:lang w:val="en-US" w:eastAsia="el-GR"/>
        </w:rPr>
        <w:t>Vessels</w:t>
      </w:r>
    </w:p>
    <w:p w14:paraId="71F3E753" w14:textId="77777777" w:rsidR="00E44B36" w:rsidRPr="00D95E0C" w:rsidRDefault="00E44B36" w:rsidP="00D95E0C">
      <w:pPr>
        <w:keepNext/>
        <w:keepLines/>
        <w:pBdr>
          <w:top w:val="nil"/>
          <w:left w:val="nil"/>
          <w:bottom w:val="nil"/>
          <w:right w:val="nil"/>
          <w:between w:val="nil"/>
          <w:bar w:val="nil"/>
        </w:pBdr>
        <w:jc w:val="both"/>
        <w:rPr>
          <w:rFonts w:ascii="Arial" w:eastAsia="Arial" w:hAnsi="Arial" w:cs="Arial"/>
          <w:color w:val="000000"/>
          <w:bdr w:val="nil"/>
          <w:lang w:val="en-US"/>
        </w:rPr>
      </w:pPr>
    </w:p>
    <w:p w14:paraId="71F3E754" w14:textId="77777777" w:rsidR="00AF3373" w:rsidRPr="00D95E0C" w:rsidRDefault="003A4815" w:rsidP="00D95E0C">
      <w:pPr>
        <w:pBdr>
          <w:top w:val="nil"/>
          <w:left w:val="nil"/>
          <w:bottom w:val="nil"/>
          <w:right w:val="nil"/>
          <w:between w:val="nil"/>
          <w:bar w:val="nil"/>
        </w:pBdr>
        <w:jc w:val="both"/>
        <w:rPr>
          <w:rFonts w:ascii="Arial" w:eastAsia="Arial" w:hAnsi="Arial" w:cs="Arial"/>
          <w:bdr w:val="nil"/>
          <w:lang w:val="en-US"/>
        </w:rPr>
      </w:pPr>
      <w:r w:rsidRPr="00803A0D">
        <w:rPr>
          <w:rFonts w:ascii="Arial" w:eastAsia="Arial" w:hAnsi="Arial" w:cs="Arial"/>
          <w:bdr w:val="none" w:sz="0" w:space="0" w:color="auto" w:frame="1"/>
          <w:lang w:val="en-US"/>
        </w:rPr>
        <w:t>Long-lived assets are reviewed for impairment whenever events or changes in circumstances (such as market conditions, obsolescence or damage to the asset, potential sales and other business plans) indicate that the carrying amount of an asset may not be recoverable. For impairment testing purposes, each vessel together with its associated deferred costs is considered a single asset group. When impairment indicators are identified, the Company compares the carrying amount of the asset group with the estimated undiscounted projected net operating cash flows expected to result from the use of the asset group over its remaining useful life and its eventual disposition. If the carrying amount exceeds the undiscounted cash flows, the asset group is considered not recoverable and is written down to its fair value, determined primarily through third</w:t>
      </w:r>
      <w:r w:rsidRPr="00803A0D">
        <w:rPr>
          <w:rFonts w:ascii="Arial" w:eastAsia="Arial" w:hAnsi="Arial" w:cs="Arial"/>
          <w:bdr w:val="none" w:sz="0" w:space="0" w:color="auto" w:frame="1"/>
          <w:lang w:val="en-US"/>
        </w:rPr>
        <w:noBreakHyphen/>
        <w:t xml:space="preserve">party valuations. </w:t>
      </w:r>
    </w:p>
    <w:p w14:paraId="71F3E755" w14:textId="77777777" w:rsidR="00AF3373" w:rsidRPr="00D95E0C" w:rsidRDefault="00AF3373" w:rsidP="00D95E0C">
      <w:pPr>
        <w:pBdr>
          <w:top w:val="nil"/>
          <w:left w:val="nil"/>
          <w:bottom w:val="nil"/>
          <w:right w:val="nil"/>
          <w:between w:val="nil"/>
          <w:bar w:val="nil"/>
        </w:pBdr>
        <w:jc w:val="both"/>
        <w:rPr>
          <w:rFonts w:ascii="Arial" w:eastAsia="Arial" w:hAnsi="Arial" w:cs="Arial"/>
          <w:bdr w:val="nil"/>
          <w:lang w:val="en-US"/>
        </w:rPr>
      </w:pPr>
    </w:p>
    <w:p w14:paraId="71F3E756" w14:textId="77777777" w:rsidR="00AF3373" w:rsidRPr="00D95E0C" w:rsidRDefault="003A4815" w:rsidP="00D95E0C">
      <w:pPr>
        <w:pBdr>
          <w:top w:val="nil"/>
          <w:left w:val="nil"/>
          <w:bottom w:val="nil"/>
          <w:right w:val="nil"/>
          <w:between w:val="nil"/>
          <w:bar w:val="nil"/>
        </w:pBdr>
        <w:jc w:val="both"/>
        <w:rPr>
          <w:rFonts w:ascii="Arial" w:eastAsia="Arial" w:hAnsi="Arial" w:cs="Arial"/>
          <w:bdr w:val="nil"/>
          <w:lang w:val="en-US"/>
        </w:rPr>
      </w:pPr>
      <w:r w:rsidRPr="002D40CD">
        <w:rPr>
          <w:rFonts w:ascii="Arial" w:eastAsia="Arial" w:hAnsi="Arial" w:cs="Arial"/>
          <w:bdr w:val="none" w:sz="0" w:space="0" w:color="auto" w:frame="1"/>
          <w:lang w:val="en-US"/>
        </w:rPr>
        <w:t>For vessels, the Company estimates undiscounted net operating cash flows by considering the historical and projected vessel performance and utilization. A significant assumption in this analysis is the estimate of future time charter rates for the unfixed days, using the most recent 10-year average of historical 1 year time charter rates, net of commissions, available for each vessel class. These estimated time charter rates reflect the Company’s chartering strategy, vessel operating history per vessel class  and at least one full shipping cycle, where applicable. When a full 10-year history is not available, the average 1 year time charter rate of the available period is used.</w:t>
      </w:r>
      <w:r w:rsidR="00FF58C8" w:rsidRPr="00D95E0C">
        <w:rPr>
          <w:rFonts w:ascii="Arial" w:eastAsia="Arial" w:hAnsi="Arial" w:cs="Arial"/>
          <w:bdr w:val="none" w:sz="0" w:space="0" w:color="auto" w:frame="1"/>
          <w:lang w:val="en-US"/>
        </w:rPr>
        <w:t xml:space="preserve"> </w:t>
      </w:r>
      <w:r w:rsidR="00C077F5" w:rsidRPr="00D95E0C">
        <w:rPr>
          <w:rFonts w:ascii="Arial" w:eastAsia="Arial" w:hAnsi="Arial" w:cs="Arial"/>
          <w:bdr w:val="none" w:sz="0" w:space="0" w:color="auto" w:frame="1"/>
          <w:lang w:val="en-US"/>
        </w:rPr>
        <w:t xml:space="preserve">The historical ten-year average rate used </w:t>
      </w:r>
      <w:r w:rsidR="00FF58C8" w:rsidRPr="00D95E0C">
        <w:rPr>
          <w:rFonts w:ascii="Arial" w:eastAsia="Arial" w:hAnsi="Arial" w:cs="Arial"/>
          <w:bdr w:val="none" w:sz="0" w:space="0" w:color="auto" w:frame="1"/>
          <w:lang w:val="en-US"/>
        </w:rPr>
        <w:t>in</w:t>
      </w:r>
      <w:r w:rsidR="00C077F5" w:rsidRPr="00D95E0C">
        <w:rPr>
          <w:rFonts w:ascii="Arial" w:eastAsia="Arial" w:hAnsi="Arial" w:cs="Arial"/>
          <w:bdr w:val="none" w:sz="0" w:space="0" w:color="auto" w:frame="1"/>
          <w:lang w:val="en-US"/>
        </w:rPr>
        <w:t xml:space="preserve"> 2025 to calculate undiscounted projected net operating cash flow was $1</w:t>
      </w:r>
      <w:r w:rsidR="00FF58C8">
        <w:rPr>
          <w:rFonts w:ascii="Arial" w:eastAsia="Arial" w:hAnsi="Arial" w:cs="Arial"/>
          <w:bdr w:val="none" w:sz="0" w:space="0" w:color="auto" w:frame="1"/>
          <w:lang w:val="en-US"/>
        </w:rPr>
        <w:t>3</w:t>
      </w:r>
      <w:r w:rsidR="00C077F5" w:rsidRPr="00D95E0C">
        <w:rPr>
          <w:rFonts w:ascii="Arial" w:eastAsia="Arial" w:hAnsi="Arial" w:cs="Arial"/>
          <w:bdr w:val="none" w:sz="0" w:space="0" w:color="auto" w:frame="1"/>
          <w:lang w:val="en-US"/>
        </w:rPr>
        <w:t>,</w:t>
      </w:r>
      <w:r w:rsidR="003E6D97">
        <w:rPr>
          <w:rFonts w:ascii="Arial" w:eastAsia="Arial" w:hAnsi="Arial" w:cs="Arial"/>
          <w:bdr w:val="none" w:sz="0" w:space="0" w:color="auto" w:frame="1"/>
          <w:lang w:val="en-US"/>
        </w:rPr>
        <w:t>596</w:t>
      </w:r>
      <w:r w:rsidR="00C077F5" w:rsidRPr="00D95E0C">
        <w:rPr>
          <w:rFonts w:ascii="Arial" w:eastAsia="Arial" w:hAnsi="Arial" w:cs="Arial"/>
          <w:bdr w:val="none" w:sz="0" w:space="0" w:color="auto" w:frame="1"/>
          <w:lang w:val="en-US"/>
        </w:rPr>
        <w:t xml:space="preserve"> for</w:t>
      </w:r>
      <w:r w:rsidR="006F46B3">
        <w:rPr>
          <w:rFonts w:ascii="Arial" w:eastAsia="Arial" w:hAnsi="Arial" w:cs="Arial"/>
          <w:bdr w:val="none" w:sz="0" w:space="0" w:color="auto" w:frame="1"/>
          <w:lang w:val="en-US"/>
        </w:rPr>
        <w:t xml:space="preserve"> our</w:t>
      </w:r>
      <w:r w:rsidR="00C077F5" w:rsidRPr="00D95E0C">
        <w:rPr>
          <w:rFonts w:ascii="Arial" w:eastAsia="Arial" w:hAnsi="Arial" w:cs="Arial"/>
          <w:bdr w:val="none" w:sz="0" w:space="0" w:color="auto" w:frame="1"/>
          <w:lang w:val="en-US"/>
        </w:rPr>
        <w:t xml:space="preserve"> Panamax</w:t>
      </w:r>
      <w:r w:rsidR="00FF58C8" w:rsidRPr="00D95E0C">
        <w:rPr>
          <w:rFonts w:ascii="Arial" w:eastAsia="Arial" w:hAnsi="Arial" w:cs="Arial"/>
          <w:bdr w:val="none" w:sz="0" w:space="0" w:color="auto" w:frame="1"/>
          <w:lang w:val="en-US"/>
        </w:rPr>
        <w:t>,</w:t>
      </w:r>
      <w:r w:rsidR="00C077F5" w:rsidRPr="00D95E0C">
        <w:rPr>
          <w:rFonts w:ascii="Arial" w:eastAsia="Arial" w:hAnsi="Arial" w:cs="Arial"/>
          <w:bdr w:val="none" w:sz="0" w:space="0" w:color="auto" w:frame="1"/>
          <w:lang w:val="en-US"/>
        </w:rPr>
        <w:t xml:space="preserve"> Kamsarmax and Post-Panamax vessels</w:t>
      </w:r>
      <w:r w:rsidR="00FF58C8" w:rsidRPr="00D95E0C">
        <w:rPr>
          <w:rFonts w:ascii="Arial" w:eastAsia="Arial" w:hAnsi="Arial" w:cs="Arial"/>
          <w:bdr w:val="none" w:sz="0" w:space="0" w:color="auto" w:frame="1"/>
          <w:lang w:val="en-US"/>
        </w:rPr>
        <w:t>, $</w:t>
      </w:r>
      <w:r w:rsidR="00673F96" w:rsidRPr="00D95E0C">
        <w:rPr>
          <w:rFonts w:ascii="Arial" w:eastAsia="Arial" w:hAnsi="Arial" w:cs="Arial"/>
          <w:bdr w:val="none" w:sz="0" w:space="0" w:color="auto" w:frame="1"/>
          <w:lang w:val="en-US"/>
        </w:rPr>
        <w:t>16,</w:t>
      </w:r>
      <w:r w:rsidR="003E6D97">
        <w:rPr>
          <w:rFonts w:ascii="Arial" w:eastAsia="Arial" w:hAnsi="Arial" w:cs="Arial"/>
          <w:bdr w:val="none" w:sz="0" w:space="0" w:color="auto" w:frame="1"/>
          <w:lang w:val="en-US"/>
        </w:rPr>
        <w:t>309</w:t>
      </w:r>
      <w:r w:rsidR="00FF58C8" w:rsidRPr="00D95E0C">
        <w:rPr>
          <w:rFonts w:ascii="Arial" w:eastAsia="Arial" w:hAnsi="Arial" w:cs="Arial"/>
          <w:bdr w:val="none" w:sz="0" w:space="0" w:color="auto" w:frame="1"/>
          <w:lang w:val="en-US"/>
        </w:rPr>
        <w:t xml:space="preserve"> for</w:t>
      </w:r>
      <w:r w:rsidR="006F46B3">
        <w:rPr>
          <w:rFonts w:ascii="Arial" w:eastAsia="Arial" w:hAnsi="Arial" w:cs="Arial"/>
          <w:bdr w:val="none" w:sz="0" w:space="0" w:color="auto" w:frame="1"/>
          <w:lang w:val="en-US"/>
        </w:rPr>
        <w:t xml:space="preserve"> our</w:t>
      </w:r>
      <w:r w:rsidR="00FF58C8" w:rsidRPr="00D95E0C">
        <w:rPr>
          <w:rFonts w:ascii="Arial" w:eastAsia="Arial" w:hAnsi="Arial" w:cs="Arial"/>
          <w:bdr w:val="none" w:sz="0" w:space="0" w:color="auto" w:frame="1"/>
          <w:lang w:val="en-US"/>
        </w:rPr>
        <w:t xml:space="preserve"> Ultramax vessels</w:t>
      </w:r>
      <w:r w:rsidR="00C077F5" w:rsidRPr="00D95E0C">
        <w:rPr>
          <w:rFonts w:ascii="Arial" w:eastAsia="Arial" w:hAnsi="Arial" w:cs="Arial"/>
          <w:bdr w:val="none" w:sz="0" w:space="0" w:color="auto" w:frame="1"/>
          <w:lang w:val="en-US"/>
        </w:rPr>
        <w:t xml:space="preserve"> and $1</w:t>
      </w:r>
      <w:r w:rsidR="003E6D97">
        <w:rPr>
          <w:rFonts w:ascii="Arial" w:eastAsia="Arial" w:hAnsi="Arial" w:cs="Arial"/>
          <w:bdr w:val="none" w:sz="0" w:space="0" w:color="auto" w:frame="1"/>
          <w:lang w:val="en-US"/>
        </w:rPr>
        <w:t>7</w:t>
      </w:r>
      <w:r w:rsidR="00C077F5" w:rsidRPr="00D95E0C">
        <w:rPr>
          <w:rFonts w:ascii="Arial" w:eastAsia="Arial" w:hAnsi="Arial" w:cs="Arial"/>
          <w:bdr w:val="none" w:sz="0" w:space="0" w:color="auto" w:frame="1"/>
          <w:lang w:val="en-US"/>
        </w:rPr>
        <w:t>,</w:t>
      </w:r>
      <w:r w:rsidR="003E6D97">
        <w:rPr>
          <w:rFonts w:ascii="Arial" w:eastAsia="Arial" w:hAnsi="Arial" w:cs="Arial"/>
          <w:bdr w:val="none" w:sz="0" w:space="0" w:color="auto" w:frame="1"/>
          <w:lang w:val="en-US"/>
        </w:rPr>
        <w:t>517</w:t>
      </w:r>
      <w:r w:rsidR="00C077F5" w:rsidRPr="00D95E0C">
        <w:rPr>
          <w:rFonts w:ascii="Arial" w:eastAsia="Arial" w:hAnsi="Arial" w:cs="Arial"/>
          <w:bdr w:val="none" w:sz="0" w:space="0" w:color="auto" w:frame="1"/>
          <w:lang w:val="en-US"/>
        </w:rPr>
        <w:t xml:space="preserve"> for our Capesize and Newcastl</w:t>
      </w:r>
      <w:r w:rsidR="008D34C1">
        <w:rPr>
          <w:rFonts w:ascii="Arial" w:eastAsia="Arial" w:hAnsi="Arial" w:cs="Arial"/>
          <w:bdr w:val="none" w:sz="0" w:space="0" w:color="auto" w:frame="1"/>
          <w:lang w:val="en-US"/>
        </w:rPr>
        <w:t>e</w:t>
      </w:r>
      <w:r w:rsidR="00C077F5" w:rsidRPr="00D95E0C">
        <w:rPr>
          <w:rFonts w:ascii="Arial" w:eastAsia="Arial" w:hAnsi="Arial" w:cs="Arial"/>
          <w:bdr w:val="none" w:sz="0" w:space="0" w:color="auto" w:frame="1"/>
          <w:lang w:val="en-US"/>
        </w:rPr>
        <w:t>max vessels, compared to $1</w:t>
      </w:r>
      <w:r w:rsidR="003E6D97">
        <w:rPr>
          <w:rFonts w:ascii="Arial" w:eastAsia="Arial" w:hAnsi="Arial" w:cs="Arial"/>
          <w:bdr w:val="none" w:sz="0" w:space="0" w:color="auto" w:frame="1"/>
          <w:lang w:val="en-US"/>
        </w:rPr>
        <w:t>3</w:t>
      </w:r>
      <w:r w:rsidR="00C077F5" w:rsidRPr="00D95E0C">
        <w:rPr>
          <w:rFonts w:ascii="Arial" w:eastAsia="Arial" w:hAnsi="Arial" w:cs="Arial"/>
          <w:bdr w:val="none" w:sz="0" w:space="0" w:color="auto" w:frame="1"/>
          <w:lang w:val="en-US"/>
        </w:rPr>
        <w:t>,</w:t>
      </w:r>
      <w:r w:rsidR="003E6D97">
        <w:rPr>
          <w:rFonts w:ascii="Arial" w:eastAsia="Arial" w:hAnsi="Arial" w:cs="Arial"/>
          <w:bdr w:val="none" w:sz="0" w:space="0" w:color="auto" w:frame="1"/>
          <w:lang w:val="en-US"/>
        </w:rPr>
        <w:t>053</w:t>
      </w:r>
      <w:r w:rsidR="00FF58C8" w:rsidRPr="00D95E0C">
        <w:rPr>
          <w:rFonts w:ascii="Arial" w:eastAsia="Arial" w:hAnsi="Arial" w:cs="Arial"/>
          <w:bdr w:val="none" w:sz="0" w:space="0" w:color="auto" w:frame="1"/>
          <w:lang w:val="en-US"/>
        </w:rPr>
        <w:t xml:space="preserve">, </w:t>
      </w:r>
      <w:r w:rsidR="00FF58C8">
        <w:rPr>
          <w:rFonts w:ascii="Arial" w:eastAsia="Arial" w:hAnsi="Arial" w:cs="Arial"/>
          <w:bdr w:val="none" w:sz="0" w:space="0" w:color="auto" w:frame="1"/>
          <w:lang w:val="en-US"/>
        </w:rPr>
        <w:t>16,</w:t>
      </w:r>
      <w:r w:rsidR="003E6D97">
        <w:rPr>
          <w:rFonts w:ascii="Arial" w:eastAsia="Arial" w:hAnsi="Arial" w:cs="Arial"/>
          <w:bdr w:val="none" w:sz="0" w:space="0" w:color="auto" w:frame="1"/>
          <w:lang w:val="en-US"/>
        </w:rPr>
        <w:t>626</w:t>
      </w:r>
      <w:r w:rsidR="00C077F5" w:rsidRPr="00D95E0C">
        <w:rPr>
          <w:rFonts w:ascii="Arial" w:eastAsia="Arial" w:hAnsi="Arial" w:cs="Arial"/>
          <w:bdr w:val="none" w:sz="0" w:space="0" w:color="auto" w:frame="1"/>
          <w:lang w:val="en-US"/>
        </w:rPr>
        <w:t xml:space="preserve"> and $1</w:t>
      </w:r>
      <w:r w:rsidR="00FF58C8">
        <w:rPr>
          <w:rFonts w:ascii="Arial" w:eastAsia="Arial" w:hAnsi="Arial" w:cs="Arial"/>
          <w:bdr w:val="none" w:sz="0" w:space="0" w:color="auto" w:frame="1"/>
          <w:lang w:val="en-US"/>
        </w:rPr>
        <w:t>6</w:t>
      </w:r>
      <w:r w:rsidR="00C077F5" w:rsidRPr="00D95E0C">
        <w:rPr>
          <w:rFonts w:ascii="Arial" w:eastAsia="Arial" w:hAnsi="Arial" w:cs="Arial"/>
          <w:bdr w:val="none" w:sz="0" w:space="0" w:color="auto" w:frame="1"/>
          <w:lang w:val="en-US"/>
        </w:rPr>
        <w:t>,</w:t>
      </w:r>
      <w:r w:rsidR="003E6D97">
        <w:rPr>
          <w:rFonts w:ascii="Arial" w:eastAsia="Arial" w:hAnsi="Arial" w:cs="Arial"/>
          <w:bdr w:val="none" w:sz="0" w:space="0" w:color="auto" w:frame="1"/>
          <w:lang w:val="en-US"/>
        </w:rPr>
        <w:t>315</w:t>
      </w:r>
      <w:r w:rsidR="00C077F5" w:rsidRPr="00D95E0C">
        <w:rPr>
          <w:rFonts w:ascii="Arial" w:eastAsia="Arial" w:hAnsi="Arial" w:cs="Arial"/>
          <w:bdr w:val="none" w:sz="0" w:space="0" w:color="auto" w:frame="1"/>
          <w:lang w:val="en-US"/>
        </w:rPr>
        <w:t xml:space="preserve">, respectively </w:t>
      </w:r>
      <w:r w:rsidR="00FF58C8" w:rsidRPr="00D95E0C">
        <w:rPr>
          <w:rFonts w:ascii="Arial" w:eastAsia="Arial" w:hAnsi="Arial" w:cs="Arial"/>
          <w:bdr w:val="none" w:sz="0" w:space="0" w:color="auto" w:frame="1"/>
          <w:lang w:val="en-US"/>
        </w:rPr>
        <w:t>in</w:t>
      </w:r>
      <w:r w:rsidR="00C077F5" w:rsidRPr="00D95E0C">
        <w:rPr>
          <w:rFonts w:ascii="Arial" w:eastAsia="Arial" w:hAnsi="Arial" w:cs="Arial"/>
          <w:bdr w:val="none" w:sz="0" w:space="0" w:color="auto" w:frame="1"/>
          <w:lang w:val="en-US"/>
        </w:rPr>
        <w:t xml:space="preserve"> 2024.</w:t>
      </w:r>
      <w:r w:rsidR="00FF58C8" w:rsidRPr="00D95E0C">
        <w:rPr>
          <w:rFonts w:ascii="Arial" w:eastAsia="Arial" w:hAnsi="Arial" w:cs="Arial"/>
          <w:bdr w:val="none" w:sz="0" w:space="0" w:color="auto" w:frame="1"/>
          <w:lang w:val="en-US"/>
        </w:rPr>
        <w:t xml:space="preserve"> </w:t>
      </w:r>
      <w:r w:rsidR="00D36BF1" w:rsidRPr="00D42E9F">
        <w:rPr>
          <w:rFonts w:ascii="Arial" w:eastAsia="Arial" w:hAnsi="Arial" w:cs="Arial"/>
          <w:bdr w:val="none" w:sz="0" w:space="0" w:color="auto" w:frame="1"/>
          <w:lang w:val="en-US"/>
        </w:rPr>
        <w:t>Additional assumptions include contracted charter rates for fixed days based on existing time charter contracts, anticipated vessel operating expenses, scheduled vessel maintenance costs, fleet utilization levels, and estimated residual values based on scrap rates. Assumptions are in line with the Company’s historical performance and its expectations for future fleet utilization under its current fleet deployment strategy.</w:t>
      </w:r>
      <w:r w:rsidR="00D36BF1" w:rsidRPr="00D36BF1">
        <w:rPr>
          <w:rFonts w:ascii="Arial" w:eastAsia="Arial" w:hAnsi="Arial" w:cs="Arial"/>
          <w:b/>
          <w:bCs/>
          <w:i/>
          <w:iCs/>
          <w:bdr w:val="none" w:sz="0" w:space="0" w:color="auto" w:frame="1"/>
          <w:lang w:val="en-US"/>
        </w:rPr>
        <w:t xml:space="preserve"> </w:t>
      </w:r>
      <w:r w:rsidR="00D36BF1" w:rsidRPr="00D36BF1">
        <w:rPr>
          <w:rFonts w:ascii="Arial" w:eastAsia="Arial" w:hAnsi="Arial" w:cs="Arial"/>
          <w:iCs/>
          <w:bdr w:val="none" w:sz="0" w:space="0" w:color="auto" w:frame="1"/>
          <w:lang w:val="en-US"/>
        </w:rPr>
        <w:t xml:space="preserve">The undiscounted projected net operating cash flows are compared with the carrying amount of the vessel, including its </w:t>
      </w:r>
      <w:r w:rsidR="00D36BF1" w:rsidRPr="00D36BF1">
        <w:rPr>
          <w:rFonts w:ascii="Arial" w:eastAsia="Arial" w:hAnsi="Arial" w:cs="Arial"/>
          <w:bdr w:val="none" w:sz="0" w:space="0" w:color="auto" w:frame="1"/>
          <w:lang w:val="en-US"/>
        </w:rPr>
        <w:t>unamortized deferred costs</w:t>
      </w:r>
      <w:r w:rsidR="00D36BF1" w:rsidRPr="00D36BF1">
        <w:rPr>
          <w:rFonts w:ascii="Arial" w:eastAsia="Arial" w:hAnsi="Arial" w:cs="Arial"/>
          <w:iCs/>
          <w:bdr w:val="none" w:sz="0" w:space="0" w:color="auto" w:frame="1"/>
          <w:lang w:val="en-US"/>
        </w:rPr>
        <w:t>. If the carrying amount exceeds the undiscounted cash flows, the vessel is written down to its fair value, and the difference is recognized as an impairment loss</w:t>
      </w:r>
      <w:r w:rsidR="00FF58C8" w:rsidRPr="00D95E0C">
        <w:rPr>
          <w:rFonts w:ascii="Arial" w:eastAsia="Arial" w:hAnsi="Arial" w:cs="Arial"/>
          <w:bdr w:val="none" w:sz="0" w:space="0" w:color="auto" w:frame="1"/>
          <w:lang w:val="en-US"/>
        </w:rPr>
        <w:t>. Although no impairment loss was identified or recorded in 2025, according to our assessment, the carrying value plus unamortized deferred cost of vessels for which impairment indicators existed as of December 31, 2025, was $</w:t>
      </w:r>
      <w:r w:rsidR="003E6D97">
        <w:rPr>
          <w:rFonts w:ascii="Arial" w:eastAsia="Arial" w:hAnsi="Arial" w:cs="Arial"/>
          <w:bdr w:val="none" w:sz="0" w:space="0" w:color="auto" w:frame="1"/>
          <w:lang w:val="en-US"/>
        </w:rPr>
        <w:t>281</w:t>
      </w:r>
      <w:r w:rsidR="00FF58C8">
        <w:rPr>
          <w:rFonts w:ascii="Arial" w:eastAsia="Arial" w:hAnsi="Arial" w:cs="Arial"/>
          <w:bdr w:val="none" w:sz="0" w:space="0" w:color="auto" w:frame="1"/>
          <w:lang w:val="en-US"/>
        </w:rPr>
        <w:t>.</w:t>
      </w:r>
      <w:r w:rsidR="000E53FA">
        <w:rPr>
          <w:rFonts w:ascii="Arial" w:eastAsia="Arial" w:hAnsi="Arial" w:cs="Arial"/>
          <w:bdr w:val="none" w:sz="0" w:space="0" w:color="auto" w:frame="1"/>
          <w:lang w:val="en-US"/>
        </w:rPr>
        <w:t>3</w:t>
      </w:r>
      <w:r w:rsidR="00FF58C8" w:rsidRPr="00D95E0C">
        <w:rPr>
          <w:rFonts w:ascii="Arial" w:eastAsia="Arial" w:hAnsi="Arial" w:cs="Arial"/>
          <w:bdr w:val="none" w:sz="0" w:space="0" w:color="auto" w:frame="1"/>
          <w:lang w:val="en-US"/>
        </w:rPr>
        <w:t xml:space="preserve"> million.</w:t>
      </w:r>
    </w:p>
    <w:p w14:paraId="71F3E757" w14:textId="77777777" w:rsidR="009C2702" w:rsidRPr="00D95E0C" w:rsidRDefault="009C2702" w:rsidP="00D95E0C">
      <w:pPr>
        <w:pBdr>
          <w:top w:val="nil"/>
          <w:left w:val="nil"/>
          <w:bottom w:val="nil"/>
          <w:right w:val="nil"/>
          <w:between w:val="nil"/>
          <w:bar w:val="nil"/>
        </w:pBdr>
        <w:jc w:val="both"/>
        <w:rPr>
          <w:rFonts w:ascii="Arial" w:eastAsia="Arial" w:hAnsi="Arial" w:cs="Arial"/>
          <w:color w:val="000000"/>
          <w:bdr w:val="nil"/>
          <w:lang w:val="en-US"/>
        </w:rPr>
      </w:pPr>
    </w:p>
    <w:p w14:paraId="71F3E758" w14:textId="77777777" w:rsidR="005A465F" w:rsidRPr="00D95E0C" w:rsidRDefault="003A4815" w:rsidP="00D95E0C">
      <w:pPr>
        <w:pBdr>
          <w:top w:val="nil"/>
          <w:left w:val="nil"/>
          <w:bottom w:val="nil"/>
          <w:right w:val="nil"/>
          <w:between w:val="nil"/>
          <w:bar w:val="nil"/>
        </w:pBdr>
        <w:autoSpaceDE w:val="0"/>
        <w:autoSpaceDN w:val="0"/>
        <w:jc w:val="both"/>
        <w:rPr>
          <w:rFonts w:ascii="Arial" w:eastAsia="Arial" w:hAnsi="Arial" w:cs="Arial"/>
          <w:color w:val="000000"/>
          <w:bdr w:val="nil"/>
          <w:lang w:val="en-US"/>
        </w:rPr>
      </w:pPr>
      <w:r w:rsidRPr="00D95E0C">
        <w:rPr>
          <w:rFonts w:ascii="Arial" w:eastAsia="Arial" w:hAnsi="Arial" w:cs="Arial"/>
          <w:color w:val="000000"/>
          <w:lang w:val="en-US"/>
        </w:rPr>
        <w:t>Historically, the market values of vessels have experienced volatility, which from time to time may be substantial.  As a result, the charter-free market value of certain of our vessels may have declined below those vessels’ carrying value</w:t>
      </w:r>
      <w:r w:rsidRPr="00D95E0C">
        <w:rPr>
          <w:rFonts w:ascii="Arial" w:eastAsia="Arial" w:hAnsi="Arial" w:cs="Arial"/>
          <w:bdr w:val="none" w:sz="0" w:space="0" w:color="auto" w:frame="1"/>
          <w:lang w:val="en-US"/>
        </w:rPr>
        <w:t xml:space="preserve"> plus unamortized deferred cost</w:t>
      </w:r>
      <w:r>
        <w:rPr>
          <w:rFonts w:ascii="Arial" w:eastAsia="Arial" w:hAnsi="Arial" w:cs="Arial"/>
          <w:color w:val="000000"/>
          <w:lang w:val="en-US"/>
        </w:rPr>
        <w:t xml:space="preserve">. </w:t>
      </w:r>
      <w:r w:rsidRPr="004B14A0">
        <w:rPr>
          <w:rFonts w:ascii="Arial" w:eastAsia="Arial" w:hAnsi="Arial" w:cs="Arial"/>
          <w:color w:val="000000"/>
          <w:lang w:val="en-US"/>
        </w:rPr>
        <w:t>These vessels would be impaired in accordance with the related US GAAP guidance for impairment recognition, if the undiscounted cash flows were lower compared to their carrying value</w:t>
      </w:r>
      <w:r w:rsidRPr="00D95E0C">
        <w:rPr>
          <w:rFonts w:ascii="Arial" w:eastAsia="Arial" w:hAnsi="Arial" w:cs="Arial"/>
          <w:color w:val="000000"/>
          <w:lang w:val="en-US"/>
        </w:rPr>
        <w:t xml:space="preserve">. Based on: (i) the carrying value </w:t>
      </w:r>
      <w:r w:rsidRPr="00D95E0C">
        <w:rPr>
          <w:rFonts w:ascii="Arial" w:eastAsia="Arial" w:hAnsi="Arial" w:cs="Arial"/>
          <w:bdr w:val="none" w:sz="0" w:space="0" w:color="auto" w:frame="1"/>
          <w:lang w:val="en-US"/>
        </w:rPr>
        <w:t xml:space="preserve">plus unamortized deferred cost </w:t>
      </w:r>
      <w:r w:rsidRPr="00D95E0C">
        <w:rPr>
          <w:rFonts w:ascii="Arial" w:eastAsia="Arial" w:hAnsi="Arial" w:cs="Arial"/>
          <w:color w:val="000000"/>
          <w:lang w:val="en-US"/>
        </w:rPr>
        <w:t xml:space="preserve">of each of our vessels as of December 31, 2025 and 2024 and (ii) what we believe the charter-free market value of each of our vessels was as of </w:t>
      </w:r>
      <w:bookmarkStart w:id="177" w:name="OLE_LINK1"/>
      <w:bookmarkStart w:id="178" w:name="OLE_LINK2"/>
      <w:r w:rsidRPr="00D95E0C">
        <w:rPr>
          <w:rFonts w:ascii="Arial" w:eastAsia="Arial" w:hAnsi="Arial" w:cs="Arial"/>
          <w:color w:val="000000"/>
          <w:lang w:val="en-US"/>
        </w:rPr>
        <w:t xml:space="preserve">December 31, </w:t>
      </w:r>
      <w:bookmarkEnd w:id="177"/>
      <w:bookmarkEnd w:id="178"/>
      <w:r w:rsidRPr="00D95E0C">
        <w:rPr>
          <w:rFonts w:ascii="Arial" w:eastAsia="Arial" w:hAnsi="Arial" w:cs="Arial"/>
          <w:color w:val="000000"/>
          <w:lang w:val="en-US"/>
        </w:rPr>
        <w:t xml:space="preserve">2025 and 2024, the aggregate </w:t>
      </w:r>
      <w:r w:rsidRPr="00D95E0C">
        <w:rPr>
          <w:rFonts w:ascii="Arial" w:eastAsia="Arial" w:hAnsi="Arial" w:cs="Arial"/>
          <w:lang w:val="en-US"/>
        </w:rPr>
        <w:t xml:space="preserve">carrying value of 10 and 12 of the vessels in our fleet as of </w:t>
      </w:r>
      <w:r w:rsidRPr="00D95E0C">
        <w:rPr>
          <w:rFonts w:ascii="Arial" w:eastAsia="Arial" w:hAnsi="Arial" w:cs="Arial"/>
          <w:color w:val="000000"/>
          <w:lang w:val="en-US"/>
        </w:rPr>
        <w:t xml:space="preserve">December 31, 2025 and 2024, respectively, </w:t>
      </w:r>
      <w:r w:rsidRPr="00D95E0C">
        <w:rPr>
          <w:rFonts w:ascii="Arial" w:eastAsia="Arial" w:hAnsi="Arial" w:cs="Arial"/>
          <w:lang w:val="en-US"/>
        </w:rPr>
        <w:t xml:space="preserve">exceeded their aggregate charter-free market value by approximately $37 million and $22 million, respectively, as noted in the table below. </w:t>
      </w:r>
      <w:bookmarkStart w:id="179" w:name="_Hlk193363932"/>
      <w:r w:rsidRPr="0037073C">
        <w:rPr>
          <w:rFonts w:ascii="Arial" w:eastAsia="Arial" w:hAnsi="Arial" w:cs="Arial"/>
          <w:color w:val="000000"/>
          <w:lang w:val="en-US"/>
        </w:rPr>
        <w:t>This represents the approxima</w:t>
      </w:r>
      <w:r w:rsidRPr="007D5E43">
        <w:rPr>
          <w:rFonts w:ascii="Arial" w:eastAsia="Arial" w:hAnsi="Arial" w:cs="Arial"/>
          <w:color w:val="000000"/>
          <w:lang w:val="en-US"/>
        </w:rPr>
        <w:t>te amount</w:t>
      </w:r>
      <w:r w:rsidRPr="0037073C">
        <w:rPr>
          <w:rFonts w:ascii="Arial" w:eastAsia="Arial" w:hAnsi="Arial" w:cs="Arial"/>
          <w:color w:val="000000"/>
          <w:lang w:val="en-US"/>
        </w:rPr>
        <w:t xml:space="preserve"> by which we believe we would have to reduce our net income if we sold all of such</w:t>
      </w:r>
      <w:bookmarkEnd w:id="179"/>
      <w:r w:rsidRPr="002C4005">
        <w:rPr>
          <w:rFonts w:ascii="Arial" w:eastAsia="Arial" w:hAnsi="Arial" w:cs="Arial"/>
          <w:color w:val="000000"/>
          <w:lang w:val="en-US"/>
        </w:rPr>
        <w:t xml:space="preserve"> vessels at</w:t>
      </w:r>
      <w:r w:rsidRPr="00D95E0C">
        <w:rPr>
          <w:rFonts w:ascii="Arial" w:eastAsia="Arial" w:hAnsi="Arial" w:cs="Arial"/>
          <w:color w:val="000000"/>
          <w:lang w:val="en-US"/>
        </w:rPr>
        <w:t xml:space="preserve"> December 31, 2025 and 2024, on industry standard terms, in cash transactions, and to a willing buyer where we were not under any compulsion to sell, and where the buyer was not under any compulsion to buy. For purposes of this calculation, we have assumed that these </w:t>
      </w:r>
      <w:r w:rsidRPr="00D95E0C">
        <w:rPr>
          <w:rFonts w:ascii="Arial" w:eastAsia="Arial" w:hAnsi="Arial" w:cs="Arial"/>
          <w:lang w:val="en-US"/>
        </w:rPr>
        <w:t>10 and 12 vessels</w:t>
      </w:r>
      <w:r w:rsidRPr="00D95E0C">
        <w:rPr>
          <w:rFonts w:ascii="Arial" w:eastAsia="Arial" w:hAnsi="Arial" w:cs="Arial"/>
          <w:color w:val="000000"/>
          <w:lang w:val="en-US"/>
        </w:rPr>
        <w:t xml:space="preserve"> would be sold at a price that reflects our estimate of their charter-free market values</w:t>
      </w:r>
      <w:r w:rsidRPr="00D95E0C">
        <w:rPr>
          <w:rFonts w:ascii="Arial" w:eastAsia="Arial" w:hAnsi="Arial" w:cs="Arial"/>
          <w:lang w:val="en-US"/>
        </w:rPr>
        <w:t xml:space="preserve"> as of December 31, </w:t>
      </w:r>
      <w:r w:rsidRPr="00D95E0C">
        <w:rPr>
          <w:rFonts w:ascii="Arial" w:eastAsia="Arial" w:hAnsi="Arial" w:cs="Arial"/>
          <w:color w:val="000000"/>
          <w:lang w:val="en-US"/>
        </w:rPr>
        <w:t>2025 and 2024, respectively.</w:t>
      </w:r>
    </w:p>
    <w:tbl>
      <w:tblPr>
        <w:tblStyle w:val="CDMRange1"/>
        <w:tblW w:w="10260" w:type="dxa"/>
        <w:tblLayout w:type="fixed"/>
        <w:tblLook w:val="0600" w:firstRow="0" w:lastRow="0" w:firstColumn="0" w:lastColumn="0" w:noHBand="1" w:noVBand="1"/>
      </w:tblPr>
      <w:tblGrid>
        <w:gridCol w:w="690"/>
        <w:gridCol w:w="2850"/>
        <w:gridCol w:w="1605"/>
        <w:gridCol w:w="1605"/>
        <w:gridCol w:w="1755"/>
        <w:gridCol w:w="1755"/>
      </w:tblGrid>
      <w:tr w:rsidR="00510CAA" w14:paraId="71F3E75E" w14:textId="77777777">
        <w:trPr>
          <w:cantSplit/>
          <w:trHeight w:hRule="exact" w:val="735"/>
        </w:trPr>
        <w:tc>
          <w:tcPr>
            <w:tcW w:w="3540" w:type="dxa"/>
            <w:gridSpan w:val="2"/>
            <w:vMerge w:val="restart"/>
            <w:tcBorders>
              <w:top w:val="single" w:sz="4" w:space="0" w:color="000000"/>
              <w:left w:val="nil"/>
              <w:bottom w:val="nil"/>
              <w:right w:val="nil"/>
              <w:tl2br w:val="nil"/>
              <w:tr2bl w:val="nil"/>
            </w:tcBorders>
            <w:tcMar>
              <w:left w:w="40" w:type="dxa"/>
              <w:right w:w="40" w:type="dxa"/>
            </w:tcMar>
            <w:vAlign w:val="bottom"/>
          </w:tcPr>
          <w:p w14:paraId="71F3E759" w14:textId="77777777" w:rsidR="00510CAA" w:rsidRDefault="003A4815">
            <w:pPr>
              <w:keepNext/>
              <w:pageBreakBefore/>
              <w:jc w:val="center"/>
              <w:rPr>
                <w:rFonts w:ascii="Arial" w:eastAsia="Arial" w:hAnsi="Arial" w:cs="Arial"/>
                <w:b/>
                <w:color w:val="000000"/>
                <w:sz w:val="18"/>
              </w:rPr>
            </w:pPr>
            <w:bookmarkStart w:id="180" w:name="RG_MARKER_22982"/>
            <w:r>
              <w:rPr>
                <w:rFonts w:ascii="Arial" w:eastAsia="Arial" w:hAnsi="Arial" w:cs="Arial"/>
                <w:b/>
                <w:color w:val="000000"/>
                <w:sz w:val="18"/>
              </w:rPr>
              <w:t>Vessel</w:t>
            </w:r>
            <w:bookmarkEnd w:id="180"/>
          </w:p>
        </w:tc>
        <w:tc>
          <w:tcPr>
            <w:tcW w:w="1605" w:type="dxa"/>
            <w:vMerge w:val="restart"/>
            <w:tcBorders>
              <w:top w:val="single" w:sz="4" w:space="0" w:color="000000"/>
              <w:left w:val="nil"/>
              <w:bottom w:val="nil"/>
              <w:right w:val="nil"/>
              <w:tl2br w:val="nil"/>
              <w:tr2bl w:val="nil"/>
            </w:tcBorders>
            <w:tcMar>
              <w:left w:w="40" w:type="dxa"/>
              <w:right w:w="40" w:type="dxa"/>
            </w:tcMar>
            <w:vAlign w:val="bottom"/>
          </w:tcPr>
          <w:p w14:paraId="71F3E75A"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Dwt</w:t>
            </w:r>
          </w:p>
        </w:tc>
        <w:tc>
          <w:tcPr>
            <w:tcW w:w="1605" w:type="dxa"/>
            <w:vMerge w:val="restart"/>
            <w:tcBorders>
              <w:top w:val="single" w:sz="4" w:space="0" w:color="000000"/>
              <w:left w:val="nil"/>
              <w:bottom w:val="nil"/>
              <w:right w:val="nil"/>
              <w:tl2br w:val="nil"/>
              <w:tr2bl w:val="nil"/>
            </w:tcBorders>
            <w:tcMar>
              <w:left w:w="40" w:type="dxa"/>
              <w:right w:w="40" w:type="dxa"/>
            </w:tcMar>
            <w:vAlign w:val="bottom"/>
          </w:tcPr>
          <w:p w14:paraId="71F3E75B"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Year Built</w:t>
            </w:r>
          </w:p>
        </w:tc>
        <w:tc>
          <w:tcPr>
            <w:tcW w:w="3510" w:type="dxa"/>
            <w:gridSpan w:val="2"/>
            <w:tcBorders>
              <w:top w:val="single" w:sz="4" w:space="0" w:color="000000"/>
              <w:left w:val="nil"/>
              <w:bottom w:val="nil"/>
              <w:right w:val="nil"/>
              <w:tl2br w:val="nil"/>
              <w:tr2bl w:val="nil"/>
            </w:tcBorders>
            <w:tcMar>
              <w:left w:w="40" w:type="dxa"/>
              <w:right w:w="40" w:type="dxa"/>
            </w:tcMar>
            <w:vAlign w:val="bottom"/>
          </w:tcPr>
          <w:p w14:paraId="71F3E75C"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 xml:space="preserve">Carrying Value plus unamortized deferred cost </w:t>
            </w:r>
          </w:p>
          <w:p w14:paraId="71F3E75D"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(in millions of US dollars)</w:t>
            </w:r>
          </w:p>
        </w:tc>
      </w:tr>
      <w:tr w:rsidR="00510CAA" w14:paraId="71F3E76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3540" w:type="dxa"/>
            <w:gridSpan w:val="2"/>
            <w:vMerge/>
            <w:tcBorders>
              <w:top w:val="nil"/>
              <w:left w:val="nil"/>
              <w:bottom w:val="single" w:sz="4" w:space="0" w:color="000000"/>
              <w:right w:val="nil"/>
              <w:tl2br w:val="nil"/>
              <w:tr2bl w:val="nil"/>
            </w:tcBorders>
            <w:tcMar>
              <w:left w:w="0" w:type="dxa"/>
              <w:right w:w="0" w:type="dxa"/>
            </w:tcMar>
            <w:vAlign w:val="bottom"/>
          </w:tcPr>
          <w:p w14:paraId="71F3E75F" w14:textId="77777777" w:rsidR="00510CAA" w:rsidRDefault="00510CAA">
            <w:pPr>
              <w:keepNext/>
              <w:jc w:val="center"/>
              <w:rPr>
                <w:rFonts w:ascii="Arial" w:eastAsia="Arial" w:hAnsi="Arial" w:cs="Arial"/>
                <w:b/>
                <w:color w:val="000000"/>
                <w:sz w:val="18"/>
              </w:rPr>
            </w:pPr>
          </w:p>
        </w:tc>
        <w:tc>
          <w:tcPr>
            <w:tcW w:w="1605" w:type="dxa"/>
            <w:vMerge/>
            <w:tcBorders>
              <w:top w:val="nil"/>
              <w:left w:val="nil"/>
              <w:bottom w:val="single" w:sz="4" w:space="0" w:color="000000"/>
              <w:right w:val="nil"/>
              <w:tl2br w:val="nil"/>
              <w:tr2bl w:val="nil"/>
            </w:tcBorders>
            <w:tcMar>
              <w:left w:w="0" w:type="dxa"/>
              <w:right w:w="0" w:type="dxa"/>
            </w:tcMar>
            <w:vAlign w:val="bottom"/>
          </w:tcPr>
          <w:p w14:paraId="71F3E760" w14:textId="77777777" w:rsidR="00510CAA" w:rsidRDefault="00510CAA">
            <w:pPr>
              <w:keepNext/>
              <w:jc w:val="center"/>
              <w:rPr>
                <w:rFonts w:ascii="Arial" w:eastAsia="Arial" w:hAnsi="Arial" w:cs="Arial"/>
                <w:b/>
                <w:color w:val="000000"/>
                <w:sz w:val="18"/>
              </w:rPr>
            </w:pPr>
          </w:p>
        </w:tc>
        <w:tc>
          <w:tcPr>
            <w:tcW w:w="1605" w:type="dxa"/>
            <w:vMerge/>
            <w:tcBorders>
              <w:top w:val="nil"/>
              <w:left w:val="nil"/>
              <w:bottom w:val="single" w:sz="4" w:space="0" w:color="000000"/>
              <w:right w:val="nil"/>
              <w:tl2br w:val="nil"/>
              <w:tr2bl w:val="nil"/>
            </w:tcBorders>
            <w:tcMar>
              <w:left w:w="0" w:type="dxa"/>
              <w:right w:w="0" w:type="dxa"/>
            </w:tcMar>
            <w:vAlign w:val="bottom"/>
          </w:tcPr>
          <w:p w14:paraId="71F3E761" w14:textId="77777777" w:rsidR="00510CAA" w:rsidRDefault="00510CAA">
            <w:pPr>
              <w:keepNext/>
              <w:jc w:val="center"/>
              <w:rPr>
                <w:rFonts w:ascii="Arial" w:eastAsia="Arial" w:hAnsi="Arial" w:cs="Arial"/>
                <w:b/>
                <w:color w:val="000000"/>
                <w:sz w:val="18"/>
              </w:rPr>
            </w:pPr>
          </w:p>
        </w:tc>
        <w:tc>
          <w:tcPr>
            <w:tcW w:w="1755" w:type="dxa"/>
            <w:tcBorders>
              <w:top w:val="nil"/>
              <w:left w:val="nil"/>
              <w:bottom w:val="single" w:sz="4" w:space="0" w:color="000000"/>
              <w:right w:val="nil"/>
              <w:tl2br w:val="nil"/>
              <w:tr2bl w:val="nil"/>
            </w:tcBorders>
            <w:tcMar>
              <w:left w:w="40" w:type="dxa"/>
              <w:right w:w="40" w:type="dxa"/>
            </w:tcMar>
            <w:vAlign w:val="bottom"/>
          </w:tcPr>
          <w:p w14:paraId="71F3E762"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2025</w:t>
            </w:r>
          </w:p>
        </w:tc>
        <w:tc>
          <w:tcPr>
            <w:tcW w:w="1755" w:type="dxa"/>
            <w:tcBorders>
              <w:top w:val="nil"/>
              <w:left w:val="nil"/>
              <w:bottom w:val="single" w:sz="4" w:space="0" w:color="000000"/>
              <w:right w:val="nil"/>
              <w:tl2br w:val="nil"/>
              <w:tr2bl w:val="nil"/>
            </w:tcBorders>
            <w:tcMar>
              <w:left w:w="40" w:type="dxa"/>
              <w:right w:w="40" w:type="dxa"/>
            </w:tcMar>
            <w:vAlign w:val="bottom"/>
          </w:tcPr>
          <w:p w14:paraId="71F3E763"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2024</w:t>
            </w:r>
          </w:p>
        </w:tc>
      </w:tr>
      <w:tr w:rsidR="00510CAA" w14:paraId="71F3E76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w:t>
            </w:r>
          </w:p>
        </w:tc>
        <w:tc>
          <w:tcPr>
            <w:tcW w:w="2850"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6" w14:textId="77777777" w:rsidR="00510CAA" w:rsidRDefault="003A4815">
            <w:pPr>
              <w:keepNext/>
              <w:rPr>
                <w:rFonts w:ascii="Arial" w:eastAsia="Arial" w:hAnsi="Arial" w:cs="Arial"/>
                <w:color w:val="000000"/>
                <w:sz w:val="18"/>
              </w:rPr>
            </w:pPr>
            <w:r>
              <w:rPr>
                <w:rFonts w:ascii="Arial" w:eastAsia="Arial" w:hAnsi="Arial" w:cs="Arial"/>
                <w:color w:val="000000"/>
                <w:sz w:val="18"/>
              </w:rPr>
              <w:t>Alcmene</w:t>
            </w:r>
          </w:p>
        </w:tc>
        <w:tc>
          <w:tcPr>
            <w:tcW w:w="1605"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93,193</w:t>
            </w:r>
          </w:p>
        </w:tc>
        <w:tc>
          <w:tcPr>
            <w:tcW w:w="1605"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 </w:t>
            </w:r>
            <w:r>
              <w:rPr>
                <w:rFonts w:ascii="Arial" w:eastAsia="Arial" w:hAnsi="Arial" w:cs="Arial"/>
                <w:color w:val="000000"/>
                <w:sz w:val="18"/>
                <w:vertAlign w:val="superscript"/>
              </w:rPr>
              <w:t xml:space="preserve"> </w:t>
            </w:r>
          </w:p>
        </w:tc>
        <w:tc>
          <w:tcPr>
            <w:tcW w:w="1755" w:type="dxa"/>
            <w:tcBorders>
              <w:top w:val="single" w:sz="4" w:space="0" w:color="000000"/>
              <w:left w:val="nil"/>
              <w:bottom w:val="dotted" w:sz="2" w:space="0" w:color="000000"/>
              <w:right w:val="nil"/>
              <w:tl2br w:val="nil"/>
              <w:tr2bl w:val="nil"/>
            </w:tcBorders>
            <w:noWrap/>
            <w:tcMar>
              <w:left w:w="40" w:type="dxa"/>
              <w:right w:w="40" w:type="dxa"/>
            </w:tcMar>
            <w:vAlign w:val="bottom"/>
          </w:tcPr>
          <w:p w14:paraId="71F3E76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10.1 </w:t>
            </w:r>
            <w:r>
              <w:rPr>
                <w:rFonts w:ascii="Arial" w:eastAsia="Arial" w:hAnsi="Arial" w:cs="Arial"/>
                <w:color w:val="000000"/>
                <w:sz w:val="18"/>
                <w:vertAlign w:val="superscript"/>
              </w:rPr>
              <w:t xml:space="preserve"> </w:t>
            </w:r>
          </w:p>
        </w:tc>
      </w:tr>
      <w:tr w:rsidR="00510CAA" w14:paraId="71F3E77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6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6D" w14:textId="77777777" w:rsidR="00510CAA" w:rsidRDefault="003A4815">
            <w:pPr>
              <w:keepNext/>
              <w:rPr>
                <w:rFonts w:ascii="Arial" w:eastAsia="Arial" w:hAnsi="Arial" w:cs="Arial"/>
                <w:color w:val="000000"/>
                <w:sz w:val="18"/>
              </w:rPr>
            </w:pPr>
            <w:r>
              <w:rPr>
                <w:rFonts w:ascii="Arial" w:eastAsia="Arial" w:hAnsi="Arial" w:cs="Arial"/>
                <w:color w:val="000000"/>
                <w:sz w:val="18"/>
              </w:rPr>
              <w:t>Amphitrite</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6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98,697</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6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2012</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12.5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13.2 </w:t>
            </w:r>
            <w:r>
              <w:rPr>
                <w:rFonts w:ascii="Arial" w:eastAsia="Arial" w:hAnsi="Arial" w:cs="Arial"/>
                <w:color w:val="000000"/>
                <w:sz w:val="18"/>
                <w:vertAlign w:val="superscript"/>
              </w:rPr>
              <w:t xml:space="preserve"> </w:t>
            </w:r>
          </w:p>
        </w:tc>
      </w:tr>
      <w:tr w:rsidR="00510CAA" w14:paraId="71F3E77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4" w14:textId="77777777" w:rsidR="00510CAA" w:rsidRDefault="003A4815">
            <w:pPr>
              <w:keepNext/>
              <w:rPr>
                <w:rFonts w:ascii="Arial" w:eastAsia="Arial" w:hAnsi="Arial" w:cs="Arial"/>
                <w:color w:val="000000"/>
                <w:sz w:val="18"/>
              </w:rPr>
            </w:pPr>
            <w:r>
              <w:rPr>
                <w:rFonts w:ascii="Arial" w:eastAsia="Arial" w:hAnsi="Arial" w:cs="Arial"/>
                <w:color w:val="000000"/>
                <w:sz w:val="18"/>
              </w:rPr>
              <w:t>Astarte</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81,513</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15.9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17.0 </w:t>
            </w:r>
            <w:r>
              <w:rPr>
                <w:rFonts w:ascii="Arial" w:eastAsia="Arial" w:hAnsi="Arial" w:cs="Arial"/>
                <w:color w:val="000000"/>
                <w:sz w:val="18"/>
                <w:vertAlign w:val="superscript"/>
              </w:rPr>
              <w:t xml:space="preserve"> </w:t>
            </w:r>
          </w:p>
        </w:tc>
      </w:tr>
      <w:tr w:rsidR="00510CAA" w14:paraId="71F3E7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B" w14:textId="77777777" w:rsidR="00510CAA" w:rsidRDefault="003A4815">
            <w:pPr>
              <w:keepNext/>
              <w:rPr>
                <w:rFonts w:ascii="Arial" w:eastAsia="Arial" w:hAnsi="Arial" w:cs="Arial"/>
                <w:color w:val="000000"/>
                <w:sz w:val="18"/>
              </w:rPr>
            </w:pPr>
            <w:r>
              <w:rPr>
                <w:rFonts w:ascii="Arial" w:eastAsia="Arial" w:hAnsi="Arial" w:cs="Arial"/>
                <w:color w:val="000000"/>
                <w:sz w:val="18"/>
              </w:rPr>
              <w:t>Atalandi</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77,529</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2014</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15.1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7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16.0 </w:t>
            </w:r>
            <w:r>
              <w:rPr>
                <w:rFonts w:ascii="Arial" w:eastAsia="Arial" w:hAnsi="Arial" w:cs="Arial"/>
                <w:color w:val="000000"/>
                <w:sz w:val="18"/>
                <w:vertAlign w:val="superscript"/>
              </w:rPr>
              <w:t xml:space="preserve"> </w:t>
            </w:r>
          </w:p>
        </w:tc>
      </w:tr>
      <w:tr w:rsidR="00510CAA" w14:paraId="71F3E78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2" w14:textId="77777777" w:rsidR="00510CAA" w:rsidRDefault="003A4815">
            <w:pPr>
              <w:keepNext/>
              <w:rPr>
                <w:rFonts w:ascii="Arial" w:eastAsia="Arial" w:hAnsi="Arial" w:cs="Arial"/>
                <w:color w:val="000000"/>
                <w:sz w:val="18"/>
              </w:rPr>
            </w:pPr>
            <w:r>
              <w:rPr>
                <w:rFonts w:ascii="Arial" w:eastAsia="Arial" w:hAnsi="Arial" w:cs="Arial"/>
                <w:color w:val="000000"/>
                <w:sz w:val="18"/>
              </w:rPr>
              <w:t>Crystalia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77,525</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2014</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14.8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15.7 </w:t>
            </w:r>
            <w:r>
              <w:rPr>
                <w:rFonts w:ascii="Arial" w:eastAsia="Arial" w:hAnsi="Arial" w:cs="Arial"/>
                <w:color w:val="000000"/>
                <w:sz w:val="18"/>
                <w:vertAlign w:val="superscript"/>
              </w:rPr>
              <w:t xml:space="preserve"> </w:t>
            </w:r>
          </w:p>
        </w:tc>
      </w:tr>
      <w:tr w:rsidR="00510CAA" w14:paraId="71F3E78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9" w14:textId="77777777" w:rsidR="00510CAA" w:rsidRDefault="003A4815">
            <w:pPr>
              <w:keepNext/>
              <w:rPr>
                <w:rFonts w:ascii="Arial" w:eastAsia="Arial" w:hAnsi="Arial" w:cs="Arial"/>
                <w:color w:val="000000"/>
                <w:sz w:val="18"/>
              </w:rPr>
            </w:pPr>
            <w:r>
              <w:rPr>
                <w:rFonts w:ascii="Arial" w:eastAsia="Arial" w:hAnsi="Arial" w:cs="Arial"/>
                <w:color w:val="000000"/>
                <w:sz w:val="18"/>
              </w:rPr>
              <w:t>Electra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87,150</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12.8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13.4 </w:t>
            </w:r>
            <w:r>
              <w:rPr>
                <w:rFonts w:ascii="Arial" w:eastAsia="Arial" w:hAnsi="Arial" w:cs="Arial"/>
                <w:color w:val="000000"/>
                <w:sz w:val="18"/>
                <w:vertAlign w:val="superscript"/>
              </w:rPr>
              <w:t xml:space="preserve"> </w:t>
            </w:r>
          </w:p>
        </w:tc>
      </w:tr>
      <w:tr w:rsidR="00510CAA" w14:paraId="71F3E79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8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0" w14:textId="77777777" w:rsidR="00510CAA" w:rsidRDefault="003A4815">
            <w:pPr>
              <w:keepNext/>
              <w:rPr>
                <w:rFonts w:ascii="Arial" w:eastAsia="Arial" w:hAnsi="Arial" w:cs="Arial"/>
                <w:color w:val="000000"/>
                <w:sz w:val="18"/>
              </w:rPr>
            </w:pPr>
            <w:r>
              <w:rPr>
                <w:rFonts w:ascii="Arial" w:eastAsia="Arial" w:hAnsi="Arial" w:cs="Arial"/>
                <w:color w:val="000000"/>
                <w:sz w:val="18"/>
              </w:rPr>
              <w:t>G.P. Zafirakis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179,492</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2014</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22.6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23.8 </w:t>
            </w:r>
            <w:r>
              <w:rPr>
                <w:rFonts w:ascii="Arial" w:eastAsia="Arial" w:hAnsi="Arial" w:cs="Arial"/>
                <w:color w:val="000000"/>
                <w:sz w:val="18"/>
                <w:vertAlign w:val="superscript"/>
              </w:rPr>
              <w:t xml:space="preserve"> </w:t>
            </w:r>
          </w:p>
        </w:tc>
      </w:tr>
      <w:tr w:rsidR="00510CAA" w14:paraId="71F3E79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7" w14:textId="77777777" w:rsidR="00510CAA" w:rsidRDefault="003A4815">
            <w:pPr>
              <w:keepNext/>
              <w:rPr>
                <w:rFonts w:ascii="Arial" w:eastAsia="Arial" w:hAnsi="Arial" w:cs="Arial"/>
                <w:color w:val="000000"/>
                <w:sz w:val="18"/>
              </w:rPr>
            </w:pPr>
            <w:r>
              <w:rPr>
                <w:rFonts w:ascii="Arial" w:eastAsia="Arial" w:hAnsi="Arial" w:cs="Arial"/>
                <w:color w:val="000000"/>
                <w:sz w:val="18"/>
              </w:rPr>
              <w:t>Ismene</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77,901</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10.6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11.1 </w:t>
            </w:r>
            <w:r>
              <w:rPr>
                <w:rFonts w:ascii="Arial" w:eastAsia="Arial" w:hAnsi="Arial" w:cs="Arial"/>
                <w:color w:val="000000"/>
                <w:sz w:val="18"/>
                <w:vertAlign w:val="superscript"/>
              </w:rPr>
              <w:t xml:space="preserve"> </w:t>
            </w:r>
          </w:p>
        </w:tc>
      </w:tr>
      <w:tr w:rsidR="00510CAA" w14:paraId="71F3E7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9</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E" w14:textId="77777777" w:rsidR="00510CAA" w:rsidRDefault="003A4815">
            <w:pPr>
              <w:keepNext/>
              <w:rPr>
                <w:rFonts w:ascii="Arial" w:eastAsia="Arial" w:hAnsi="Arial" w:cs="Arial"/>
                <w:color w:val="000000"/>
                <w:sz w:val="18"/>
              </w:rPr>
            </w:pPr>
            <w:r>
              <w:rPr>
                <w:rFonts w:ascii="Arial" w:eastAsia="Arial" w:hAnsi="Arial" w:cs="Arial"/>
                <w:color w:val="000000"/>
                <w:sz w:val="18"/>
              </w:rPr>
              <w:t>Leto</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9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81,297</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12.4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12.1 </w:t>
            </w:r>
            <w:r>
              <w:rPr>
                <w:rFonts w:ascii="Arial" w:eastAsia="Arial" w:hAnsi="Arial" w:cs="Arial"/>
                <w:color w:val="000000"/>
                <w:sz w:val="18"/>
                <w:vertAlign w:val="superscript"/>
              </w:rPr>
              <w:t xml:space="preserve"> </w:t>
            </w:r>
          </w:p>
        </w:tc>
      </w:tr>
      <w:tr w:rsidR="00510CAA" w14:paraId="71F3E7A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5" w14:textId="77777777" w:rsidR="00510CAA" w:rsidRDefault="003A4815">
            <w:pPr>
              <w:keepNext/>
              <w:rPr>
                <w:rFonts w:ascii="Arial" w:eastAsia="Arial" w:hAnsi="Arial" w:cs="Arial"/>
                <w:color w:val="000000"/>
                <w:sz w:val="18"/>
              </w:rPr>
            </w:pPr>
            <w:r>
              <w:rPr>
                <w:rFonts w:ascii="Arial" w:eastAsia="Arial" w:hAnsi="Arial" w:cs="Arial"/>
                <w:color w:val="000000"/>
                <w:sz w:val="18"/>
              </w:rPr>
              <w:t>Los Angeles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206,104</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2012</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21.4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22.4 </w:t>
            </w:r>
            <w:r>
              <w:rPr>
                <w:rFonts w:ascii="Arial" w:eastAsia="Arial" w:hAnsi="Arial" w:cs="Arial"/>
                <w:color w:val="000000"/>
                <w:sz w:val="18"/>
                <w:vertAlign w:val="superscript"/>
              </w:rPr>
              <w:t xml:space="preserve"> </w:t>
            </w:r>
          </w:p>
        </w:tc>
      </w:tr>
      <w:tr w:rsidR="00510CAA" w14:paraId="71F3E7B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C" w14:textId="77777777" w:rsidR="00510CAA" w:rsidRDefault="003A4815">
            <w:pPr>
              <w:keepNext/>
              <w:rPr>
                <w:rFonts w:ascii="Arial" w:eastAsia="Arial" w:hAnsi="Arial" w:cs="Arial"/>
                <w:color w:val="000000"/>
                <w:sz w:val="18"/>
              </w:rPr>
            </w:pPr>
            <w:r>
              <w:rPr>
                <w:rFonts w:ascii="Arial" w:eastAsia="Arial" w:hAnsi="Arial" w:cs="Arial"/>
                <w:color w:val="000000"/>
                <w:sz w:val="18"/>
              </w:rPr>
              <w:t>Maera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75,403</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A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10.3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11.0 </w:t>
            </w:r>
            <w:r>
              <w:rPr>
                <w:rFonts w:ascii="Arial" w:eastAsia="Arial" w:hAnsi="Arial" w:cs="Arial"/>
                <w:color w:val="000000"/>
                <w:sz w:val="18"/>
                <w:vertAlign w:val="superscript"/>
              </w:rPr>
              <w:t xml:space="preserve"> </w:t>
            </w:r>
          </w:p>
        </w:tc>
      </w:tr>
      <w:tr w:rsidR="00510CAA" w14:paraId="71F3E7B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3" w14:textId="77777777" w:rsidR="00510CAA" w:rsidRDefault="003A4815">
            <w:pPr>
              <w:keepNext/>
              <w:rPr>
                <w:rFonts w:ascii="Arial" w:eastAsia="Arial" w:hAnsi="Arial" w:cs="Arial"/>
                <w:color w:val="000000"/>
                <w:sz w:val="18"/>
              </w:rPr>
            </w:pPr>
            <w:r>
              <w:rPr>
                <w:rFonts w:ascii="Arial" w:eastAsia="Arial" w:hAnsi="Arial" w:cs="Arial"/>
                <w:color w:val="000000"/>
                <w:sz w:val="18"/>
              </w:rPr>
              <w:t>Maia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82,193</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2009</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11.4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12.4 </w:t>
            </w:r>
            <w:r>
              <w:rPr>
                <w:rFonts w:ascii="Arial" w:eastAsia="Arial" w:hAnsi="Arial" w:cs="Arial"/>
                <w:color w:val="000000"/>
                <w:sz w:val="18"/>
                <w:vertAlign w:val="superscript"/>
              </w:rPr>
              <w:t xml:space="preserve"> </w:t>
            </w:r>
          </w:p>
        </w:tc>
      </w:tr>
      <w:tr w:rsidR="00510CAA" w14:paraId="71F3E7B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A" w14:textId="77777777" w:rsidR="00510CAA" w:rsidRDefault="003A4815">
            <w:pPr>
              <w:keepNext/>
              <w:rPr>
                <w:rFonts w:ascii="Arial" w:eastAsia="Arial" w:hAnsi="Arial" w:cs="Arial"/>
                <w:color w:val="000000"/>
                <w:sz w:val="18"/>
              </w:rPr>
            </w:pPr>
            <w:r>
              <w:rPr>
                <w:rFonts w:ascii="Arial" w:eastAsia="Arial" w:hAnsi="Arial" w:cs="Arial"/>
                <w:color w:val="000000"/>
                <w:sz w:val="18"/>
              </w:rPr>
              <w:t>Medusa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82,194</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12.0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B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11.8 </w:t>
            </w:r>
            <w:r>
              <w:rPr>
                <w:rFonts w:ascii="Arial" w:eastAsia="Arial" w:hAnsi="Arial" w:cs="Arial"/>
                <w:color w:val="000000"/>
                <w:sz w:val="18"/>
                <w:vertAlign w:val="superscript"/>
              </w:rPr>
              <w:t xml:space="preserve"> </w:t>
            </w:r>
          </w:p>
        </w:tc>
      </w:tr>
      <w:tr w:rsidR="00510CAA" w14:paraId="71F3E7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1" w14:textId="77777777" w:rsidR="00510CAA" w:rsidRDefault="003A4815">
            <w:pPr>
              <w:keepNext/>
              <w:rPr>
                <w:rFonts w:ascii="Arial" w:eastAsia="Arial" w:hAnsi="Arial" w:cs="Arial"/>
                <w:color w:val="000000"/>
                <w:sz w:val="18"/>
              </w:rPr>
            </w:pPr>
            <w:r>
              <w:rPr>
                <w:rFonts w:ascii="Arial" w:eastAsia="Arial" w:hAnsi="Arial" w:cs="Arial"/>
                <w:color w:val="000000"/>
                <w:sz w:val="18"/>
              </w:rPr>
              <w:t>Myrsini</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82,117</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13.3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13.4 </w:t>
            </w:r>
            <w:r>
              <w:rPr>
                <w:rFonts w:ascii="Arial" w:eastAsia="Arial" w:hAnsi="Arial" w:cs="Arial"/>
                <w:color w:val="000000"/>
                <w:sz w:val="18"/>
                <w:vertAlign w:val="superscript"/>
              </w:rPr>
              <w:t xml:space="preserve"> </w:t>
            </w:r>
          </w:p>
        </w:tc>
      </w:tr>
      <w:tr w:rsidR="00510CAA" w14:paraId="71F3E7C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8" w14:textId="77777777" w:rsidR="00510CAA" w:rsidRDefault="003A4815">
            <w:pPr>
              <w:keepNext/>
              <w:rPr>
                <w:rFonts w:ascii="Arial" w:eastAsia="Arial" w:hAnsi="Arial" w:cs="Arial"/>
                <w:color w:val="000000"/>
                <w:sz w:val="18"/>
              </w:rPr>
            </w:pPr>
            <w:r>
              <w:rPr>
                <w:rFonts w:ascii="Arial" w:eastAsia="Arial" w:hAnsi="Arial" w:cs="Arial"/>
                <w:color w:val="000000"/>
                <w:sz w:val="18"/>
              </w:rPr>
              <w:t>Myrto</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82,131</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15.7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16.8 </w:t>
            </w:r>
            <w:r>
              <w:rPr>
                <w:rFonts w:ascii="Arial" w:eastAsia="Arial" w:hAnsi="Arial" w:cs="Arial"/>
                <w:color w:val="000000"/>
                <w:sz w:val="18"/>
                <w:vertAlign w:val="superscript"/>
              </w:rPr>
              <w:t xml:space="preserve"> </w:t>
            </w:r>
          </w:p>
        </w:tc>
      </w:tr>
      <w:tr w:rsidR="00510CAA" w14:paraId="71F3E7D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CF" w14:textId="77777777" w:rsidR="00510CAA" w:rsidRDefault="003A4815">
            <w:pPr>
              <w:keepNext/>
              <w:rPr>
                <w:rFonts w:ascii="Arial" w:eastAsia="Arial" w:hAnsi="Arial" w:cs="Arial"/>
                <w:color w:val="000000"/>
                <w:sz w:val="18"/>
              </w:rPr>
            </w:pPr>
            <w:r>
              <w:rPr>
                <w:rFonts w:ascii="Arial" w:eastAsia="Arial" w:hAnsi="Arial" w:cs="Arial"/>
                <w:color w:val="000000"/>
                <w:sz w:val="18"/>
              </w:rPr>
              <w:t>New Orleans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180,960</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2015</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31.3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30.4 </w:t>
            </w:r>
            <w:r>
              <w:rPr>
                <w:rFonts w:ascii="Arial" w:eastAsia="Arial" w:hAnsi="Arial" w:cs="Arial"/>
                <w:color w:val="000000"/>
                <w:sz w:val="18"/>
                <w:vertAlign w:val="superscript"/>
              </w:rPr>
              <w:t xml:space="preserve"> </w:t>
            </w:r>
          </w:p>
        </w:tc>
      </w:tr>
      <w:tr w:rsidR="00510CAA" w14:paraId="71F3E7D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6" w14:textId="77777777" w:rsidR="00510CAA" w:rsidRDefault="003A4815">
            <w:pPr>
              <w:keepNext/>
              <w:rPr>
                <w:rFonts w:ascii="Arial" w:eastAsia="Arial" w:hAnsi="Arial" w:cs="Arial"/>
                <w:color w:val="000000"/>
                <w:sz w:val="18"/>
              </w:rPr>
            </w:pPr>
            <w:r>
              <w:rPr>
                <w:rFonts w:ascii="Arial" w:eastAsia="Arial" w:hAnsi="Arial" w:cs="Arial"/>
                <w:color w:val="000000"/>
                <w:sz w:val="18"/>
              </w:rPr>
              <w:t>New York</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177,773</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15.3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13.7 </w:t>
            </w:r>
            <w:r>
              <w:rPr>
                <w:rFonts w:ascii="Arial" w:eastAsia="Arial" w:hAnsi="Arial" w:cs="Arial"/>
                <w:color w:val="000000"/>
                <w:sz w:val="18"/>
                <w:vertAlign w:val="superscript"/>
              </w:rPr>
              <w:t xml:space="preserve"> </w:t>
            </w:r>
          </w:p>
        </w:tc>
      </w:tr>
      <w:tr w:rsidR="00510CAA" w14:paraId="71F3E7E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D" w14:textId="77777777" w:rsidR="00510CAA" w:rsidRDefault="003A4815">
            <w:pPr>
              <w:keepNext/>
              <w:rPr>
                <w:rFonts w:ascii="Arial" w:eastAsia="Arial" w:hAnsi="Arial" w:cs="Arial"/>
                <w:color w:val="000000"/>
                <w:sz w:val="18"/>
              </w:rPr>
            </w:pPr>
            <w:r>
              <w:rPr>
                <w:rFonts w:ascii="Arial" w:eastAsia="Arial" w:hAnsi="Arial" w:cs="Arial"/>
                <w:color w:val="000000"/>
                <w:sz w:val="18"/>
              </w:rPr>
              <w:t>Newport News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208,021</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D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2017</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37.0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38.8 </w:t>
            </w:r>
            <w:r>
              <w:rPr>
                <w:rFonts w:ascii="Arial" w:eastAsia="Arial" w:hAnsi="Arial" w:cs="Arial"/>
                <w:color w:val="000000"/>
                <w:sz w:val="18"/>
                <w:vertAlign w:val="superscript"/>
              </w:rPr>
              <w:t xml:space="preserve"> </w:t>
            </w:r>
          </w:p>
        </w:tc>
      </w:tr>
      <w:tr w:rsidR="00510CAA" w14:paraId="71F3E7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4" w14:textId="77777777" w:rsidR="00510CAA" w:rsidRDefault="003A4815">
            <w:pPr>
              <w:keepNext/>
              <w:rPr>
                <w:rFonts w:ascii="Arial" w:eastAsia="Arial" w:hAnsi="Arial" w:cs="Arial"/>
                <w:color w:val="000000"/>
                <w:sz w:val="18"/>
              </w:rPr>
            </w:pPr>
            <w:r>
              <w:rPr>
                <w:rFonts w:ascii="Arial" w:eastAsia="Arial" w:hAnsi="Arial" w:cs="Arial"/>
                <w:color w:val="000000"/>
                <w:sz w:val="18"/>
              </w:rPr>
              <w:t>P.S. Palios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179,134</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31.4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33.3 </w:t>
            </w:r>
            <w:r>
              <w:rPr>
                <w:rFonts w:ascii="Arial" w:eastAsia="Arial" w:hAnsi="Arial" w:cs="Arial"/>
                <w:color w:val="000000"/>
                <w:sz w:val="18"/>
                <w:vertAlign w:val="superscript"/>
              </w:rPr>
              <w:t>*</w:t>
            </w:r>
          </w:p>
        </w:tc>
      </w:tr>
      <w:tr w:rsidR="00510CAA" w14:paraId="71F3E7F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20</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B" w14:textId="77777777" w:rsidR="00510CAA" w:rsidRDefault="003A4815">
            <w:pPr>
              <w:keepNext/>
              <w:rPr>
                <w:rFonts w:ascii="Arial" w:eastAsia="Arial" w:hAnsi="Arial" w:cs="Arial"/>
                <w:color w:val="000000"/>
                <w:sz w:val="18"/>
              </w:rPr>
            </w:pPr>
            <w:r>
              <w:rPr>
                <w:rFonts w:ascii="Arial" w:eastAsia="Arial" w:hAnsi="Arial" w:cs="Arial"/>
                <w:color w:val="000000"/>
                <w:sz w:val="18"/>
              </w:rPr>
              <w:t>Phaidra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87,146</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2013</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12.1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E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12.9 </w:t>
            </w:r>
            <w:r>
              <w:rPr>
                <w:rFonts w:ascii="Arial" w:eastAsia="Arial" w:hAnsi="Arial" w:cs="Arial"/>
                <w:color w:val="000000"/>
                <w:sz w:val="18"/>
                <w:vertAlign w:val="superscript"/>
              </w:rPr>
              <w:t xml:space="preserve"> </w:t>
            </w:r>
          </w:p>
        </w:tc>
      </w:tr>
      <w:tr w:rsidR="00510CAA" w14:paraId="71F3E7F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2" w14:textId="77777777" w:rsidR="00510CAA" w:rsidRDefault="003A4815">
            <w:pPr>
              <w:keepNext/>
              <w:rPr>
                <w:rFonts w:ascii="Arial" w:eastAsia="Arial" w:hAnsi="Arial" w:cs="Arial"/>
                <w:color w:val="000000"/>
                <w:sz w:val="18"/>
              </w:rPr>
            </w:pPr>
            <w:r>
              <w:rPr>
                <w:rFonts w:ascii="Arial" w:eastAsia="Arial" w:hAnsi="Arial" w:cs="Arial"/>
                <w:color w:val="000000"/>
                <w:sz w:val="18"/>
              </w:rPr>
              <w:t>Philadelphia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206,040</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2012</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22.0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23.1 </w:t>
            </w:r>
            <w:r>
              <w:rPr>
                <w:rFonts w:ascii="Arial" w:eastAsia="Arial" w:hAnsi="Arial" w:cs="Arial"/>
                <w:color w:val="000000"/>
                <w:sz w:val="18"/>
                <w:vertAlign w:val="superscript"/>
              </w:rPr>
              <w:t xml:space="preserve"> </w:t>
            </w:r>
          </w:p>
        </w:tc>
      </w:tr>
      <w:tr w:rsidR="00510CAA" w14:paraId="71F3E7F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22</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9" w14:textId="77777777" w:rsidR="00510CAA" w:rsidRDefault="003A4815">
            <w:pPr>
              <w:keepNext/>
              <w:rPr>
                <w:rFonts w:ascii="Arial" w:eastAsia="Arial" w:hAnsi="Arial" w:cs="Arial"/>
                <w:color w:val="000000"/>
                <w:sz w:val="18"/>
              </w:rPr>
            </w:pPr>
            <w:r>
              <w:rPr>
                <w:rFonts w:ascii="Arial" w:eastAsia="Arial" w:hAnsi="Arial" w:cs="Arial"/>
                <w:color w:val="000000"/>
                <w:sz w:val="18"/>
              </w:rPr>
              <w:t>Polymnia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98,704</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2012</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12.8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13.5 </w:t>
            </w:r>
            <w:r>
              <w:rPr>
                <w:rFonts w:ascii="Arial" w:eastAsia="Arial" w:hAnsi="Arial" w:cs="Arial"/>
                <w:color w:val="000000"/>
                <w:sz w:val="18"/>
                <w:vertAlign w:val="superscript"/>
              </w:rPr>
              <w:t xml:space="preserve"> </w:t>
            </w:r>
          </w:p>
        </w:tc>
      </w:tr>
      <w:tr w:rsidR="00510CAA" w14:paraId="71F3E80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7F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0" w14:textId="77777777" w:rsidR="00510CAA" w:rsidRDefault="003A4815">
            <w:pPr>
              <w:keepNext/>
              <w:rPr>
                <w:rFonts w:ascii="Arial" w:eastAsia="Arial" w:hAnsi="Arial" w:cs="Arial"/>
                <w:color w:val="000000"/>
                <w:sz w:val="18"/>
              </w:rPr>
            </w:pPr>
            <w:r>
              <w:rPr>
                <w:rFonts w:ascii="Arial" w:eastAsia="Arial" w:hAnsi="Arial" w:cs="Arial"/>
                <w:color w:val="000000"/>
                <w:sz w:val="18"/>
              </w:rPr>
              <w:t>San Francisco</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208,006</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2017</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37.1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38.9 </w:t>
            </w:r>
            <w:r>
              <w:rPr>
                <w:rFonts w:ascii="Arial" w:eastAsia="Arial" w:hAnsi="Arial" w:cs="Arial"/>
                <w:color w:val="000000"/>
                <w:sz w:val="18"/>
                <w:vertAlign w:val="superscript"/>
              </w:rPr>
              <w:t xml:space="preserve"> </w:t>
            </w:r>
          </w:p>
        </w:tc>
      </w:tr>
      <w:tr w:rsidR="00510CAA" w14:paraId="71F3E80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24</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7" w14:textId="77777777" w:rsidR="00510CAA" w:rsidRDefault="003A4815">
            <w:pPr>
              <w:keepNext/>
              <w:rPr>
                <w:rFonts w:ascii="Arial" w:eastAsia="Arial" w:hAnsi="Arial" w:cs="Arial"/>
                <w:color w:val="000000"/>
                <w:sz w:val="18"/>
              </w:rPr>
            </w:pPr>
            <w:r>
              <w:rPr>
                <w:rFonts w:ascii="Arial" w:eastAsia="Arial" w:hAnsi="Arial" w:cs="Arial"/>
                <w:color w:val="000000"/>
                <w:sz w:val="18"/>
              </w:rPr>
              <w:t>Santa Barbara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179,426</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2015</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33.7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35.7 </w:t>
            </w:r>
            <w:r>
              <w:rPr>
                <w:rFonts w:ascii="Arial" w:eastAsia="Arial" w:hAnsi="Arial" w:cs="Arial"/>
                <w:color w:val="000000"/>
                <w:sz w:val="18"/>
                <w:vertAlign w:val="superscript"/>
              </w:rPr>
              <w:t>*</w:t>
            </w:r>
          </w:p>
        </w:tc>
      </w:tr>
      <w:tr w:rsidR="00510CAA" w14:paraId="71F3E81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25</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E" w14:textId="77777777" w:rsidR="00510CAA" w:rsidRDefault="003A4815">
            <w:pPr>
              <w:keepNext/>
              <w:rPr>
                <w:rFonts w:ascii="Arial" w:eastAsia="Arial" w:hAnsi="Arial" w:cs="Arial"/>
                <w:color w:val="000000"/>
                <w:sz w:val="18"/>
              </w:rPr>
            </w:pPr>
            <w:r>
              <w:rPr>
                <w:rFonts w:ascii="Arial" w:eastAsia="Arial" w:hAnsi="Arial" w:cs="Arial"/>
                <w:color w:val="000000"/>
                <w:sz w:val="18"/>
              </w:rPr>
              <w:t>Seattle</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0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179,362</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2011</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21.0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20.2 </w:t>
            </w:r>
            <w:r>
              <w:rPr>
                <w:rFonts w:ascii="Arial" w:eastAsia="Arial" w:hAnsi="Arial" w:cs="Arial"/>
                <w:color w:val="000000"/>
                <w:sz w:val="18"/>
                <w:vertAlign w:val="superscript"/>
              </w:rPr>
              <w:t xml:space="preserve"> </w:t>
            </w:r>
          </w:p>
        </w:tc>
      </w:tr>
      <w:tr w:rsidR="00510CAA" w14:paraId="71F3E81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26</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5" w14:textId="77777777" w:rsidR="00510CAA" w:rsidRDefault="003A4815">
            <w:pPr>
              <w:keepNext/>
              <w:rPr>
                <w:rFonts w:ascii="Arial" w:eastAsia="Arial" w:hAnsi="Arial" w:cs="Arial"/>
                <w:color w:val="000000"/>
                <w:sz w:val="18"/>
              </w:rPr>
            </w:pPr>
            <w:r>
              <w:rPr>
                <w:rFonts w:ascii="Arial" w:eastAsia="Arial" w:hAnsi="Arial" w:cs="Arial"/>
                <w:color w:val="000000"/>
                <w:sz w:val="18"/>
              </w:rPr>
              <w:t>Selina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75,700</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2010</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8.6 </w:t>
            </w:r>
            <w:r>
              <w:rPr>
                <w:rFonts w:ascii="Arial" w:eastAsia="Arial" w:hAnsi="Arial" w:cs="Arial"/>
                <w:color w:val="000000"/>
                <w:sz w:val="18"/>
                <w:vertAlign w:val="superscript"/>
              </w:rPr>
              <w:t xml:space="preserve"> </w:t>
            </w:r>
          </w:p>
        </w:tc>
      </w:tr>
      <w:tr w:rsidR="00510CAA" w14:paraId="71F3E82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27</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C" w14:textId="77777777" w:rsidR="00510CAA" w:rsidRDefault="003A4815">
            <w:pPr>
              <w:keepNext/>
              <w:rPr>
                <w:rFonts w:ascii="Arial" w:eastAsia="Arial" w:hAnsi="Arial" w:cs="Arial"/>
                <w:color w:val="000000"/>
                <w:sz w:val="18"/>
              </w:rPr>
            </w:pPr>
            <w:r>
              <w:rPr>
                <w:rFonts w:ascii="Arial" w:eastAsia="Arial" w:hAnsi="Arial" w:cs="Arial"/>
                <w:color w:val="000000"/>
                <w:sz w:val="18"/>
              </w:rPr>
              <w:t>Semirio</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174,261</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2007</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1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15.7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14.7 </w:t>
            </w:r>
            <w:r>
              <w:rPr>
                <w:rFonts w:ascii="Arial" w:eastAsia="Arial" w:hAnsi="Arial" w:cs="Arial"/>
                <w:color w:val="000000"/>
                <w:sz w:val="18"/>
                <w:vertAlign w:val="superscript"/>
              </w:rPr>
              <w:t xml:space="preserve"> </w:t>
            </w:r>
          </w:p>
        </w:tc>
      </w:tr>
      <w:tr w:rsidR="00510CAA" w14:paraId="71F3E8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3" w14:textId="77777777" w:rsidR="00510CAA" w:rsidRDefault="003A4815">
            <w:pPr>
              <w:keepNext/>
              <w:rPr>
                <w:rFonts w:ascii="Arial" w:eastAsia="Arial" w:hAnsi="Arial" w:cs="Arial"/>
                <w:color w:val="000000"/>
                <w:sz w:val="18"/>
              </w:rPr>
            </w:pPr>
            <w:r>
              <w:rPr>
                <w:rFonts w:ascii="Arial" w:eastAsia="Arial" w:hAnsi="Arial" w:cs="Arial"/>
                <w:color w:val="000000"/>
                <w:sz w:val="18"/>
              </w:rPr>
              <w:t>LEONIDAS P.C.</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82,165</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2011</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18.9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19.5 </w:t>
            </w:r>
            <w:r>
              <w:rPr>
                <w:rFonts w:ascii="Arial" w:eastAsia="Arial" w:hAnsi="Arial" w:cs="Arial"/>
                <w:color w:val="000000"/>
                <w:sz w:val="18"/>
                <w:vertAlign w:val="superscript"/>
              </w:rPr>
              <w:t>*</w:t>
            </w:r>
          </w:p>
        </w:tc>
      </w:tr>
      <w:tr w:rsidR="00510CAA" w14:paraId="71F3E82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29</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A" w14:textId="77777777" w:rsidR="00510CAA" w:rsidRDefault="003A4815">
            <w:pPr>
              <w:keepNext/>
              <w:rPr>
                <w:rFonts w:ascii="Arial" w:eastAsia="Arial" w:hAnsi="Arial" w:cs="Arial"/>
                <w:color w:val="000000"/>
                <w:sz w:val="18"/>
              </w:rPr>
            </w:pPr>
            <w:r>
              <w:rPr>
                <w:rFonts w:ascii="Arial" w:eastAsia="Arial" w:hAnsi="Arial" w:cs="Arial"/>
                <w:color w:val="000000"/>
                <w:sz w:val="18"/>
              </w:rPr>
              <w:t>Florida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182,063</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2022</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53.0 </w:t>
            </w:r>
            <w:r>
              <w:rPr>
                <w:rFonts w:ascii="Arial" w:eastAsia="Arial" w:hAnsi="Arial" w:cs="Arial"/>
                <w:color w:val="000000"/>
                <w:sz w:val="18"/>
                <w:vertAlign w:val="superscript"/>
              </w:rPr>
              <w:t xml:space="preserve"> </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2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55.0 </w:t>
            </w:r>
            <w:r>
              <w:rPr>
                <w:rFonts w:ascii="Arial" w:eastAsia="Arial" w:hAnsi="Arial" w:cs="Arial"/>
                <w:color w:val="000000"/>
                <w:sz w:val="18"/>
                <w:vertAlign w:val="superscript"/>
              </w:rPr>
              <w:t xml:space="preserve"> </w:t>
            </w:r>
          </w:p>
        </w:tc>
      </w:tr>
      <w:tr w:rsidR="00510CAA" w14:paraId="71F3E8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30</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1" w14:textId="77777777" w:rsidR="00510CAA" w:rsidRDefault="003A4815">
            <w:pPr>
              <w:keepNext/>
              <w:rPr>
                <w:rFonts w:ascii="Arial" w:eastAsia="Arial" w:hAnsi="Arial" w:cs="Arial"/>
                <w:color w:val="000000"/>
                <w:sz w:val="18"/>
              </w:rPr>
            </w:pPr>
            <w:r>
              <w:rPr>
                <w:rFonts w:ascii="Arial" w:eastAsia="Arial" w:hAnsi="Arial" w:cs="Arial"/>
                <w:color w:val="000000"/>
                <w:sz w:val="18"/>
              </w:rPr>
              <w:t>DSI Pyxis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60,362</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2018</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32.1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33.8 </w:t>
            </w:r>
            <w:r>
              <w:rPr>
                <w:rFonts w:ascii="Arial" w:eastAsia="Arial" w:hAnsi="Arial" w:cs="Arial"/>
                <w:color w:val="000000"/>
                <w:sz w:val="18"/>
                <w:vertAlign w:val="superscript"/>
              </w:rPr>
              <w:t>*</w:t>
            </w:r>
          </w:p>
        </w:tc>
      </w:tr>
      <w:tr w:rsidR="00510CAA" w14:paraId="71F3E83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31</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8" w14:textId="77777777" w:rsidR="00510CAA" w:rsidRDefault="003A4815">
            <w:pPr>
              <w:keepNext/>
              <w:rPr>
                <w:rFonts w:ascii="Arial" w:eastAsia="Arial" w:hAnsi="Arial" w:cs="Arial"/>
                <w:color w:val="000000"/>
                <w:sz w:val="18"/>
              </w:rPr>
            </w:pPr>
            <w:r>
              <w:rPr>
                <w:rFonts w:ascii="Arial" w:eastAsia="Arial" w:hAnsi="Arial" w:cs="Arial"/>
                <w:color w:val="000000"/>
                <w:sz w:val="18"/>
              </w:rPr>
              <w:t>DSI Pollux</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60,446</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2015</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27.9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28.4 </w:t>
            </w:r>
            <w:r>
              <w:rPr>
                <w:rFonts w:ascii="Arial" w:eastAsia="Arial" w:hAnsi="Arial" w:cs="Arial"/>
                <w:color w:val="000000"/>
                <w:sz w:val="18"/>
                <w:vertAlign w:val="superscript"/>
              </w:rPr>
              <w:t>*</w:t>
            </w:r>
          </w:p>
        </w:tc>
      </w:tr>
      <w:tr w:rsidR="00510CAA" w14:paraId="71F3E84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32</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3F" w14:textId="77777777" w:rsidR="00510CAA" w:rsidRDefault="003A4815">
            <w:pPr>
              <w:keepNext/>
              <w:rPr>
                <w:rFonts w:ascii="Arial" w:eastAsia="Arial" w:hAnsi="Arial" w:cs="Arial"/>
                <w:color w:val="000000"/>
                <w:sz w:val="18"/>
              </w:rPr>
            </w:pPr>
            <w:r>
              <w:rPr>
                <w:rFonts w:ascii="Arial" w:eastAsia="Arial" w:hAnsi="Arial" w:cs="Arial"/>
                <w:color w:val="000000"/>
                <w:sz w:val="18"/>
              </w:rPr>
              <w:t>DSI Phoenix</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60,456</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2017</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2"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29.5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31.1 </w:t>
            </w:r>
            <w:r>
              <w:rPr>
                <w:rFonts w:ascii="Arial" w:eastAsia="Arial" w:hAnsi="Arial" w:cs="Arial"/>
                <w:color w:val="000000"/>
                <w:sz w:val="18"/>
                <w:vertAlign w:val="superscript"/>
              </w:rPr>
              <w:t>*</w:t>
            </w:r>
          </w:p>
        </w:tc>
      </w:tr>
      <w:tr w:rsidR="00510CAA" w14:paraId="71F3E84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33</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6" w14:textId="77777777" w:rsidR="00510CAA" w:rsidRDefault="003A4815">
            <w:pPr>
              <w:keepNext/>
              <w:rPr>
                <w:rFonts w:ascii="Arial" w:eastAsia="Arial" w:hAnsi="Arial" w:cs="Arial"/>
                <w:color w:val="000000"/>
                <w:sz w:val="18"/>
              </w:rPr>
            </w:pPr>
            <w:r>
              <w:rPr>
                <w:rFonts w:ascii="Arial" w:eastAsia="Arial" w:hAnsi="Arial" w:cs="Arial"/>
                <w:color w:val="000000"/>
                <w:sz w:val="18"/>
              </w:rPr>
              <w:t>DSI Polaris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60,404</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2018</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9"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32.7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34.4 </w:t>
            </w:r>
            <w:r>
              <w:rPr>
                <w:rFonts w:ascii="Arial" w:eastAsia="Arial" w:hAnsi="Arial" w:cs="Arial"/>
                <w:color w:val="000000"/>
                <w:sz w:val="18"/>
                <w:vertAlign w:val="superscript"/>
              </w:rPr>
              <w:t>*</w:t>
            </w:r>
          </w:p>
        </w:tc>
      </w:tr>
      <w:tr w:rsidR="00510CAA" w14:paraId="71F3E85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34</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D" w14:textId="77777777" w:rsidR="00510CAA" w:rsidRDefault="003A4815">
            <w:pPr>
              <w:keepNext/>
              <w:rPr>
                <w:rFonts w:ascii="Arial" w:eastAsia="Arial" w:hAnsi="Arial" w:cs="Arial"/>
                <w:color w:val="000000"/>
                <w:sz w:val="18"/>
              </w:rPr>
            </w:pPr>
            <w:r>
              <w:rPr>
                <w:rFonts w:ascii="Arial" w:eastAsia="Arial" w:hAnsi="Arial" w:cs="Arial"/>
                <w:color w:val="000000"/>
                <w:sz w:val="18"/>
              </w:rPr>
              <w:t>DSI Andromeda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60,309</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4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2016</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0"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29.3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1"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30.2 </w:t>
            </w:r>
            <w:r>
              <w:rPr>
                <w:rFonts w:ascii="Arial" w:eastAsia="Arial" w:hAnsi="Arial" w:cs="Arial"/>
                <w:color w:val="000000"/>
                <w:sz w:val="18"/>
                <w:vertAlign w:val="superscript"/>
              </w:rPr>
              <w:t>*</w:t>
            </w:r>
          </w:p>
        </w:tc>
      </w:tr>
      <w:tr w:rsidR="00510CAA" w14:paraId="71F3E85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35</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4" w14:textId="77777777" w:rsidR="00510CAA" w:rsidRDefault="003A4815">
            <w:pPr>
              <w:keepNext/>
              <w:rPr>
                <w:rFonts w:ascii="Arial" w:eastAsia="Arial" w:hAnsi="Arial" w:cs="Arial"/>
                <w:color w:val="000000"/>
                <w:sz w:val="18"/>
              </w:rPr>
            </w:pPr>
            <w:r>
              <w:rPr>
                <w:rFonts w:ascii="Arial" w:eastAsia="Arial" w:hAnsi="Arial" w:cs="Arial"/>
                <w:color w:val="000000"/>
                <w:sz w:val="18"/>
              </w:rPr>
              <w:t>DSI Aquila</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60,309</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2015</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7"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27.8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8"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28.5 </w:t>
            </w:r>
            <w:r>
              <w:rPr>
                <w:rFonts w:ascii="Arial" w:eastAsia="Arial" w:hAnsi="Arial" w:cs="Arial"/>
                <w:color w:val="000000"/>
                <w:sz w:val="18"/>
                <w:vertAlign w:val="superscript"/>
              </w:rPr>
              <w:t>*</w:t>
            </w:r>
          </w:p>
        </w:tc>
      </w:tr>
      <w:tr w:rsidR="00510CAA" w14:paraId="71F3E86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B" w14:textId="77777777" w:rsidR="00510CAA" w:rsidRDefault="003A4815">
            <w:pPr>
              <w:keepNext/>
              <w:rPr>
                <w:rFonts w:ascii="Arial" w:eastAsia="Arial" w:hAnsi="Arial" w:cs="Arial"/>
                <w:color w:val="000000"/>
                <w:sz w:val="18"/>
              </w:rPr>
            </w:pPr>
            <w:r>
              <w:rPr>
                <w:rFonts w:ascii="Arial" w:eastAsia="Arial" w:hAnsi="Arial" w:cs="Arial"/>
                <w:color w:val="000000"/>
                <w:sz w:val="18"/>
              </w:rPr>
              <w:t>DSI Pegasus</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60,508</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2015</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E"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27.0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5F"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27.3 </w:t>
            </w:r>
            <w:r>
              <w:rPr>
                <w:rFonts w:ascii="Arial" w:eastAsia="Arial" w:hAnsi="Arial" w:cs="Arial"/>
                <w:color w:val="000000"/>
                <w:sz w:val="18"/>
                <w:vertAlign w:val="superscript"/>
              </w:rPr>
              <w:t>*</w:t>
            </w:r>
          </w:p>
        </w:tc>
      </w:tr>
      <w:tr w:rsidR="00510CAA" w14:paraId="71F3E86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37</w:t>
            </w:r>
          </w:p>
        </w:tc>
        <w:tc>
          <w:tcPr>
            <w:tcW w:w="2850"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2" w14:textId="77777777" w:rsidR="00510CAA" w:rsidRDefault="003A4815">
            <w:pPr>
              <w:keepNext/>
              <w:rPr>
                <w:rFonts w:ascii="Arial" w:eastAsia="Arial" w:hAnsi="Arial" w:cs="Arial"/>
                <w:color w:val="000000"/>
                <w:sz w:val="18"/>
              </w:rPr>
            </w:pPr>
            <w:r>
              <w:rPr>
                <w:rFonts w:ascii="Arial" w:eastAsia="Arial" w:hAnsi="Arial" w:cs="Arial"/>
                <w:color w:val="000000"/>
                <w:sz w:val="18"/>
              </w:rPr>
              <w:t>DSI Altair</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3"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60,309</w:t>
            </w:r>
          </w:p>
        </w:tc>
        <w:tc>
          <w:tcPr>
            <w:tcW w:w="160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4"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2016</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5"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28.2 </w:t>
            </w:r>
            <w:r>
              <w:rPr>
                <w:rFonts w:ascii="Arial" w:eastAsia="Arial" w:hAnsi="Arial" w:cs="Arial"/>
                <w:color w:val="000000"/>
                <w:sz w:val="18"/>
                <w:vertAlign w:val="superscript"/>
              </w:rPr>
              <w:t>*</w:t>
            </w:r>
          </w:p>
        </w:tc>
        <w:tc>
          <w:tcPr>
            <w:tcW w:w="1755" w:type="dxa"/>
            <w:tcBorders>
              <w:top w:val="dotted" w:sz="2" w:space="0" w:color="000000"/>
              <w:left w:val="nil"/>
              <w:bottom w:val="dotted" w:sz="2" w:space="0" w:color="000000"/>
              <w:right w:val="nil"/>
              <w:tl2br w:val="nil"/>
              <w:tr2bl w:val="nil"/>
            </w:tcBorders>
            <w:noWrap/>
            <w:tcMar>
              <w:left w:w="40" w:type="dxa"/>
              <w:right w:w="40" w:type="dxa"/>
            </w:tcMar>
            <w:vAlign w:val="bottom"/>
          </w:tcPr>
          <w:p w14:paraId="71F3E866"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29.7 </w:t>
            </w:r>
            <w:r>
              <w:rPr>
                <w:rFonts w:ascii="Arial" w:eastAsia="Arial" w:hAnsi="Arial" w:cs="Arial"/>
                <w:color w:val="000000"/>
                <w:sz w:val="18"/>
                <w:vertAlign w:val="superscript"/>
              </w:rPr>
              <w:t>*</w:t>
            </w:r>
          </w:p>
        </w:tc>
      </w:tr>
      <w:tr w:rsidR="00510CAA" w14:paraId="71F3E8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38</w:t>
            </w:r>
          </w:p>
        </w:tc>
        <w:tc>
          <w:tcPr>
            <w:tcW w:w="2850"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9" w14:textId="77777777" w:rsidR="00510CAA" w:rsidRDefault="003A4815">
            <w:pPr>
              <w:keepNext/>
              <w:rPr>
                <w:rFonts w:ascii="Arial" w:eastAsia="Arial" w:hAnsi="Arial" w:cs="Arial"/>
                <w:color w:val="000000"/>
                <w:sz w:val="18"/>
              </w:rPr>
            </w:pPr>
            <w:r>
              <w:rPr>
                <w:rFonts w:ascii="Arial" w:eastAsia="Arial" w:hAnsi="Arial" w:cs="Arial"/>
                <w:color w:val="000000"/>
                <w:sz w:val="18"/>
              </w:rPr>
              <w:t>DSI Aquarius</w:t>
            </w:r>
          </w:p>
        </w:tc>
        <w:tc>
          <w:tcPr>
            <w:tcW w:w="1605"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60,309</w:t>
            </w:r>
          </w:p>
        </w:tc>
        <w:tc>
          <w:tcPr>
            <w:tcW w:w="1605"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2016</w:t>
            </w:r>
          </w:p>
        </w:tc>
        <w:tc>
          <w:tcPr>
            <w:tcW w:w="1755"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C"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28.0 </w:t>
            </w:r>
            <w:r>
              <w:rPr>
                <w:rFonts w:ascii="Arial" w:eastAsia="Arial" w:hAnsi="Arial" w:cs="Arial"/>
                <w:color w:val="000000"/>
                <w:sz w:val="18"/>
                <w:vertAlign w:val="superscript"/>
              </w:rPr>
              <w:t>*</w:t>
            </w:r>
          </w:p>
        </w:tc>
        <w:tc>
          <w:tcPr>
            <w:tcW w:w="1755" w:type="dxa"/>
            <w:tcBorders>
              <w:top w:val="dotted" w:sz="2" w:space="0" w:color="000000"/>
              <w:left w:val="nil"/>
              <w:bottom w:val="single" w:sz="4" w:space="0" w:color="000000"/>
              <w:right w:val="nil"/>
              <w:tl2br w:val="nil"/>
              <w:tr2bl w:val="nil"/>
            </w:tcBorders>
            <w:noWrap/>
            <w:tcMar>
              <w:left w:w="40" w:type="dxa"/>
              <w:right w:w="40" w:type="dxa"/>
            </w:tcMar>
            <w:vAlign w:val="bottom"/>
          </w:tcPr>
          <w:p w14:paraId="71F3E86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 xml:space="preserve"> 29.5 </w:t>
            </w:r>
            <w:r>
              <w:rPr>
                <w:rFonts w:ascii="Arial" w:eastAsia="Arial" w:hAnsi="Arial" w:cs="Arial"/>
                <w:color w:val="000000"/>
                <w:sz w:val="18"/>
                <w:vertAlign w:val="superscript"/>
              </w:rPr>
              <w:t>*</w:t>
            </w:r>
          </w:p>
        </w:tc>
      </w:tr>
      <w:tr w:rsidR="00510CAA" w14:paraId="71F3E87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90"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E86F" w14:textId="77777777" w:rsidR="00510CAA" w:rsidRDefault="00510CAA">
            <w:pPr>
              <w:keepNext/>
              <w:rPr>
                <w:rFonts w:ascii="Arial" w:eastAsia="Arial" w:hAnsi="Arial" w:cs="Arial"/>
                <w:b/>
                <w:color w:val="000000"/>
                <w:sz w:val="18"/>
              </w:rPr>
            </w:pPr>
          </w:p>
        </w:tc>
        <w:tc>
          <w:tcPr>
            <w:tcW w:w="2850" w:type="dxa"/>
            <w:tcBorders>
              <w:top w:val="single" w:sz="4" w:space="0" w:color="000000"/>
              <w:left w:val="nil"/>
              <w:bottom w:val="double" w:sz="6" w:space="0" w:color="000000"/>
              <w:right w:val="nil"/>
              <w:tl2br w:val="nil"/>
              <w:tr2bl w:val="nil"/>
            </w:tcBorders>
            <w:noWrap/>
            <w:tcMar>
              <w:left w:w="40" w:type="dxa"/>
              <w:right w:w="40" w:type="dxa"/>
            </w:tcMar>
            <w:vAlign w:val="bottom"/>
          </w:tcPr>
          <w:p w14:paraId="71F3E870" w14:textId="77777777" w:rsidR="00510CAA" w:rsidRDefault="003A4815">
            <w:pPr>
              <w:keepNext/>
              <w:rPr>
                <w:rFonts w:ascii="Arial" w:eastAsia="Arial" w:hAnsi="Arial" w:cs="Arial"/>
                <w:b/>
                <w:color w:val="000000"/>
                <w:sz w:val="18"/>
              </w:rPr>
            </w:pPr>
            <w:r>
              <w:rPr>
                <w:rFonts w:ascii="Arial" w:eastAsia="Arial" w:hAnsi="Arial" w:cs="Arial"/>
                <w:b/>
                <w:color w:val="000000"/>
                <w:sz w:val="18"/>
              </w:rPr>
              <w:t xml:space="preserve">Total </w:t>
            </w:r>
          </w:p>
        </w:tc>
        <w:tc>
          <w:tcPr>
            <w:tcW w:w="1605" w:type="dxa"/>
            <w:tcBorders>
              <w:top w:val="single" w:sz="4" w:space="0" w:color="000000"/>
              <w:left w:val="nil"/>
              <w:bottom w:val="double" w:sz="6" w:space="0" w:color="000000"/>
              <w:right w:val="nil"/>
              <w:tl2br w:val="nil"/>
              <w:tr2bl w:val="nil"/>
            </w:tcBorders>
            <w:noWrap/>
            <w:tcMar>
              <w:left w:w="40" w:type="dxa"/>
              <w:right w:w="40" w:type="dxa"/>
            </w:tcMar>
            <w:vAlign w:val="bottom"/>
          </w:tcPr>
          <w:p w14:paraId="71F3E871"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4,226,612</w:t>
            </w:r>
          </w:p>
        </w:tc>
        <w:tc>
          <w:tcPr>
            <w:tcW w:w="1605"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E872" w14:textId="77777777" w:rsidR="00510CAA" w:rsidRDefault="00510CAA">
            <w:pPr>
              <w:keepNext/>
              <w:jc w:val="center"/>
              <w:rPr>
                <w:rFonts w:ascii="Arial" w:eastAsia="Arial" w:hAnsi="Arial" w:cs="Arial"/>
                <w:b/>
                <w:color w:val="000000"/>
                <w:sz w:val="18"/>
              </w:rPr>
            </w:pPr>
          </w:p>
        </w:tc>
        <w:tc>
          <w:tcPr>
            <w:tcW w:w="1755" w:type="dxa"/>
            <w:tcBorders>
              <w:top w:val="single" w:sz="4" w:space="0" w:color="000000"/>
              <w:left w:val="nil"/>
              <w:bottom w:val="double" w:sz="6" w:space="0" w:color="000000"/>
              <w:right w:val="nil"/>
              <w:tl2br w:val="nil"/>
              <w:tr2bl w:val="nil"/>
            </w:tcBorders>
            <w:noWrap/>
            <w:tcMar>
              <w:left w:w="40" w:type="dxa"/>
              <w:right w:w="40" w:type="dxa"/>
            </w:tcMar>
            <w:vAlign w:val="bottom"/>
          </w:tcPr>
          <w:p w14:paraId="71F3E873"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 xml:space="preserve"> 805 </w:t>
            </w:r>
          </w:p>
        </w:tc>
        <w:tc>
          <w:tcPr>
            <w:tcW w:w="1755" w:type="dxa"/>
            <w:tcBorders>
              <w:top w:val="single" w:sz="4" w:space="0" w:color="000000"/>
              <w:left w:val="nil"/>
              <w:bottom w:val="double" w:sz="6" w:space="0" w:color="000000"/>
              <w:right w:val="nil"/>
              <w:tl2br w:val="nil"/>
              <w:tr2bl w:val="nil"/>
            </w:tcBorders>
            <w:noWrap/>
            <w:tcMar>
              <w:left w:w="40" w:type="dxa"/>
              <w:right w:w="40" w:type="dxa"/>
            </w:tcMar>
            <w:vAlign w:val="bottom"/>
          </w:tcPr>
          <w:p w14:paraId="71F3E874"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 xml:space="preserve"> 851 </w:t>
            </w:r>
          </w:p>
        </w:tc>
      </w:tr>
    </w:tbl>
    <w:p w14:paraId="71F3E876" w14:textId="77777777" w:rsidR="00510CAA" w:rsidRDefault="00510CAA">
      <w:pPr>
        <w:pBdr>
          <w:top w:val="nil"/>
          <w:left w:val="nil"/>
          <w:bottom w:val="nil"/>
          <w:right w:val="nil"/>
          <w:between w:val="nil"/>
          <w:bar w:val="nil"/>
        </w:pBdr>
        <w:rPr>
          <w:rFonts w:ascii="Arial" w:eastAsia="Arial" w:hAnsi="Arial" w:cs="Arial"/>
          <w:bdr w:val="nil"/>
        </w:rPr>
      </w:pPr>
    </w:p>
    <w:p w14:paraId="71F3E877" w14:textId="77777777" w:rsidR="00BE3A65" w:rsidRPr="00867F24" w:rsidRDefault="003A4815" w:rsidP="00867F24">
      <w:pPr>
        <w:pBdr>
          <w:top w:val="nil"/>
          <w:left w:val="nil"/>
          <w:bottom w:val="nil"/>
          <w:right w:val="nil"/>
          <w:between w:val="nil"/>
          <w:bar w:val="nil"/>
        </w:pBdr>
        <w:autoSpaceDE w:val="0"/>
        <w:autoSpaceDN w:val="0"/>
        <w:rPr>
          <w:rFonts w:ascii="Arial" w:eastAsia="Arial" w:hAnsi="Arial" w:cs="Arial"/>
          <w:b/>
          <w:spacing w:val="-2"/>
          <w:sz w:val="20"/>
          <w:szCs w:val="20"/>
          <w:bdr w:val="nil"/>
          <w:lang w:val="en-US"/>
        </w:rPr>
      </w:pPr>
      <w:bookmarkStart w:id="181" w:name="RG_MARKER_22983"/>
      <w:r w:rsidRPr="00867F24">
        <w:rPr>
          <w:rFonts w:ascii="Arial" w:eastAsia="Arial" w:hAnsi="Arial" w:cs="Arial"/>
          <w:b/>
          <w:spacing w:val="-2"/>
          <w:sz w:val="20"/>
          <w:szCs w:val="20"/>
          <w:lang w:val="en-US"/>
        </w:rPr>
        <w:t>_______________________________</w:t>
      </w:r>
      <w:bookmarkEnd w:id="181"/>
    </w:p>
    <w:p w14:paraId="71F3E878" w14:textId="77777777" w:rsidR="00BE3A65" w:rsidRPr="00867F24" w:rsidRDefault="003A4815" w:rsidP="00867F24">
      <w:pPr>
        <w:pBdr>
          <w:top w:val="nil"/>
          <w:left w:val="nil"/>
          <w:bottom w:val="nil"/>
          <w:right w:val="nil"/>
          <w:between w:val="nil"/>
          <w:bar w:val="nil"/>
        </w:pBdr>
        <w:autoSpaceDE w:val="0"/>
        <w:autoSpaceDN w:val="0"/>
        <w:ind w:left="142" w:hanging="142"/>
        <w:jc w:val="both"/>
        <w:rPr>
          <w:rFonts w:ascii="Arial" w:eastAsia="Arial" w:hAnsi="Arial" w:cs="Arial"/>
          <w:sz w:val="20"/>
          <w:szCs w:val="20"/>
          <w:bdr w:val="nil"/>
          <w:lang w:val="en-US"/>
        </w:rPr>
      </w:pPr>
      <w:r w:rsidRPr="00867F24">
        <w:rPr>
          <w:rFonts w:ascii="Arial" w:eastAsia="Arial" w:hAnsi="Arial" w:cs="Arial"/>
          <w:b/>
          <w:sz w:val="20"/>
          <w:szCs w:val="20"/>
          <w:lang w:val="en-US"/>
        </w:rPr>
        <w:t>*</w:t>
      </w:r>
      <w:r w:rsidRPr="00867F24">
        <w:rPr>
          <w:rFonts w:ascii="Arial" w:eastAsia="Arial" w:hAnsi="Arial" w:cs="Arial"/>
          <w:sz w:val="20"/>
          <w:szCs w:val="20"/>
          <w:lang w:val="en-US"/>
        </w:rPr>
        <w:t xml:space="preserve">Indicates dry bulk vessels for which we believe, as of December 31, 2025 and 2024, the charter-free market value was lower than the vessel’s carrying value plus unamortized deferred cost. We believe that the aggregate carrying value plus unamortized deferred cost of these vessels exceeded their aggregate charter-free market value by approximately $37 million and $22 million, respectively. </w:t>
      </w:r>
    </w:p>
    <w:p w14:paraId="71F3E879" w14:textId="77777777" w:rsidR="00216268" w:rsidRPr="00867F24" w:rsidRDefault="00216268" w:rsidP="00867F24">
      <w:pPr>
        <w:pBdr>
          <w:top w:val="nil"/>
          <w:left w:val="nil"/>
          <w:bottom w:val="nil"/>
          <w:right w:val="nil"/>
          <w:between w:val="nil"/>
          <w:bar w:val="nil"/>
        </w:pBdr>
        <w:autoSpaceDE w:val="0"/>
        <w:autoSpaceDN w:val="0"/>
        <w:ind w:left="142" w:hanging="142"/>
        <w:jc w:val="both"/>
        <w:rPr>
          <w:rFonts w:ascii="Arial" w:eastAsia="Arial" w:hAnsi="Arial" w:cs="Arial"/>
          <w:bdr w:val="nil"/>
          <w:lang w:val="en-US"/>
        </w:rPr>
      </w:pPr>
    </w:p>
    <w:p w14:paraId="71F3E87A" w14:textId="77777777" w:rsidR="00FA1FA4" w:rsidRPr="00867F24" w:rsidRDefault="003A4815" w:rsidP="00464888">
      <w:pPr>
        <w:keepNext/>
        <w:keepLines/>
        <w:pBdr>
          <w:top w:val="nil"/>
          <w:left w:val="nil"/>
          <w:bottom w:val="nil"/>
          <w:right w:val="nil"/>
          <w:between w:val="nil"/>
          <w:bar w:val="nil"/>
        </w:pBdr>
        <w:jc w:val="both"/>
        <w:rPr>
          <w:rFonts w:ascii="Arial" w:eastAsia="Arial" w:hAnsi="Arial" w:cs="Arial"/>
          <w:color w:val="000000"/>
          <w:bdr w:val="nil"/>
          <w:lang w:val="en-US"/>
        </w:rPr>
      </w:pPr>
      <w:r w:rsidRPr="00867F24">
        <w:rPr>
          <w:rFonts w:ascii="Arial" w:eastAsia="Arial" w:hAnsi="Arial" w:cs="Arial"/>
          <w:color w:val="000000"/>
          <w:lang w:val="en-US"/>
        </w:rPr>
        <w:t xml:space="preserve">Our estimates of charter-free market value assume that our vessels were all in good and seaworthy condition without need for repair and if inspected would be certified in class without notations of any kind. Our estimates are based on information available from various industry sources, including: </w:t>
      </w:r>
    </w:p>
    <w:p w14:paraId="71F3E87B" w14:textId="77777777" w:rsidR="00FA1FA4" w:rsidRPr="00867F24" w:rsidRDefault="00FA1FA4" w:rsidP="00464888">
      <w:pPr>
        <w:keepNext/>
        <w:keepLines/>
        <w:pBdr>
          <w:top w:val="nil"/>
          <w:left w:val="nil"/>
          <w:bottom w:val="nil"/>
          <w:right w:val="nil"/>
          <w:between w:val="nil"/>
          <w:bar w:val="nil"/>
        </w:pBdr>
        <w:rPr>
          <w:rFonts w:ascii="Arial" w:eastAsia="Arial" w:hAnsi="Arial" w:cs="Arial"/>
          <w:color w:val="000000"/>
          <w:bdr w:val="nil"/>
          <w:lang w:val="en-US"/>
        </w:rPr>
      </w:pPr>
    </w:p>
    <w:p w14:paraId="71F3E87C" w14:textId="77777777" w:rsidR="00FA1FA4" w:rsidRDefault="003A4815" w:rsidP="00867F24">
      <w:pPr>
        <w:numPr>
          <w:ilvl w:val="0"/>
          <w:numId w:val="22"/>
        </w:numPr>
        <w:pBdr>
          <w:top w:val="nil"/>
          <w:left w:val="nil"/>
          <w:bottom w:val="nil"/>
          <w:right w:val="nil"/>
          <w:between w:val="nil"/>
          <w:bar w:val="nil"/>
        </w:pBdr>
        <w:autoSpaceDE w:val="0"/>
        <w:autoSpaceDN w:val="0"/>
        <w:adjustRightInd w:val="0"/>
        <w:ind w:left="714" w:hanging="357"/>
        <w:jc w:val="both"/>
        <w:rPr>
          <w:rFonts w:ascii="Arial" w:eastAsia="Arial" w:hAnsi="Arial" w:cs="Arial"/>
          <w:bdr w:val="nil"/>
          <w:lang w:val="en-US"/>
        </w:rPr>
      </w:pPr>
      <w:r w:rsidRPr="00867F24">
        <w:rPr>
          <w:rFonts w:ascii="Arial" w:eastAsia="Arial" w:hAnsi="Arial" w:cs="Arial"/>
          <w:lang w:val="en-US"/>
        </w:rPr>
        <w:t xml:space="preserve">reports by industry analysts and data providers that focus on our industry and related dynamics affecting vessel values; </w:t>
      </w:r>
    </w:p>
    <w:p w14:paraId="71F3E87D" w14:textId="77777777" w:rsidR="00867F24" w:rsidRPr="00867F24" w:rsidRDefault="00867F24" w:rsidP="00867F24">
      <w:pPr>
        <w:pBdr>
          <w:top w:val="nil"/>
          <w:left w:val="nil"/>
          <w:bottom w:val="nil"/>
          <w:right w:val="nil"/>
          <w:between w:val="nil"/>
          <w:bar w:val="nil"/>
        </w:pBdr>
        <w:autoSpaceDE w:val="0"/>
        <w:autoSpaceDN w:val="0"/>
        <w:adjustRightInd w:val="0"/>
        <w:ind w:left="714"/>
        <w:jc w:val="both"/>
        <w:rPr>
          <w:rFonts w:ascii="Arial" w:eastAsia="Arial" w:hAnsi="Arial" w:cs="Arial"/>
          <w:bdr w:val="nil"/>
          <w:lang w:val="en-US"/>
        </w:rPr>
      </w:pPr>
    </w:p>
    <w:p w14:paraId="71F3E87E" w14:textId="77777777" w:rsidR="00867F24" w:rsidRDefault="003A4815" w:rsidP="00867F24">
      <w:pPr>
        <w:numPr>
          <w:ilvl w:val="0"/>
          <w:numId w:val="22"/>
        </w:numPr>
        <w:pBdr>
          <w:top w:val="nil"/>
          <w:left w:val="nil"/>
          <w:bottom w:val="nil"/>
          <w:right w:val="nil"/>
          <w:between w:val="nil"/>
          <w:bar w:val="nil"/>
        </w:pBdr>
        <w:autoSpaceDE w:val="0"/>
        <w:autoSpaceDN w:val="0"/>
        <w:adjustRightInd w:val="0"/>
        <w:ind w:left="714" w:hanging="357"/>
        <w:jc w:val="both"/>
        <w:rPr>
          <w:rFonts w:ascii="Arial" w:eastAsia="Arial" w:hAnsi="Arial" w:cs="Arial"/>
          <w:bdr w:val="nil"/>
          <w:lang w:val="en-US"/>
        </w:rPr>
      </w:pPr>
      <w:r w:rsidRPr="00867F24">
        <w:rPr>
          <w:rFonts w:ascii="Arial" w:eastAsia="Arial" w:hAnsi="Arial" w:cs="Arial"/>
          <w:lang w:val="en-US"/>
        </w:rPr>
        <w:t xml:space="preserve">news and industry reports of similar vessel sales; </w:t>
      </w:r>
    </w:p>
    <w:p w14:paraId="71F3E87F" w14:textId="77777777" w:rsidR="00867F24" w:rsidRDefault="00867F24" w:rsidP="00867F24">
      <w:pPr>
        <w:pStyle w:val="ListParagraph"/>
        <w:pBdr>
          <w:top w:val="nil"/>
          <w:left w:val="nil"/>
          <w:bottom w:val="nil"/>
          <w:right w:val="nil"/>
          <w:between w:val="nil"/>
          <w:bar w:val="nil"/>
        </w:pBdr>
        <w:rPr>
          <w:rFonts w:ascii="Arial" w:eastAsia="Arial" w:hAnsi="Arial" w:cs="Arial"/>
          <w:bdr w:val="nil"/>
          <w:lang w:val="en-US"/>
        </w:rPr>
      </w:pPr>
    </w:p>
    <w:p w14:paraId="71F3E880" w14:textId="77777777" w:rsidR="00FA1FA4" w:rsidRDefault="003A4815" w:rsidP="00867F24">
      <w:pPr>
        <w:numPr>
          <w:ilvl w:val="0"/>
          <w:numId w:val="22"/>
        </w:numPr>
        <w:pBdr>
          <w:top w:val="nil"/>
          <w:left w:val="nil"/>
          <w:bottom w:val="nil"/>
          <w:right w:val="nil"/>
          <w:between w:val="nil"/>
          <w:bar w:val="nil"/>
        </w:pBdr>
        <w:autoSpaceDE w:val="0"/>
        <w:autoSpaceDN w:val="0"/>
        <w:adjustRightInd w:val="0"/>
        <w:ind w:left="714" w:hanging="357"/>
        <w:jc w:val="both"/>
        <w:rPr>
          <w:rFonts w:ascii="Arial" w:eastAsia="Arial" w:hAnsi="Arial" w:cs="Arial"/>
          <w:bdr w:val="nil"/>
          <w:lang w:val="en-US"/>
        </w:rPr>
      </w:pPr>
      <w:r w:rsidRPr="00867F24">
        <w:rPr>
          <w:rFonts w:ascii="Arial" w:eastAsia="Arial" w:hAnsi="Arial" w:cs="Arial"/>
          <w:lang w:val="en-US"/>
        </w:rPr>
        <w:t xml:space="preserve">offers that we may have received from potential purchasers of our vessels; and </w:t>
      </w:r>
    </w:p>
    <w:p w14:paraId="71F3E881" w14:textId="77777777" w:rsidR="00867F24" w:rsidRDefault="00867F24" w:rsidP="00867F24">
      <w:pPr>
        <w:pStyle w:val="ListParagraph"/>
        <w:pBdr>
          <w:top w:val="nil"/>
          <w:left w:val="nil"/>
          <w:bottom w:val="nil"/>
          <w:right w:val="nil"/>
          <w:between w:val="nil"/>
          <w:bar w:val="nil"/>
        </w:pBdr>
        <w:rPr>
          <w:rFonts w:ascii="Arial" w:eastAsia="Arial" w:hAnsi="Arial" w:cs="Arial"/>
          <w:bdr w:val="nil"/>
          <w:lang w:val="en-US"/>
        </w:rPr>
      </w:pPr>
    </w:p>
    <w:p w14:paraId="71F3E882" w14:textId="77777777" w:rsidR="00FA1FA4" w:rsidRPr="00867F24" w:rsidRDefault="003A4815" w:rsidP="00867F24">
      <w:pPr>
        <w:numPr>
          <w:ilvl w:val="0"/>
          <w:numId w:val="22"/>
        </w:numPr>
        <w:pBdr>
          <w:top w:val="nil"/>
          <w:left w:val="nil"/>
          <w:bottom w:val="nil"/>
          <w:right w:val="nil"/>
          <w:between w:val="nil"/>
          <w:bar w:val="nil"/>
        </w:pBdr>
        <w:ind w:left="714" w:hanging="357"/>
        <w:jc w:val="both"/>
        <w:rPr>
          <w:rFonts w:ascii="Arial" w:eastAsia="Arial" w:hAnsi="Arial" w:cs="Arial"/>
          <w:color w:val="000000"/>
          <w:bdr w:val="nil"/>
          <w:lang w:val="en-US"/>
        </w:rPr>
      </w:pPr>
      <w:r w:rsidRPr="00867F24">
        <w:rPr>
          <w:rFonts w:ascii="Arial" w:eastAsia="Arial" w:hAnsi="Arial" w:cs="Arial"/>
          <w:lang w:val="en-US"/>
        </w:rPr>
        <w:t xml:space="preserve">vessel sale prices and values of which we are aware through both formal and informal communications with shipowners, shipbrokers, industry analysts and various other shipping industry participants and </w:t>
      </w:r>
      <w:r w:rsidRPr="00867F24">
        <w:rPr>
          <w:rFonts w:ascii="Arial" w:eastAsia="Arial" w:hAnsi="Arial" w:cs="Arial"/>
          <w:color w:val="000000"/>
          <w:lang w:val="en-US"/>
        </w:rPr>
        <w:t>observers.</w:t>
      </w:r>
    </w:p>
    <w:p w14:paraId="71F3E883" w14:textId="77777777" w:rsidR="00FA1FA4" w:rsidRPr="00867F24" w:rsidRDefault="00FA1FA4" w:rsidP="00867F24">
      <w:pPr>
        <w:pBdr>
          <w:top w:val="nil"/>
          <w:left w:val="nil"/>
          <w:bottom w:val="nil"/>
          <w:right w:val="nil"/>
          <w:between w:val="nil"/>
          <w:bar w:val="nil"/>
        </w:pBdr>
        <w:rPr>
          <w:rFonts w:ascii="Arial" w:eastAsia="Arial" w:hAnsi="Arial" w:cs="Arial"/>
          <w:color w:val="000000"/>
          <w:bdr w:val="nil"/>
          <w:lang w:val="en-US"/>
        </w:rPr>
      </w:pPr>
    </w:p>
    <w:p w14:paraId="71F3E884" w14:textId="77777777" w:rsidR="00FA1FA4" w:rsidRPr="00867F24" w:rsidRDefault="003A4815" w:rsidP="00867F24">
      <w:pPr>
        <w:pBdr>
          <w:top w:val="nil"/>
          <w:left w:val="nil"/>
          <w:bottom w:val="nil"/>
          <w:right w:val="nil"/>
          <w:between w:val="nil"/>
          <w:bar w:val="nil"/>
        </w:pBdr>
        <w:jc w:val="both"/>
        <w:rPr>
          <w:rFonts w:ascii="Arial" w:eastAsia="Arial" w:hAnsi="Arial" w:cs="Arial"/>
          <w:color w:val="000000"/>
          <w:bdr w:val="nil"/>
          <w:lang w:val="en-US"/>
        </w:rPr>
      </w:pPr>
      <w:r w:rsidRPr="00867F24">
        <w:rPr>
          <w:rFonts w:ascii="Arial" w:eastAsia="Arial" w:hAnsi="Arial" w:cs="Arial"/>
          <w:color w:val="000000"/>
          <w:lang w:val="en-US"/>
        </w:rPr>
        <w:t>As we obtain information from various industry and other sources, our estimates of charter-free market value are inherently uncertain. In addition, vessel values are highly volatile; as such, our estimates may not be indicative of the current or future charter-free market value of our vessels or prices that we could achieve if we were to sell them.  We also refer you to the risk factor in “Item 3. Key Information—D. Risk Factors” entitled “</w:t>
      </w:r>
      <w:r w:rsidR="00613438" w:rsidRPr="00867F24">
        <w:rPr>
          <w:rFonts w:ascii="Arial" w:eastAsia="Arial" w:hAnsi="Arial" w:cs="Arial"/>
          <w:i/>
          <w:lang w:val="en-US"/>
        </w:rPr>
        <w:t>The market values of our vessels could decline, which could limit the amount of funds that we can borrow and could trigger breaches of certain financial covenants contained in our loan facilities, which could adversely affect our operating results, and we may incur a loss if we sell vessels following a decline in their market values</w:t>
      </w:r>
      <w:r w:rsidRPr="00867F24">
        <w:rPr>
          <w:rFonts w:ascii="Arial" w:eastAsia="Arial" w:hAnsi="Arial" w:cs="Arial"/>
          <w:color w:val="000000"/>
          <w:lang w:val="en-US"/>
        </w:rPr>
        <w:t>” and the discussion under the heading "Item 4. Information on the Company—B. Business Overview–Vessel Prices.”</w:t>
      </w:r>
    </w:p>
    <w:p w14:paraId="71F3E885" w14:textId="77777777" w:rsidR="00FA1FA4" w:rsidRPr="00867F24" w:rsidRDefault="00FA1FA4" w:rsidP="00867F24">
      <w:pPr>
        <w:pBdr>
          <w:top w:val="nil"/>
          <w:left w:val="nil"/>
          <w:bottom w:val="nil"/>
          <w:right w:val="nil"/>
          <w:between w:val="nil"/>
          <w:bar w:val="nil"/>
        </w:pBdr>
        <w:rPr>
          <w:rFonts w:ascii="Arial" w:eastAsia="Arial" w:hAnsi="Arial" w:cs="Arial"/>
          <w:bdr w:val="nil"/>
          <w:lang w:val="en-US"/>
        </w:rPr>
      </w:pPr>
    </w:p>
    <w:p w14:paraId="71F3E886" w14:textId="77777777" w:rsidR="00FA1FA4" w:rsidRPr="00867F24" w:rsidRDefault="003A4815" w:rsidP="00867F24">
      <w:pPr>
        <w:pBdr>
          <w:top w:val="nil"/>
          <w:left w:val="nil"/>
          <w:bottom w:val="nil"/>
          <w:right w:val="nil"/>
          <w:between w:val="nil"/>
          <w:bar w:val="nil"/>
        </w:pBdr>
        <w:jc w:val="both"/>
        <w:rPr>
          <w:rFonts w:ascii="Arial" w:eastAsia="Arial" w:hAnsi="Arial" w:cs="Arial"/>
          <w:bCs/>
          <w:color w:val="000000"/>
          <w:bdr w:val="nil"/>
          <w:lang w:val="en-US"/>
        </w:rPr>
      </w:pPr>
      <w:r w:rsidRPr="00867F24">
        <w:rPr>
          <w:rFonts w:ascii="Arial" w:eastAsia="Arial" w:hAnsi="Arial" w:cs="Arial"/>
          <w:bCs/>
          <w:color w:val="000000"/>
          <w:lang w:val="en-US"/>
        </w:rPr>
        <w:t xml:space="preserve">Our impairment test exercise is sensitive to variances in the time charter rates. Our current analysis, which also involved a sensitivity analysis by assigning possible alternative values to this significant input, indicated that time charter rates would need to be reduced by </w:t>
      </w:r>
      <w:r>
        <w:rPr>
          <w:rFonts w:ascii="Arial" w:eastAsia="Arial" w:hAnsi="Arial" w:cs="Arial"/>
          <w:bCs/>
          <w:color w:val="000000"/>
          <w:lang w:val="en-US"/>
        </w:rPr>
        <w:t>1</w:t>
      </w:r>
      <w:r w:rsidR="00330432">
        <w:rPr>
          <w:rFonts w:ascii="Arial" w:eastAsia="Arial" w:hAnsi="Arial" w:cs="Arial"/>
          <w:bCs/>
          <w:color w:val="000000"/>
          <w:lang w:val="en-US"/>
        </w:rPr>
        <w:t>5</w:t>
      </w:r>
      <w:r w:rsidRPr="00867F24">
        <w:rPr>
          <w:rFonts w:ascii="Arial" w:eastAsia="Arial" w:hAnsi="Arial" w:cs="Arial"/>
          <w:bCs/>
          <w:color w:val="000000"/>
          <w:lang w:val="en-US"/>
        </w:rPr>
        <w:t xml:space="preserve">% to result in impairment of individual </w:t>
      </w:r>
      <w:r w:rsidR="00613438" w:rsidRPr="00867F24">
        <w:rPr>
          <w:rFonts w:ascii="Arial" w:eastAsia="Arial" w:hAnsi="Arial" w:cs="Arial"/>
          <w:bCs/>
          <w:color w:val="000000"/>
          <w:lang w:val="en-US"/>
        </w:rPr>
        <w:t>long-lived</w:t>
      </w:r>
      <w:r w:rsidRPr="00867F24">
        <w:rPr>
          <w:rFonts w:ascii="Arial" w:eastAsia="Arial" w:hAnsi="Arial" w:cs="Arial"/>
          <w:bCs/>
          <w:color w:val="000000"/>
          <w:lang w:val="en-US"/>
        </w:rPr>
        <w:t xml:space="preserve"> assets</w:t>
      </w:r>
      <w:r w:rsidR="00AD0904" w:rsidRPr="00867F24">
        <w:rPr>
          <w:rFonts w:ascii="Arial" w:eastAsia="Arial" w:hAnsi="Arial" w:cs="Arial"/>
          <w:bCs/>
          <w:color w:val="000000"/>
          <w:lang w:val="en-US"/>
        </w:rPr>
        <w:t xml:space="preserve"> with indication of impairment</w:t>
      </w:r>
      <w:r w:rsidRPr="00867F24">
        <w:rPr>
          <w:rFonts w:ascii="Arial" w:eastAsia="Arial" w:hAnsi="Arial" w:cs="Arial"/>
          <w:bCs/>
          <w:color w:val="000000"/>
          <w:lang w:val="en-US"/>
        </w:rPr>
        <w:t xml:space="preserve">. However, there can be no assurance as to how long charter rates and vessel values will remain at their current levels. </w:t>
      </w:r>
      <w:r w:rsidR="009B788B" w:rsidRPr="00867F24">
        <w:rPr>
          <w:rFonts w:ascii="Arial" w:eastAsia="Arial" w:hAnsi="Arial" w:cs="Arial"/>
          <w:bCs/>
          <w:color w:val="000000"/>
          <w:lang w:val="en-US"/>
        </w:rPr>
        <w:t>If c</w:t>
      </w:r>
      <w:r w:rsidRPr="00867F24">
        <w:rPr>
          <w:rFonts w:ascii="Arial" w:eastAsia="Arial" w:hAnsi="Arial" w:cs="Arial"/>
          <w:bCs/>
          <w:color w:val="000000"/>
          <w:lang w:val="en-US"/>
        </w:rPr>
        <w:t xml:space="preserve">harter rates </w:t>
      </w:r>
      <w:r w:rsidR="009B788B" w:rsidRPr="00867F24">
        <w:rPr>
          <w:rFonts w:ascii="Arial" w:eastAsia="Arial" w:hAnsi="Arial" w:cs="Arial"/>
          <w:bCs/>
          <w:color w:val="000000"/>
          <w:lang w:val="en-US"/>
        </w:rPr>
        <w:t xml:space="preserve">decrease and remain depressed </w:t>
      </w:r>
      <w:r w:rsidRPr="00867F24">
        <w:rPr>
          <w:rFonts w:ascii="Arial" w:eastAsia="Arial" w:hAnsi="Arial" w:cs="Arial"/>
          <w:bCs/>
          <w:color w:val="000000"/>
          <w:lang w:val="en-US"/>
        </w:rPr>
        <w:t>for some time</w:t>
      </w:r>
      <w:r w:rsidR="009B788B" w:rsidRPr="00867F24">
        <w:rPr>
          <w:rFonts w:ascii="Arial" w:eastAsia="Arial" w:hAnsi="Arial" w:cs="Arial"/>
          <w:bCs/>
          <w:color w:val="000000"/>
          <w:lang w:val="en-US"/>
        </w:rPr>
        <w:t>,</w:t>
      </w:r>
      <w:r w:rsidRPr="00867F24">
        <w:rPr>
          <w:rFonts w:ascii="Arial" w:eastAsia="Arial" w:hAnsi="Arial" w:cs="Arial"/>
          <w:bCs/>
          <w:color w:val="000000"/>
          <w:lang w:val="en-US"/>
        </w:rPr>
        <w:t xml:space="preserve"> </w:t>
      </w:r>
      <w:r w:rsidR="009B788B" w:rsidRPr="00867F24">
        <w:rPr>
          <w:rFonts w:ascii="Arial" w:eastAsia="Arial" w:hAnsi="Arial" w:cs="Arial"/>
          <w:bCs/>
          <w:color w:val="000000"/>
          <w:lang w:val="en-US"/>
        </w:rPr>
        <w:t xml:space="preserve">it </w:t>
      </w:r>
      <w:r w:rsidRPr="00867F24">
        <w:rPr>
          <w:rFonts w:ascii="Arial" w:eastAsia="Arial" w:hAnsi="Arial" w:cs="Arial"/>
          <w:bCs/>
          <w:color w:val="000000"/>
          <w:lang w:val="en-US"/>
        </w:rPr>
        <w:t>could adversely affect our revenue and profitability and future assessments of vessel impairment.</w:t>
      </w:r>
    </w:p>
    <w:p w14:paraId="71F3E887" w14:textId="77777777" w:rsidR="00FA1FA4" w:rsidRPr="00867F24" w:rsidRDefault="00FA1FA4" w:rsidP="00867F24">
      <w:pPr>
        <w:pBdr>
          <w:top w:val="nil"/>
          <w:left w:val="nil"/>
          <w:bottom w:val="nil"/>
          <w:right w:val="nil"/>
          <w:between w:val="nil"/>
          <w:bar w:val="nil"/>
        </w:pBdr>
        <w:jc w:val="both"/>
        <w:rPr>
          <w:rFonts w:ascii="Arial" w:eastAsia="Arial" w:hAnsi="Arial" w:cs="Arial"/>
          <w:color w:val="000000"/>
          <w:bdr w:val="nil"/>
          <w:lang w:val="en-US"/>
        </w:rPr>
      </w:pPr>
    </w:p>
    <w:p w14:paraId="71F3E888" w14:textId="77777777" w:rsidR="00216268" w:rsidRPr="00867F24" w:rsidRDefault="003A4815" w:rsidP="00464888">
      <w:pPr>
        <w:keepNext/>
        <w:keepLines/>
        <w:pBdr>
          <w:top w:val="nil"/>
          <w:left w:val="nil"/>
          <w:bottom w:val="nil"/>
          <w:right w:val="nil"/>
          <w:between w:val="nil"/>
          <w:bar w:val="nil"/>
        </w:pBdr>
        <w:jc w:val="both"/>
        <w:rPr>
          <w:rFonts w:ascii="Arial" w:eastAsia="Arial" w:hAnsi="Arial" w:cs="Arial"/>
          <w:color w:val="000000"/>
          <w:bdr w:val="nil"/>
          <w:lang w:val="en-US"/>
        </w:rPr>
      </w:pPr>
      <w:r w:rsidRPr="00867F24">
        <w:rPr>
          <w:rFonts w:ascii="Arial" w:eastAsia="Arial" w:hAnsi="Arial" w:cs="Arial"/>
          <w:color w:val="000000"/>
          <w:lang w:val="en-US"/>
        </w:rPr>
        <w:t xml:space="preserve">A comparison of the average estimated daily time charter equivalent rate used in our impairment analysis with the average “break-even rate” for each major class of vessels is presented below: </w:t>
      </w:r>
    </w:p>
    <w:p w14:paraId="71F3E889" w14:textId="77777777" w:rsidR="00216268" w:rsidRPr="00867F24" w:rsidRDefault="00216268" w:rsidP="00464888">
      <w:pPr>
        <w:keepNext/>
        <w:keepLines/>
        <w:pBdr>
          <w:top w:val="nil"/>
          <w:left w:val="nil"/>
          <w:bottom w:val="nil"/>
          <w:right w:val="nil"/>
          <w:between w:val="nil"/>
          <w:bar w:val="nil"/>
        </w:pBdr>
        <w:rPr>
          <w:rFonts w:ascii="Arial" w:eastAsia="Arial" w:hAnsi="Arial" w:cs="Arial"/>
          <w:color w:val="000000"/>
          <w:bdr w:val="nil"/>
          <w:lang w:val="en-US"/>
        </w:rPr>
      </w:pPr>
    </w:p>
    <w:tbl>
      <w:tblPr>
        <w:tblStyle w:val="TableGridLight"/>
        <w:tblW w:w="1028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F5FE"/>
        <w:tblLook w:val="00A0" w:firstRow="1" w:lastRow="0" w:firstColumn="1" w:lastColumn="0" w:noHBand="0" w:noVBand="0"/>
      </w:tblPr>
      <w:tblGrid>
        <w:gridCol w:w="4361"/>
        <w:gridCol w:w="3260"/>
        <w:gridCol w:w="2665"/>
      </w:tblGrid>
      <w:tr w:rsidR="00510CAA" w14:paraId="71F3E88E" w14:textId="77777777" w:rsidTr="0075456D">
        <w:trPr>
          <w:cantSplit/>
          <w:trHeight w:val="415"/>
        </w:trPr>
        <w:tc>
          <w:tcPr>
            <w:tcW w:w="4361" w:type="dxa"/>
            <w:shd w:val="clear" w:color="auto" w:fill="FFFFFF"/>
            <w:noWrap/>
          </w:tcPr>
          <w:p w14:paraId="71F3E88A" w14:textId="77777777" w:rsidR="00216268" w:rsidRPr="00867F24" w:rsidRDefault="00216268" w:rsidP="00867F24">
            <w:pPr>
              <w:keepNext/>
              <w:jc w:val="center"/>
              <w:rPr>
                <w:rFonts w:eastAsia="Arial" w:cs="Arial"/>
                <w:b/>
                <w:color w:val="000000"/>
                <w:sz w:val="20"/>
                <w:szCs w:val="20"/>
                <w:bdr w:val="nil"/>
                <w:lang w:val="en-US"/>
              </w:rPr>
            </w:pPr>
          </w:p>
        </w:tc>
        <w:tc>
          <w:tcPr>
            <w:tcW w:w="3260" w:type="dxa"/>
            <w:shd w:val="clear" w:color="auto" w:fill="FFFFFF"/>
            <w:hideMark/>
          </w:tcPr>
          <w:p w14:paraId="71F3E88B" w14:textId="77777777" w:rsidR="00216268" w:rsidRPr="00867F24" w:rsidRDefault="003A4815" w:rsidP="00867F24">
            <w:pPr>
              <w:keepNext/>
              <w:pBdr>
                <w:top w:val="nil"/>
                <w:left w:val="nil"/>
                <w:bottom w:val="single" w:sz="4" w:space="1"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Average estimated daily time charter equivalent rate used</w:t>
            </w:r>
          </w:p>
        </w:tc>
        <w:tc>
          <w:tcPr>
            <w:tcW w:w="2665" w:type="dxa"/>
            <w:shd w:val="clear" w:color="auto" w:fill="FFFFFF"/>
            <w:hideMark/>
          </w:tcPr>
          <w:p w14:paraId="71F3E88C" w14:textId="77777777" w:rsidR="00613438" w:rsidRPr="00867F24" w:rsidRDefault="003A4815" w:rsidP="00867F24">
            <w:pPr>
              <w:keepNext/>
              <w:pBdr>
                <w:top w:val="nil"/>
                <w:left w:val="nil"/>
                <w:bottom w:val="single" w:sz="4" w:space="1"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 xml:space="preserve">Average break-even </w:t>
            </w:r>
          </w:p>
          <w:p w14:paraId="71F3E88D" w14:textId="77777777" w:rsidR="00613438" w:rsidRPr="00867F24" w:rsidRDefault="003A4815" w:rsidP="00867F24">
            <w:pPr>
              <w:keepNext/>
              <w:pBdr>
                <w:top w:val="nil"/>
                <w:left w:val="nil"/>
                <w:bottom w:val="single" w:sz="4" w:space="1"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rate</w:t>
            </w:r>
          </w:p>
        </w:tc>
      </w:tr>
      <w:tr w:rsidR="00510CAA" w14:paraId="71F3E892" w14:textId="77777777" w:rsidTr="0075456D">
        <w:trPr>
          <w:cantSplit/>
          <w:trHeight w:val="270"/>
        </w:trPr>
        <w:tc>
          <w:tcPr>
            <w:tcW w:w="4361" w:type="dxa"/>
            <w:shd w:val="clear" w:color="auto" w:fill="DAF5FE"/>
            <w:noWrap/>
            <w:hideMark/>
          </w:tcPr>
          <w:p w14:paraId="71F3E88F" w14:textId="77777777" w:rsidR="00613438" w:rsidRPr="00867F24" w:rsidRDefault="003A4815" w:rsidP="00867F24">
            <w:pPr>
              <w:keepNext/>
              <w:pBdr>
                <w:top w:val="nil"/>
                <w:left w:val="nil"/>
                <w:bottom w:val="nil"/>
                <w:right w:val="nil"/>
                <w:between w:val="nil"/>
                <w:bar w:val="nil"/>
              </w:pBdr>
              <w:rPr>
                <w:rFonts w:eastAsia="Arial" w:cs="Arial"/>
                <w:color w:val="000000"/>
                <w:bdr w:val="nil"/>
              </w:rPr>
            </w:pPr>
            <w:r w:rsidRPr="00867F24">
              <w:rPr>
                <w:rFonts w:eastAsia="Arial" w:cs="Arial"/>
                <w:color w:val="000000"/>
              </w:rPr>
              <w:t>Ultramax</w:t>
            </w:r>
          </w:p>
        </w:tc>
        <w:tc>
          <w:tcPr>
            <w:tcW w:w="3260" w:type="dxa"/>
            <w:shd w:val="clear" w:color="auto" w:fill="DAF5FE"/>
            <w:vAlign w:val="bottom"/>
            <w:hideMark/>
          </w:tcPr>
          <w:p w14:paraId="71F3E890" w14:textId="77777777" w:rsidR="00613438" w:rsidRPr="00140AA5"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sidRPr="00867F24">
              <w:rPr>
                <w:rFonts w:eastAsia="Arial" w:cs="Arial"/>
                <w:color w:val="000000"/>
                <w:lang w:val="en-US"/>
              </w:rPr>
              <w:t>1</w:t>
            </w:r>
            <w:r w:rsidR="00953FE3">
              <w:rPr>
                <w:rFonts w:eastAsia="Arial" w:cs="Arial"/>
                <w:color w:val="000000"/>
                <w:lang w:val="en-US"/>
              </w:rPr>
              <w:t>6</w:t>
            </w:r>
            <w:r w:rsidRPr="00867F24">
              <w:rPr>
                <w:rFonts w:eastAsia="Arial" w:cs="Arial"/>
                <w:color w:val="000000"/>
              </w:rPr>
              <w:t>,</w:t>
            </w:r>
            <w:r w:rsidR="00953FE3">
              <w:rPr>
                <w:rFonts w:eastAsia="Arial" w:cs="Arial"/>
                <w:color w:val="000000"/>
                <w:lang w:val="en-US"/>
              </w:rPr>
              <w:t>309</w:t>
            </w:r>
          </w:p>
        </w:tc>
        <w:tc>
          <w:tcPr>
            <w:tcW w:w="2665" w:type="dxa"/>
            <w:shd w:val="clear" w:color="auto" w:fill="DAF5FE"/>
            <w:noWrap/>
            <w:vAlign w:val="bottom"/>
            <w:hideMark/>
          </w:tcPr>
          <w:p w14:paraId="71F3E891" w14:textId="77777777" w:rsidR="0061343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sidRPr="00867F24">
              <w:rPr>
                <w:rFonts w:eastAsia="Arial" w:cs="Arial"/>
                <w:color w:val="000000"/>
                <w:lang w:val="en-US"/>
              </w:rPr>
              <w:t>1</w:t>
            </w:r>
            <w:r w:rsidR="004F5C86">
              <w:rPr>
                <w:rFonts w:eastAsia="Arial" w:cs="Arial"/>
                <w:color w:val="000000"/>
                <w:lang w:val="en-US"/>
              </w:rPr>
              <w:t>3</w:t>
            </w:r>
            <w:r w:rsidRPr="00867F24">
              <w:rPr>
                <w:rFonts w:eastAsia="Arial" w:cs="Arial"/>
                <w:color w:val="000000"/>
                <w:lang w:val="en-US"/>
              </w:rPr>
              <w:t>,</w:t>
            </w:r>
            <w:r w:rsidR="004F5C86">
              <w:rPr>
                <w:rFonts w:eastAsia="Arial" w:cs="Arial"/>
                <w:color w:val="000000"/>
                <w:lang w:val="en-US"/>
              </w:rPr>
              <w:t>276</w:t>
            </w:r>
          </w:p>
        </w:tc>
      </w:tr>
      <w:tr w:rsidR="00510CAA" w14:paraId="71F3E896" w14:textId="77777777" w:rsidTr="0075456D">
        <w:trPr>
          <w:cantSplit/>
          <w:trHeight w:val="270"/>
        </w:trPr>
        <w:tc>
          <w:tcPr>
            <w:tcW w:w="4361" w:type="dxa"/>
            <w:shd w:val="clear" w:color="auto" w:fill="FFFFFF"/>
            <w:noWrap/>
            <w:hideMark/>
          </w:tcPr>
          <w:p w14:paraId="71F3E893" w14:textId="77777777" w:rsidR="00216268" w:rsidRPr="00867F24" w:rsidRDefault="003A4815" w:rsidP="00867F24">
            <w:pPr>
              <w:keepNext/>
              <w:pBdr>
                <w:top w:val="nil"/>
                <w:left w:val="nil"/>
                <w:bottom w:val="nil"/>
                <w:right w:val="nil"/>
                <w:between w:val="nil"/>
                <w:bar w:val="nil"/>
              </w:pBdr>
              <w:rPr>
                <w:rFonts w:eastAsia="Arial" w:cs="Arial"/>
                <w:color w:val="000000"/>
                <w:bdr w:val="nil"/>
              </w:rPr>
            </w:pPr>
            <w:r w:rsidRPr="00867F24">
              <w:rPr>
                <w:rFonts w:eastAsia="Arial" w:cs="Arial"/>
                <w:color w:val="000000"/>
              </w:rPr>
              <w:t>Panamax/Kamsarmax/Post-Panamax</w:t>
            </w:r>
          </w:p>
        </w:tc>
        <w:tc>
          <w:tcPr>
            <w:tcW w:w="3260" w:type="dxa"/>
            <w:shd w:val="clear" w:color="auto" w:fill="FFFFFF"/>
            <w:vAlign w:val="bottom"/>
            <w:hideMark/>
          </w:tcPr>
          <w:p w14:paraId="71F3E894"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$1</w:t>
            </w:r>
            <w:r>
              <w:rPr>
                <w:rFonts w:eastAsia="Arial" w:cs="Arial"/>
                <w:color w:val="000000"/>
                <w:lang w:val="en-US"/>
              </w:rPr>
              <w:t>3</w:t>
            </w:r>
            <w:r w:rsidRPr="00867F24">
              <w:rPr>
                <w:rFonts w:eastAsia="Arial" w:cs="Arial"/>
                <w:color w:val="000000"/>
              </w:rPr>
              <w:t>,</w:t>
            </w:r>
            <w:r w:rsidR="00953FE3">
              <w:rPr>
                <w:rFonts w:eastAsia="Arial" w:cs="Arial"/>
                <w:color w:val="000000"/>
                <w:lang w:val="en-US"/>
              </w:rPr>
              <w:t>596</w:t>
            </w:r>
          </w:p>
        </w:tc>
        <w:tc>
          <w:tcPr>
            <w:tcW w:w="2665" w:type="dxa"/>
            <w:shd w:val="clear" w:color="auto" w:fill="FFFFFF"/>
            <w:noWrap/>
            <w:vAlign w:val="bottom"/>
            <w:hideMark/>
          </w:tcPr>
          <w:p w14:paraId="71F3E895" w14:textId="77777777" w:rsidR="00216268" w:rsidRPr="00F3010D" w:rsidRDefault="003A4815" w:rsidP="00073086">
            <w:pPr>
              <w:keepNext/>
              <w:pBdr>
                <w:top w:val="nil"/>
                <w:left w:val="nil"/>
                <w:bottom w:val="nil"/>
                <w:right w:val="nil"/>
                <w:between w:val="nil"/>
                <w:bar w:val="nil"/>
              </w:pBdr>
              <w:rPr>
                <w:rFonts w:eastAsia="Arial" w:cs="Arial"/>
                <w:color w:val="000000"/>
                <w:bdr w:val="nil"/>
                <w:lang w:val="en-US"/>
              </w:rPr>
            </w:pPr>
            <w:r>
              <w:rPr>
                <w:rFonts w:eastAsia="Arial" w:cs="Arial"/>
                <w:color w:val="000000"/>
                <w:lang w:val="en-US"/>
              </w:rPr>
              <w:t xml:space="preserve">              </w:t>
            </w:r>
            <w:r w:rsidRPr="00867F24">
              <w:rPr>
                <w:rFonts w:eastAsia="Arial" w:cs="Arial"/>
                <w:color w:val="000000"/>
              </w:rPr>
              <w:t>$9,</w:t>
            </w:r>
            <w:r w:rsidR="004F5C86">
              <w:rPr>
                <w:rFonts w:eastAsia="Arial" w:cs="Arial"/>
                <w:color w:val="000000"/>
                <w:lang w:val="en-US"/>
              </w:rPr>
              <w:t>960</w:t>
            </w:r>
          </w:p>
        </w:tc>
      </w:tr>
      <w:tr w:rsidR="00510CAA" w14:paraId="71F3E89A" w14:textId="77777777" w:rsidTr="0075456D">
        <w:trPr>
          <w:cantSplit/>
          <w:trHeight w:val="225"/>
        </w:trPr>
        <w:tc>
          <w:tcPr>
            <w:tcW w:w="4361" w:type="dxa"/>
            <w:shd w:val="clear" w:color="auto" w:fill="DAF5FE"/>
            <w:noWrap/>
            <w:hideMark/>
          </w:tcPr>
          <w:p w14:paraId="71F3E897" w14:textId="77777777" w:rsidR="00216268" w:rsidRPr="00867F24" w:rsidRDefault="003A4815" w:rsidP="00867F24">
            <w:pPr>
              <w:keepNext/>
              <w:pBdr>
                <w:top w:val="nil"/>
                <w:left w:val="nil"/>
                <w:bottom w:val="nil"/>
                <w:right w:val="nil"/>
                <w:between w:val="nil"/>
                <w:bar w:val="nil"/>
              </w:pBdr>
              <w:rPr>
                <w:rFonts w:eastAsia="Arial" w:cs="Arial"/>
                <w:color w:val="000000"/>
                <w:bdr w:val="nil"/>
              </w:rPr>
            </w:pPr>
            <w:r w:rsidRPr="00867F24">
              <w:rPr>
                <w:rFonts w:eastAsia="Arial" w:cs="Arial"/>
                <w:color w:val="000000"/>
              </w:rPr>
              <w:t>Capesize/Newcastlemax</w:t>
            </w:r>
          </w:p>
        </w:tc>
        <w:tc>
          <w:tcPr>
            <w:tcW w:w="3260" w:type="dxa"/>
            <w:shd w:val="clear" w:color="auto" w:fill="DAF5FE"/>
            <w:vAlign w:val="bottom"/>
            <w:hideMark/>
          </w:tcPr>
          <w:p w14:paraId="71F3E898"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$1</w:t>
            </w:r>
            <w:r w:rsidR="00953FE3">
              <w:rPr>
                <w:rFonts w:eastAsia="Arial" w:cs="Arial"/>
                <w:color w:val="000000"/>
                <w:lang w:val="en-US"/>
              </w:rPr>
              <w:t>7</w:t>
            </w:r>
            <w:r w:rsidRPr="00867F24">
              <w:rPr>
                <w:rFonts w:eastAsia="Arial" w:cs="Arial"/>
                <w:color w:val="000000"/>
              </w:rPr>
              <w:t>,</w:t>
            </w:r>
            <w:r w:rsidR="00953FE3">
              <w:rPr>
                <w:rFonts w:eastAsia="Arial" w:cs="Arial"/>
                <w:color w:val="000000"/>
                <w:lang w:val="en-US"/>
              </w:rPr>
              <w:t>517</w:t>
            </w:r>
          </w:p>
        </w:tc>
        <w:tc>
          <w:tcPr>
            <w:tcW w:w="2665" w:type="dxa"/>
            <w:shd w:val="clear" w:color="auto" w:fill="DAF5FE"/>
            <w:noWrap/>
            <w:vAlign w:val="bottom"/>
            <w:hideMark/>
          </w:tcPr>
          <w:p w14:paraId="71F3E899"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$1</w:t>
            </w:r>
            <w:r>
              <w:rPr>
                <w:rFonts w:eastAsia="Arial" w:cs="Arial"/>
                <w:color w:val="000000"/>
                <w:lang w:val="en-US"/>
              </w:rPr>
              <w:t>2</w:t>
            </w:r>
            <w:r w:rsidRPr="00867F24">
              <w:rPr>
                <w:rFonts w:eastAsia="Arial" w:cs="Arial"/>
                <w:color w:val="000000"/>
              </w:rPr>
              <w:t>,</w:t>
            </w:r>
            <w:r w:rsidR="004F5C86">
              <w:rPr>
                <w:rFonts w:eastAsia="Arial" w:cs="Arial"/>
                <w:color w:val="000000"/>
                <w:lang w:val="en-US"/>
              </w:rPr>
              <w:t>954</w:t>
            </w:r>
          </w:p>
        </w:tc>
      </w:tr>
    </w:tbl>
    <w:p w14:paraId="71F3E89B" w14:textId="77777777" w:rsidR="00216268" w:rsidRPr="00867F24" w:rsidRDefault="00216268" w:rsidP="00867F24">
      <w:pPr>
        <w:pBdr>
          <w:top w:val="nil"/>
          <w:left w:val="nil"/>
          <w:bottom w:val="nil"/>
          <w:right w:val="nil"/>
          <w:between w:val="nil"/>
          <w:bar w:val="nil"/>
        </w:pBdr>
        <w:rPr>
          <w:rFonts w:ascii="Arial" w:eastAsia="Arial" w:hAnsi="Arial" w:cs="Arial"/>
          <w:bCs/>
          <w:color w:val="000000"/>
          <w:bdr w:val="nil"/>
        </w:rPr>
      </w:pPr>
    </w:p>
    <w:p w14:paraId="71F3E89C" w14:textId="77777777" w:rsidR="00216268" w:rsidRPr="00867F24" w:rsidRDefault="003A4815" w:rsidP="00464888">
      <w:pPr>
        <w:keepNext/>
        <w:keepLines/>
        <w:pBdr>
          <w:top w:val="nil"/>
          <w:left w:val="nil"/>
          <w:bottom w:val="nil"/>
          <w:right w:val="nil"/>
          <w:between w:val="nil"/>
          <w:bar w:val="nil"/>
        </w:pBdr>
        <w:jc w:val="both"/>
        <w:rPr>
          <w:rFonts w:ascii="Arial" w:eastAsia="Arial" w:hAnsi="Arial" w:cs="Arial"/>
          <w:bdr w:val="nil"/>
          <w:lang w:val="en-US"/>
        </w:rPr>
      </w:pPr>
      <w:r w:rsidRPr="00867F24">
        <w:rPr>
          <w:rFonts w:ascii="Arial" w:eastAsia="Arial" w:hAnsi="Arial" w:cs="Arial"/>
          <w:lang w:val="en-US"/>
        </w:rPr>
        <w:t>It should be noted that as of December 31, 202</w:t>
      </w:r>
      <w:r w:rsidR="0073206D">
        <w:rPr>
          <w:rFonts w:ascii="Arial" w:eastAsia="Arial" w:hAnsi="Arial" w:cs="Arial"/>
          <w:lang w:val="en-US"/>
        </w:rPr>
        <w:t>5</w:t>
      </w:r>
      <w:r w:rsidRPr="00867F24">
        <w:rPr>
          <w:rFonts w:ascii="Arial" w:eastAsia="Arial" w:hAnsi="Arial" w:cs="Arial"/>
          <w:lang w:val="en-US"/>
        </w:rPr>
        <w:t xml:space="preserve">, </w:t>
      </w:r>
      <w:r>
        <w:rPr>
          <w:rFonts w:ascii="Arial" w:eastAsia="Arial" w:hAnsi="Arial" w:cs="Arial"/>
          <w:lang w:val="en-US"/>
        </w:rPr>
        <w:t>t</w:t>
      </w:r>
      <w:r w:rsidR="0073206D">
        <w:rPr>
          <w:rFonts w:ascii="Arial" w:eastAsia="Arial" w:hAnsi="Arial" w:cs="Arial"/>
          <w:lang w:val="en-US"/>
        </w:rPr>
        <w:t>en</w:t>
      </w:r>
      <w:r w:rsidRPr="00867F24">
        <w:rPr>
          <w:rFonts w:ascii="Arial" w:eastAsia="Arial" w:hAnsi="Arial" w:cs="Arial"/>
          <w:lang w:val="en-US"/>
        </w:rPr>
        <w:t xml:space="preserve"> of our vessels, having indication of impairment, would be affected by a reduction in time charter rates</w:t>
      </w:r>
      <w:r w:rsidR="00567E93" w:rsidRPr="00867F24">
        <w:rPr>
          <w:rFonts w:ascii="Arial" w:eastAsia="Arial" w:hAnsi="Arial" w:cs="Arial"/>
          <w:lang w:val="en-US"/>
        </w:rPr>
        <w:t xml:space="preserve"> below the average break-even rate</w:t>
      </w:r>
      <w:r w:rsidRPr="00867F24">
        <w:rPr>
          <w:rFonts w:ascii="Arial" w:eastAsia="Arial" w:hAnsi="Arial" w:cs="Arial"/>
          <w:lang w:val="en-US"/>
        </w:rPr>
        <w:t xml:space="preserve">. </w:t>
      </w:r>
      <w:r w:rsidR="00613438" w:rsidRPr="00867F24">
        <w:rPr>
          <w:rFonts w:ascii="Arial" w:eastAsia="Arial" w:hAnsi="Arial" w:cs="Arial"/>
          <w:lang w:val="en-US"/>
        </w:rPr>
        <w:t>Additionally,</w:t>
      </w:r>
      <w:r w:rsidR="00567E93" w:rsidRPr="00867F24">
        <w:rPr>
          <w:rFonts w:ascii="Arial" w:eastAsia="Arial" w:hAnsi="Arial" w:cs="Arial"/>
          <w:lang w:val="en-US"/>
        </w:rPr>
        <w:t xml:space="preserve"> </w:t>
      </w:r>
      <w:r w:rsidR="00567E93" w:rsidRPr="00867F24">
        <w:rPr>
          <w:rFonts w:ascii="Arial" w:eastAsia="Arial" w:hAnsi="Arial" w:cs="Arial"/>
          <w:bdr w:val="none" w:sz="0" w:space="0" w:color="auto" w:frame="1"/>
          <w:lang w:val="en-US"/>
        </w:rPr>
        <w:t xml:space="preserve">the use of </w:t>
      </w:r>
      <w:r w:rsidR="00567E93" w:rsidRPr="00867F24">
        <w:rPr>
          <w:rFonts w:ascii="Arial" w:eastAsia="Arial" w:hAnsi="Arial" w:cs="Arial"/>
          <w:lang w:val="en-US"/>
        </w:rPr>
        <w:t>the 1-year, 3-year and 5-year average blended rates would not have any effect on the Company’s impairment analysis and as such on the Company’s results of operations:</w:t>
      </w:r>
    </w:p>
    <w:p w14:paraId="71F3E89D" w14:textId="77777777" w:rsidR="009B788B" w:rsidRPr="00867F24" w:rsidRDefault="009B788B" w:rsidP="00464888">
      <w:pPr>
        <w:keepNext/>
        <w:keepLines/>
        <w:pBdr>
          <w:top w:val="nil"/>
          <w:left w:val="nil"/>
          <w:bottom w:val="nil"/>
          <w:right w:val="nil"/>
          <w:between w:val="nil"/>
          <w:bar w:val="nil"/>
        </w:pBdr>
        <w:jc w:val="both"/>
        <w:rPr>
          <w:rFonts w:ascii="Arial" w:eastAsia="Arial" w:hAnsi="Arial" w:cs="Arial"/>
          <w:bCs/>
          <w:color w:val="000000"/>
          <w:bdr w:val="nil"/>
          <w:lang w:val="en-US"/>
        </w:rPr>
      </w:pPr>
    </w:p>
    <w:tbl>
      <w:tblPr>
        <w:tblStyle w:val="TableGridLight"/>
        <w:tblW w:w="1035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F5FE"/>
        <w:tblLook w:val="04A0" w:firstRow="1" w:lastRow="0" w:firstColumn="1" w:lastColumn="0" w:noHBand="0" w:noVBand="1"/>
      </w:tblPr>
      <w:tblGrid>
        <w:gridCol w:w="2955"/>
        <w:gridCol w:w="1075"/>
        <w:gridCol w:w="1341"/>
        <w:gridCol w:w="1012"/>
        <w:gridCol w:w="1331"/>
        <w:gridCol w:w="1347"/>
        <w:gridCol w:w="1298"/>
      </w:tblGrid>
      <w:tr w:rsidR="00510CAA" w14:paraId="71F3E8AB" w14:textId="77777777" w:rsidTr="0075456D">
        <w:trPr>
          <w:cantSplit/>
          <w:trHeight w:val="415"/>
        </w:trPr>
        <w:tc>
          <w:tcPr>
            <w:tcW w:w="2617" w:type="dxa"/>
            <w:shd w:val="clear" w:color="auto" w:fill="FFFFFF"/>
            <w:noWrap/>
            <w:vAlign w:val="bottom"/>
          </w:tcPr>
          <w:p w14:paraId="71F3E89E"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Vessel type</w:t>
            </w:r>
          </w:p>
        </w:tc>
        <w:tc>
          <w:tcPr>
            <w:tcW w:w="1250" w:type="dxa"/>
            <w:shd w:val="clear" w:color="auto" w:fill="FFFFFF"/>
            <w:vAlign w:val="bottom"/>
            <w:hideMark/>
          </w:tcPr>
          <w:p w14:paraId="71F3E89F"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1-year</w:t>
            </w:r>
          </w:p>
          <w:p w14:paraId="71F3E8A0"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(period)</w:t>
            </w:r>
          </w:p>
        </w:tc>
        <w:tc>
          <w:tcPr>
            <w:tcW w:w="1468" w:type="dxa"/>
            <w:shd w:val="clear" w:color="auto" w:fill="FFFFFF"/>
            <w:vAlign w:val="bottom"/>
            <w:hideMark/>
          </w:tcPr>
          <w:p w14:paraId="71F3E8A1"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Impairment charge</w:t>
            </w:r>
          </w:p>
          <w:p w14:paraId="71F3E8A2"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(in USD million)</w:t>
            </w:r>
          </w:p>
        </w:tc>
        <w:tc>
          <w:tcPr>
            <w:tcW w:w="940" w:type="dxa"/>
            <w:shd w:val="clear" w:color="auto" w:fill="FFFFFF"/>
            <w:vAlign w:val="bottom"/>
            <w:hideMark/>
          </w:tcPr>
          <w:p w14:paraId="71F3E8A3"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3-year</w:t>
            </w:r>
          </w:p>
          <w:p w14:paraId="71F3E8A4"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(period)</w:t>
            </w:r>
          </w:p>
        </w:tc>
        <w:tc>
          <w:tcPr>
            <w:tcW w:w="1430" w:type="dxa"/>
            <w:shd w:val="clear" w:color="auto" w:fill="FFFFFF"/>
            <w:vAlign w:val="bottom"/>
            <w:hideMark/>
          </w:tcPr>
          <w:p w14:paraId="71F3E8A5"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Impairment charge</w:t>
            </w:r>
          </w:p>
          <w:p w14:paraId="71F3E8A6"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(in USD million)</w:t>
            </w:r>
          </w:p>
        </w:tc>
        <w:tc>
          <w:tcPr>
            <w:tcW w:w="1347" w:type="dxa"/>
            <w:shd w:val="clear" w:color="auto" w:fill="FFFFFF"/>
            <w:vAlign w:val="bottom"/>
            <w:hideMark/>
          </w:tcPr>
          <w:p w14:paraId="71F3E8A7"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5-year</w:t>
            </w:r>
          </w:p>
          <w:p w14:paraId="71F3E8A8"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rPr>
            </w:pPr>
            <w:r w:rsidRPr="00867F24">
              <w:rPr>
                <w:rFonts w:eastAsia="Arial" w:cs="Arial"/>
                <w:b/>
                <w:color w:val="000000"/>
                <w:sz w:val="20"/>
                <w:szCs w:val="20"/>
              </w:rPr>
              <w:t>(period)</w:t>
            </w:r>
          </w:p>
        </w:tc>
        <w:tc>
          <w:tcPr>
            <w:tcW w:w="1307" w:type="dxa"/>
            <w:shd w:val="clear" w:color="auto" w:fill="FFFFFF"/>
            <w:vAlign w:val="bottom"/>
            <w:hideMark/>
          </w:tcPr>
          <w:p w14:paraId="71F3E8A9"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Impairment charge</w:t>
            </w:r>
          </w:p>
          <w:p w14:paraId="71F3E8AA" w14:textId="77777777" w:rsidR="00216268" w:rsidRPr="00867F24" w:rsidRDefault="003A4815" w:rsidP="00867F24">
            <w:pPr>
              <w:keepNext/>
              <w:pBdr>
                <w:top w:val="nil"/>
                <w:left w:val="nil"/>
                <w:bottom w:val="single" w:sz="4" w:space="0" w:color="auto"/>
                <w:right w:val="nil"/>
                <w:between w:val="nil"/>
                <w:bar w:val="nil"/>
              </w:pBdr>
              <w:jc w:val="center"/>
              <w:rPr>
                <w:rFonts w:eastAsia="Arial" w:cs="Arial"/>
                <w:b/>
                <w:color w:val="000000"/>
                <w:sz w:val="20"/>
                <w:szCs w:val="20"/>
                <w:bdr w:val="nil"/>
                <w:lang w:val="en-US"/>
              </w:rPr>
            </w:pPr>
            <w:r w:rsidRPr="00867F24">
              <w:rPr>
                <w:rFonts w:eastAsia="Arial" w:cs="Arial"/>
                <w:b/>
                <w:color w:val="000000"/>
                <w:sz w:val="20"/>
                <w:szCs w:val="20"/>
                <w:lang w:val="en-US"/>
              </w:rPr>
              <w:t>(in USD million)</w:t>
            </w:r>
          </w:p>
        </w:tc>
      </w:tr>
      <w:tr w:rsidR="00510CAA" w14:paraId="71F3E8B3" w14:textId="77777777" w:rsidTr="0075456D">
        <w:trPr>
          <w:cantSplit/>
          <w:trHeight w:val="415"/>
        </w:trPr>
        <w:tc>
          <w:tcPr>
            <w:tcW w:w="2617" w:type="dxa"/>
            <w:shd w:val="clear" w:color="auto" w:fill="DAF5FE"/>
            <w:noWrap/>
            <w:vAlign w:val="bottom"/>
          </w:tcPr>
          <w:p w14:paraId="71F3E8AC" w14:textId="77777777" w:rsidR="006D764E" w:rsidRPr="00867F24" w:rsidRDefault="003A4815" w:rsidP="00867F24">
            <w:pPr>
              <w:keepNext/>
              <w:pBdr>
                <w:top w:val="nil"/>
                <w:left w:val="nil"/>
                <w:bottom w:val="nil"/>
                <w:right w:val="nil"/>
                <w:between w:val="nil"/>
                <w:bar w:val="nil"/>
              </w:pBdr>
              <w:rPr>
                <w:rFonts w:eastAsia="Arial" w:cs="Arial"/>
                <w:b/>
                <w:color w:val="000000"/>
                <w:bdr w:val="nil"/>
                <w:lang w:val="en-US"/>
              </w:rPr>
            </w:pPr>
            <w:r w:rsidRPr="00867F24">
              <w:rPr>
                <w:rFonts w:eastAsia="Arial" w:cs="Arial"/>
                <w:color w:val="000000"/>
              </w:rPr>
              <w:t>Ultramax</w:t>
            </w:r>
          </w:p>
        </w:tc>
        <w:tc>
          <w:tcPr>
            <w:tcW w:w="1250" w:type="dxa"/>
            <w:shd w:val="clear" w:color="auto" w:fill="DAF5FE"/>
            <w:vAlign w:val="bottom"/>
          </w:tcPr>
          <w:p w14:paraId="71F3E8AD" w14:textId="77777777" w:rsidR="006D764E" w:rsidRPr="00867F24" w:rsidRDefault="003A4815" w:rsidP="00867F24">
            <w:pPr>
              <w:keepNext/>
              <w:pBdr>
                <w:top w:val="nil"/>
                <w:left w:val="nil"/>
                <w:bottom w:val="nil"/>
                <w:right w:val="nil"/>
                <w:between w:val="nil"/>
                <w:bar w:val="nil"/>
              </w:pBdr>
              <w:jc w:val="center"/>
              <w:rPr>
                <w:rFonts w:eastAsia="Arial" w:cs="Arial"/>
                <w:bCs/>
                <w:color w:val="000000"/>
                <w:bdr w:val="nil"/>
                <w:lang w:val="en-US"/>
              </w:rPr>
            </w:pPr>
            <w:r w:rsidRPr="00867F24">
              <w:rPr>
                <w:rFonts w:eastAsia="Arial" w:cs="Arial"/>
                <w:bCs/>
                <w:color w:val="000000"/>
                <w:lang w:val="en-US"/>
              </w:rPr>
              <w:t>$</w:t>
            </w:r>
            <w:r>
              <w:rPr>
                <w:rFonts w:eastAsia="Arial" w:cs="Arial"/>
                <w:bCs/>
                <w:color w:val="000000"/>
                <w:lang w:val="en-US"/>
              </w:rPr>
              <w:t>1</w:t>
            </w:r>
            <w:r w:rsidR="00953FE3">
              <w:rPr>
                <w:rFonts w:eastAsia="Arial" w:cs="Arial"/>
                <w:bCs/>
                <w:color w:val="000000"/>
                <w:lang w:val="en-US"/>
              </w:rPr>
              <w:t>4</w:t>
            </w:r>
            <w:r w:rsidRPr="00867F24">
              <w:rPr>
                <w:rFonts w:eastAsia="Arial" w:cs="Arial"/>
                <w:bCs/>
                <w:color w:val="000000"/>
                <w:lang w:val="en-US"/>
              </w:rPr>
              <w:t>,</w:t>
            </w:r>
            <w:r w:rsidR="00953FE3">
              <w:rPr>
                <w:rFonts w:eastAsia="Arial" w:cs="Arial"/>
                <w:bCs/>
                <w:color w:val="000000"/>
                <w:lang w:val="en-US"/>
              </w:rPr>
              <w:t>089</w:t>
            </w:r>
          </w:p>
        </w:tc>
        <w:tc>
          <w:tcPr>
            <w:tcW w:w="1468" w:type="dxa"/>
            <w:shd w:val="clear" w:color="auto" w:fill="DAF5FE"/>
            <w:vAlign w:val="bottom"/>
          </w:tcPr>
          <w:p w14:paraId="71F3E8AE" w14:textId="77777777" w:rsidR="006D764E" w:rsidRPr="00867F24" w:rsidRDefault="003A4815" w:rsidP="00867F24">
            <w:pPr>
              <w:keepNext/>
              <w:pBdr>
                <w:top w:val="nil"/>
                <w:left w:val="nil"/>
                <w:bottom w:val="nil"/>
                <w:right w:val="nil"/>
                <w:between w:val="nil"/>
                <w:bar w:val="nil"/>
              </w:pBdr>
              <w:jc w:val="center"/>
              <w:rPr>
                <w:rFonts w:eastAsia="Arial" w:cs="Arial"/>
                <w:bCs/>
                <w:color w:val="000000"/>
                <w:bdr w:val="nil"/>
                <w:lang w:val="en-US"/>
              </w:rPr>
            </w:pPr>
            <w:r w:rsidRPr="00867F24">
              <w:rPr>
                <w:rFonts w:eastAsia="Arial" w:cs="Arial"/>
                <w:bCs/>
                <w:color w:val="000000"/>
                <w:lang w:val="en-US"/>
              </w:rPr>
              <w:t>-</w:t>
            </w:r>
          </w:p>
        </w:tc>
        <w:tc>
          <w:tcPr>
            <w:tcW w:w="940" w:type="dxa"/>
            <w:shd w:val="clear" w:color="auto" w:fill="DAF5FE"/>
            <w:vAlign w:val="bottom"/>
          </w:tcPr>
          <w:p w14:paraId="71F3E8AF" w14:textId="77777777" w:rsidR="006D764E" w:rsidRPr="00AF3DDB" w:rsidRDefault="003A4815" w:rsidP="00867F24">
            <w:pPr>
              <w:keepNext/>
              <w:pBdr>
                <w:top w:val="nil"/>
                <w:left w:val="nil"/>
                <w:bottom w:val="nil"/>
                <w:right w:val="nil"/>
                <w:between w:val="nil"/>
                <w:bar w:val="nil"/>
              </w:pBdr>
              <w:jc w:val="center"/>
              <w:rPr>
                <w:rFonts w:eastAsia="Arial" w:cs="Arial"/>
                <w:b/>
                <w:color w:val="000000"/>
                <w:bdr w:val="nil"/>
                <w:lang w:val="en-US"/>
              </w:rPr>
            </w:pPr>
            <w:r w:rsidRPr="00867F24">
              <w:rPr>
                <w:rFonts w:eastAsia="Arial" w:cs="Arial"/>
                <w:color w:val="000000"/>
              </w:rPr>
              <w:t>$</w:t>
            </w:r>
            <w:r>
              <w:rPr>
                <w:rFonts w:eastAsia="Arial" w:cs="Arial"/>
                <w:color w:val="000000"/>
                <w:lang w:val="en-US"/>
              </w:rPr>
              <w:t>1</w:t>
            </w:r>
            <w:r w:rsidR="00953FE3">
              <w:rPr>
                <w:rFonts w:eastAsia="Arial" w:cs="Arial"/>
                <w:color w:val="000000"/>
                <w:lang w:val="en-US"/>
              </w:rPr>
              <w:t>5</w:t>
            </w:r>
            <w:r w:rsidRPr="00867F24">
              <w:rPr>
                <w:rFonts w:eastAsia="Arial" w:cs="Arial"/>
                <w:color w:val="000000"/>
              </w:rPr>
              <w:t>,</w:t>
            </w:r>
            <w:r w:rsidR="00953FE3">
              <w:rPr>
                <w:rFonts w:eastAsia="Arial" w:cs="Arial"/>
                <w:color w:val="000000"/>
                <w:lang w:val="en-US"/>
              </w:rPr>
              <w:t>319</w:t>
            </w:r>
          </w:p>
        </w:tc>
        <w:tc>
          <w:tcPr>
            <w:tcW w:w="1430" w:type="dxa"/>
            <w:shd w:val="clear" w:color="auto" w:fill="DAF5FE"/>
            <w:vAlign w:val="bottom"/>
          </w:tcPr>
          <w:p w14:paraId="71F3E8B0" w14:textId="77777777" w:rsidR="006D764E" w:rsidRPr="00867F24" w:rsidRDefault="003A4815" w:rsidP="00867F24">
            <w:pPr>
              <w:keepNext/>
              <w:pBdr>
                <w:top w:val="nil"/>
                <w:left w:val="nil"/>
                <w:bottom w:val="nil"/>
                <w:right w:val="nil"/>
                <w:between w:val="nil"/>
                <w:bar w:val="nil"/>
              </w:pBdr>
              <w:jc w:val="center"/>
              <w:rPr>
                <w:rFonts w:eastAsia="Arial" w:cs="Arial"/>
                <w:b/>
                <w:color w:val="000000"/>
                <w:bdr w:val="nil"/>
                <w:lang w:val="en-US"/>
              </w:rPr>
            </w:pPr>
            <w:r w:rsidRPr="00867F24">
              <w:rPr>
                <w:rFonts w:eastAsia="Arial" w:cs="Arial"/>
                <w:bCs/>
                <w:color w:val="000000"/>
                <w:lang w:val="en-US"/>
              </w:rPr>
              <w:t>-</w:t>
            </w:r>
          </w:p>
        </w:tc>
        <w:tc>
          <w:tcPr>
            <w:tcW w:w="1347" w:type="dxa"/>
            <w:shd w:val="clear" w:color="auto" w:fill="DAF5FE"/>
            <w:vAlign w:val="bottom"/>
          </w:tcPr>
          <w:p w14:paraId="71F3E8B1" w14:textId="77777777" w:rsidR="006D764E" w:rsidRPr="00AF3DDB" w:rsidRDefault="003A4815" w:rsidP="00867F24">
            <w:pPr>
              <w:keepNext/>
              <w:pBdr>
                <w:top w:val="nil"/>
                <w:left w:val="nil"/>
                <w:bottom w:val="nil"/>
                <w:right w:val="nil"/>
                <w:between w:val="nil"/>
                <w:bar w:val="nil"/>
              </w:pBdr>
              <w:jc w:val="center"/>
              <w:rPr>
                <w:rFonts w:eastAsia="Arial" w:cs="Arial"/>
                <w:b/>
                <w:color w:val="000000"/>
                <w:bdr w:val="nil"/>
                <w:lang w:val="en-US"/>
              </w:rPr>
            </w:pPr>
            <w:r w:rsidRPr="00867F24">
              <w:rPr>
                <w:rFonts w:eastAsia="Arial" w:cs="Arial"/>
                <w:color w:val="000000"/>
              </w:rPr>
              <w:t>$</w:t>
            </w:r>
            <w:r>
              <w:rPr>
                <w:rFonts w:eastAsia="Arial" w:cs="Arial"/>
                <w:color w:val="000000"/>
                <w:lang w:val="en-US"/>
              </w:rPr>
              <w:t>18</w:t>
            </w:r>
            <w:r w:rsidRPr="00867F24">
              <w:rPr>
                <w:rFonts w:eastAsia="Arial" w:cs="Arial"/>
                <w:color w:val="000000"/>
              </w:rPr>
              <w:t>,</w:t>
            </w:r>
            <w:r w:rsidR="00953FE3">
              <w:rPr>
                <w:rFonts w:eastAsia="Arial" w:cs="Arial"/>
                <w:color w:val="000000"/>
                <w:lang w:val="en-US"/>
              </w:rPr>
              <w:t>609</w:t>
            </w:r>
          </w:p>
        </w:tc>
        <w:tc>
          <w:tcPr>
            <w:tcW w:w="1307" w:type="dxa"/>
            <w:shd w:val="clear" w:color="auto" w:fill="DAF5FE"/>
            <w:vAlign w:val="bottom"/>
          </w:tcPr>
          <w:p w14:paraId="71F3E8B2" w14:textId="77777777" w:rsidR="006D764E" w:rsidRPr="00867F24" w:rsidRDefault="003A4815" w:rsidP="00867F24">
            <w:pPr>
              <w:keepNext/>
              <w:pBdr>
                <w:top w:val="nil"/>
                <w:left w:val="nil"/>
                <w:bottom w:val="nil"/>
                <w:right w:val="nil"/>
                <w:between w:val="nil"/>
                <w:bar w:val="nil"/>
              </w:pBdr>
              <w:jc w:val="center"/>
              <w:rPr>
                <w:rFonts w:eastAsia="Arial" w:cs="Arial"/>
                <w:b/>
                <w:color w:val="000000"/>
                <w:bdr w:val="nil"/>
                <w:lang w:val="en-US"/>
              </w:rPr>
            </w:pPr>
            <w:r w:rsidRPr="00867F24">
              <w:rPr>
                <w:rFonts w:eastAsia="Arial" w:cs="Arial"/>
                <w:bCs/>
                <w:color w:val="000000"/>
                <w:lang w:val="en-US"/>
              </w:rPr>
              <w:t>-</w:t>
            </w:r>
          </w:p>
        </w:tc>
      </w:tr>
      <w:tr w:rsidR="00510CAA" w14:paraId="71F3E8BB" w14:textId="77777777" w:rsidTr="0075456D">
        <w:trPr>
          <w:cantSplit/>
          <w:trHeight w:val="270"/>
        </w:trPr>
        <w:tc>
          <w:tcPr>
            <w:tcW w:w="2617" w:type="dxa"/>
            <w:shd w:val="clear" w:color="auto" w:fill="FFFFFF"/>
            <w:noWrap/>
            <w:vAlign w:val="bottom"/>
            <w:hideMark/>
          </w:tcPr>
          <w:p w14:paraId="71F3E8B4" w14:textId="77777777" w:rsidR="00216268" w:rsidRPr="00867F24" w:rsidRDefault="003A4815" w:rsidP="00867F24">
            <w:pPr>
              <w:keepNext/>
              <w:pBdr>
                <w:top w:val="nil"/>
                <w:left w:val="nil"/>
                <w:bottom w:val="nil"/>
                <w:right w:val="nil"/>
                <w:between w:val="nil"/>
                <w:bar w:val="nil"/>
              </w:pBdr>
              <w:rPr>
                <w:rFonts w:eastAsia="Arial" w:cs="Arial"/>
                <w:color w:val="000000"/>
                <w:bdr w:val="nil"/>
              </w:rPr>
            </w:pPr>
            <w:r w:rsidRPr="00867F24">
              <w:rPr>
                <w:rFonts w:eastAsia="Arial" w:cs="Arial"/>
                <w:color w:val="000000"/>
              </w:rPr>
              <w:t>Panamax/Kamsarmax/Post-Panamax</w:t>
            </w:r>
          </w:p>
        </w:tc>
        <w:tc>
          <w:tcPr>
            <w:tcW w:w="1250" w:type="dxa"/>
            <w:shd w:val="clear" w:color="auto" w:fill="FFFFFF"/>
            <w:vAlign w:val="bottom"/>
            <w:hideMark/>
          </w:tcPr>
          <w:p w14:paraId="71F3E8B5"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Pr>
                <w:rFonts w:eastAsia="Arial" w:cs="Arial"/>
                <w:color w:val="000000"/>
                <w:lang w:val="en-US"/>
              </w:rPr>
              <w:t>1</w:t>
            </w:r>
            <w:r w:rsidR="00953FE3">
              <w:rPr>
                <w:rFonts w:eastAsia="Arial" w:cs="Arial"/>
                <w:color w:val="000000"/>
                <w:lang w:val="en-US"/>
              </w:rPr>
              <w:t>2</w:t>
            </w:r>
            <w:r w:rsidRPr="00867F24">
              <w:rPr>
                <w:rFonts w:eastAsia="Arial" w:cs="Arial"/>
                <w:color w:val="000000"/>
              </w:rPr>
              <w:t>,</w:t>
            </w:r>
            <w:r w:rsidR="00953FE3">
              <w:rPr>
                <w:rFonts w:eastAsia="Arial" w:cs="Arial"/>
                <w:color w:val="000000"/>
                <w:lang w:val="en-US"/>
              </w:rPr>
              <w:t>929</w:t>
            </w:r>
          </w:p>
        </w:tc>
        <w:tc>
          <w:tcPr>
            <w:tcW w:w="1468" w:type="dxa"/>
            <w:shd w:val="clear" w:color="auto" w:fill="FFFFFF"/>
            <w:vAlign w:val="bottom"/>
            <w:hideMark/>
          </w:tcPr>
          <w:p w14:paraId="71F3E8B6"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c>
          <w:tcPr>
            <w:tcW w:w="940" w:type="dxa"/>
            <w:shd w:val="clear" w:color="auto" w:fill="FFFFFF"/>
            <w:vAlign w:val="bottom"/>
            <w:hideMark/>
          </w:tcPr>
          <w:p w14:paraId="71F3E8B7"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$1</w:t>
            </w:r>
            <w:r w:rsidR="00953FE3">
              <w:rPr>
                <w:rFonts w:eastAsia="Arial" w:cs="Arial"/>
                <w:color w:val="000000"/>
                <w:lang w:val="en-US"/>
              </w:rPr>
              <w:t>3</w:t>
            </w:r>
            <w:r w:rsidRPr="00867F24">
              <w:rPr>
                <w:rFonts w:eastAsia="Arial" w:cs="Arial"/>
                <w:color w:val="000000"/>
              </w:rPr>
              <w:t>,</w:t>
            </w:r>
            <w:r w:rsidR="00953FE3">
              <w:rPr>
                <w:rFonts w:eastAsia="Arial" w:cs="Arial"/>
                <w:color w:val="000000"/>
                <w:lang w:val="en-US"/>
              </w:rPr>
              <w:t>759</w:t>
            </w:r>
          </w:p>
        </w:tc>
        <w:tc>
          <w:tcPr>
            <w:tcW w:w="1430" w:type="dxa"/>
            <w:shd w:val="clear" w:color="auto" w:fill="FFFFFF"/>
            <w:vAlign w:val="bottom"/>
            <w:hideMark/>
          </w:tcPr>
          <w:p w14:paraId="71F3E8B8"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c>
          <w:tcPr>
            <w:tcW w:w="1347" w:type="dxa"/>
            <w:shd w:val="clear" w:color="auto" w:fill="FFFFFF"/>
            <w:noWrap/>
            <w:vAlign w:val="bottom"/>
            <w:hideMark/>
          </w:tcPr>
          <w:p w14:paraId="71F3E8B9"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Pr>
                <w:rFonts w:eastAsia="Arial" w:cs="Arial"/>
                <w:color w:val="000000"/>
                <w:lang w:val="en-US"/>
              </w:rPr>
              <w:t>16</w:t>
            </w:r>
            <w:r w:rsidRPr="00867F24">
              <w:rPr>
                <w:rFonts w:eastAsia="Arial" w:cs="Arial"/>
                <w:color w:val="000000"/>
              </w:rPr>
              <w:t>,</w:t>
            </w:r>
            <w:r w:rsidR="00953FE3">
              <w:rPr>
                <w:rFonts w:eastAsia="Arial" w:cs="Arial"/>
                <w:color w:val="000000"/>
                <w:lang w:val="en-US"/>
              </w:rPr>
              <w:t>719</w:t>
            </w:r>
          </w:p>
        </w:tc>
        <w:tc>
          <w:tcPr>
            <w:tcW w:w="1307" w:type="dxa"/>
            <w:shd w:val="clear" w:color="auto" w:fill="FFFFFF"/>
            <w:vAlign w:val="bottom"/>
            <w:hideMark/>
          </w:tcPr>
          <w:p w14:paraId="71F3E8BA"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r>
      <w:tr w:rsidR="00510CAA" w14:paraId="71F3E8C3" w14:textId="77777777" w:rsidTr="0075456D">
        <w:trPr>
          <w:cantSplit/>
          <w:trHeight w:val="270"/>
        </w:trPr>
        <w:tc>
          <w:tcPr>
            <w:tcW w:w="2617" w:type="dxa"/>
            <w:shd w:val="clear" w:color="auto" w:fill="DAF5FE"/>
            <w:noWrap/>
            <w:vAlign w:val="bottom"/>
            <w:hideMark/>
          </w:tcPr>
          <w:p w14:paraId="71F3E8BC" w14:textId="77777777" w:rsidR="00216268" w:rsidRPr="00867F24" w:rsidRDefault="003A4815" w:rsidP="00867F24">
            <w:pPr>
              <w:keepNext/>
              <w:pBdr>
                <w:top w:val="nil"/>
                <w:left w:val="nil"/>
                <w:bottom w:val="nil"/>
                <w:right w:val="nil"/>
                <w:between w:val="nil"/>
                <w:bar w:val="nil"/>
              </w:pBdr>
              <w:rPr>
                <w:rFonts w:eastAsia="Arial" w:cs="Arial"/>
                <w:color w:val="000000"/>
                <w:bdr w:val="nil"/>
              </w:rPr>
            </w:pPr>
            <w:r w:rsidRPr="00867F24">
              <w:rPr>
                <w:rFonts w:eastAsia="Arial" w:cs="Arial"/>
                <w:color w:val="000000"/>
              </w:rPr>
              <w:t>Capesize/Newcastlemax</w:t>
            </w:r>
          </w:p>
        </w:tc>
        <w:tc>
          <w:tcPr>
            <w:tcW w:w="1250" w:type="dxa"/>
            <w:shd w:val="clear" w:color="auto" w:fill="DAF5FE"/>
            <w:vAlign w:val="bottom"/>
            <w:hideMark/>
          </w:tcPr>
          <w:p w14:paraId="71F3E8BD"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Pr>
                <w:rFonts w:eastAsia="Arial" w:cs="Arial"/>
                <w:color w:val="000000"/>
                <w:lang w:val="en-US"/>
              </w:rPr>
              <w:t>2</w:t>
            </w:r>
            <w:r w:rsidR="00953FE3">
              <w:rPr>
                <w:rFonts w:eastAsia="Arial" w:cs="Arial"/>
                <w:color w:val="000000"/>
                <w:lang w:val="en-US"/>
              </w:rPr>
              <w:t>2</w:t>
            </w:r>
            <w:r w:rsidRPr="00867F24">
              <w:rPr>
                <w:rFonts w:eastAsia="Arial" w:cs="Arial"/>
                <w:color w:val="000000"/>
              </w:rPr>
              <w:t>,</w:t>
            </w:r>
            <w:r w:rsidR="00953FE3">
              <w:rPr>
                <w:rFonts w:eastAsia="Arial" w:cs="Arial"/>
                <w:color w:val="000000"/>
                <w:lang w:val="en-US"/>
              </w:rPr>
              <w:t>074</w:t>
            </w:r>
          </w:p>
        </w:tc>
        <w:tc>
          <w:tcPr>
            <w:tcW w:w="1468" w:type="dxa"/>
            <w:shd w:val="clear" w:color="auto" w:fill="DAF5FE"/>
            <w:vAlign w:val="bottom"/>
            <w:hideMark/>
          </w:tcPr>
          <w:p w14:paraId="71F3E8BE"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c>
          <w:tcPr>
            <w:tcW w:w="940" w:type="dxa"/>
            <w:shd w:val="clear" w:color="auto" w:fill="DAF5FE"/>
            <w:vAlign w:val="bottom"/>
            <w:hideMark/>
          </w:tcPr>
          <w:p w14:paraId="71F3E8BF"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sidR="00953FE3">
              <w:rPr>
                <w:rFonts w:eastAsia="Arial" w:cs="Arial"/>
                <w:color w:val="000000"/>
                <w:lang w:val="en-US"/>
              </w:rPr>
              <w:t>20</w:t>
            </w:r>
            <w:r w:rsidRPr="00867F24">
              <w:rPr>
                <w:rFonts w:eastAsia="Arial" w:cs="Arial"/>
                <w:color w:val="000000"/>
              </w:rPr>
              <w:t>,</w:t>
            </w:r>
            <w:r w:rsidR="00953FE3">
              <w:rPr>
                <w:rFonts w:eastAsia="Arial" w:cs="Arial"/>
                <w:color w:val="000000"/>
                <w:lang w:val="en-US"/>
              </w:rPr>
              <w:t>482</w:t>
            </w:r>
          </w:p>
        </w:tc>
        <w:tc>
          <w:tcPr>
            <w:tcW w:w="1430" w:type="dxa"/>
            <w:shd w:val="clear" w:color="auto" w:fill="DAF5FE"/>
            <w:vAlign w:val="bottom"/>
            <w:hideMark/>
          </w:tcPr>
          <w:p w14:paraId="71F3E8C0"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c>
          <w:tcPr>
            <w:tcW w:w="1347" w:type="dxa"/>
            <w:shd w:val="clear" w:color="auto" w:fill="DAF5FE"/>
            <w:noWrap/>
            <w:vAlign w:val="bottom"/>
            <w:hideMark/>
          </w:tcPr>
          <w:p w14:paraId="71F3E8C1"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lang w:val="en-US"/>
              </w:rPr>
            </w:pPr>
            <w:r w:rsidRPr="00867F24">
              <w:rPr>
                <w:rFonts w:eastAsia="Arial" w:cs="Arial"/>
                <w:color w:val="000000"/>
              </w:rPr>
              <w:t>$</w:t>
            </w:r>
            <w:r w:rsidR="00953FE3">
              <w:rPr>
                <w:rFonts w:eastAsia="Arial" w:cs="Arial"/>
                <w:color w:val="000000"/>
                <w:lang w:val="en-US"/>
              </w:rPr>
              <w:t>21</w:t>
            </w:r>
            <w:r w:rsidRPr="00867F24">
              <w:rPr>
                <w:rFonts w:eastAsia="Arial" w:cs="Arial"/>
                <w:color w:val="000000"/>
              </w:rPr>
              <w:t>,</w:t>
            </w:r>
            <w:r w:rsidR="00953FE3">
              <w:rPr>
                <w:rFonts w:eastAsia="Arial" w:cs="Arial"/>
                <w:color w:val="000000"/>
                <w:lang w:val="en-US"/>
              </w:rPr>
              <w:t>105</w:t>
            </w:r>
          </w:p>
        </w:tc>
        <w:tc>
          <w:tcPr>
            <w:tcW w:w="1307" w:type="dxa"/>
            <w:shd w:val="clear" w:color="auto" w:fill="DAF5FE"/>
            <w:vAlign w:val="bottom"/>
            <w:hideMark/>
          </w:tcPr>
          <w:p w14:paraId="71F3E8C2" w14:textId="77777777" w:rsidR="00216268" w:rsidRPr="00867F24" w:rsidRDefault="003A4815" w:rsidP="00867F24">
            <w:pPr>
              <w:keepNext/>
              <w:pBdr>
                <w:top w:val="nil"/>
                <w:left w:val="nil"/>
                <w:bottom w:val="nil"/>
                <w:right w:val="nil"/>
                <w:between w:val="nil"/>
                <w:bar w:val="nil"/>
              </w:pBdr>
              <w:jc w:val="center"/>
              <w:rPr>
                <w:rFonts w:eastAsia="Arial" w:cs="Arial"/>
                <w:color w:val="000000"/>
                <w:bdr w:val="nil"/>
              </w:rPr>
            </w:pPr>
            <w:r w:rsidRPr="00867F24">
              <w:rPr>
                <w:rFonts w:eastAsia="Arial" w:cs="Arial"/>
                <w:color w:val="000000"/>
              </w:rPr>
              <w:t>-</w:t>
            </w:r>
          </w:p>
        </w:tc>
      </w:tr>
    </w:tbl>
    <w:p w14:paraId="71F3E8C4"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8C5" w14:textId="77777777" w:rsidR="00124825" w:rsidRPr="00E9323F" w:rsidRDefault="003A4815" w:rsidP="00C41E62">
      <w:pPr>
        <w:pStyle w:val="Heading1"/>
        <w:keepLines/>
        <w:pBdr>
          <w:top w:val="nil"/>
          <w:left w:val="nil"/>
          <w:bottom w:val="nil"/>
          <w:right w:val="nil"/>
          <w:between w:val="nil"/>
          <w:bar w:val="nil"/>
        </w:pBdr>
        <w:spacing w:before="0" w:after="0"/>
        <w:rPr>
          <w:rFonts w:ascii="Arial" w:eastAsia="Arial" w:hAnsi="Arial" w:cs="Arial"/>
          <w:color w:val="auto"/>
          <w:kern w:val="0"/>
          <w:szCs w:val="28"/>
          <w:bdr w:val="nil"/>
          <w:lang w:eastAsia="el-GR" w:bidi="en-US"/>
        </w:rPr>
      </w:pPr>
      <w:bookmarkStart w:id="182" w:name="part1_item6"/>
      <w:bookmarkStart w:id="183" w:name="RG_MARKER_23067"/>
      <w:bookmarkStart w:id="184" w:name="RG_MARKER_23167"/>
      <w:bookmarkStart w:id="185" w:name="_Toc103668638"/>
      <w:bookmarkStart w:id="186" w:name="_Toc223262938"/>
      <w:bookmarkStart w:id="187" w:name="_Toc222553124"/>
      <w:bookmarkEnd w:id="182"/>
      <w:r w:rsidRPr="00E9323F">
        <w:rPr>
          <w:rFonts w:ascii="Arial" w:eastAsia="Arial" w:hAnsi="Arial" w:cs="Arial"/>
          <w:color w:val="auto"/>
          <w:kern w:val="0"/>
          <w:szCs w:val="28"/>
          <w:lang w:val="en-GB" w:eastAsia="el-GR" w:bidi="en-US"/>
        </w:rPr>
        <w:t>Item 6.</w:t>
      </w:r>
      <w:bookmarkEnd w:id="183"/>
      <w:bookmarkEnd w:id="184"/>
      <w:r w:rsidRPr="00E9323F">
        <w:rPr>
          <w:rFonts w:ascii="Arial" w:eastAsia="Arial" w:hAnsi="Arial" w:cs="Arial"/>
          <w:color w:val="auto"/>
          <w:kern w:val="0"/>
          <w:szCs w:val="28"/>
          <w:lang w:val="en-GB" w:eastAsia="el-GR" w:bidi="en-US"/>
        </w:rPr>
        <w:tab/>
        <w:t>Directors, Senior Management and Employees</w:t>
      </w:r>
      <w:bookmarkEnd w:id="185"/>
      <w:bookmarkEnd w:id="186"/>
      <w:bookmarkEnd w:id="187"/>
    </w:p>
    <w:p w14:paraId="71F3E8C6" w14:textId="77777777" w:rsidR="00983354" w:rsidRPr="00E9323F" w:rsidRDefault="00983354" w:rsidP="00C41E62">
      <w:pPr>
        <w:keepNext/>
        <w:keepLines/>
        <w:pBdr>
          <w:top w:val="nil"/>
          <w:left w:val="nil"/>
          <w:bottom w:val="nil"/>
          <w:right w:val="nil"/>
          <w:between w:val="nil"/>
          <w:bar w:val="nil"/>
        </w:pBdr>
        <w:rPr>
          <w:rFonts w:ascii="Arial" w:eastAsia="Arial" w:hAnsi="Arial" w:cs="Arial"/>
          <w:bdr w:val="nil"/>
          <w:lang w:val="en-GB" w:eastAsia="el-GR"/>
        </w:rPr>
      </w:pPr>
    </w:p>
    <w:p w14:paraId="71F3E8C7" w14:textId="77777777" w:rsidR="00E542A0" w:rsidRPr="00E9323F" w:rsidRDefault="003A4815" w:rsidP="00C41E62">
      <w:pPr>
        <w:pStyle w:val="Heading2"/>
        <w:keepLines/>
        <w:pBdr>
          <w:top w:val="nil"/>
          <w:left w:val="nil"/>
          <w:bottom w:val="nil"/>
          <w:right w:val="nil"/>
          <w:between w:val="nil"/>
          <w:bar w:val="nil"/>
        </w:pBdr>
        <w:ind w:left="357" w:firstLine="357"/>
        <w:rPr>
          <w:rFonts w:ascii="Arial" w:eastAsia="Arial" w:hAnsi="Arial" w:cs="Arial"/>
          <w:color w:val="auto"/>
          <w:szCs w:val="24"/>
          <w:bdr w:val="nil"/>
          <w:lang w:val="en-GB" w:eastAsia="el-GR" w:bidi="en-US"/>
        </w:rPr>
      </w:pPr>
      <w:r w:rsidRPr="00E9323F">
        <w:rPr>
          <w:rFonts w:ascii="Arial" w:eastAsia="Arial" w:hAnsi="Arial" w:cs="Arial"/>
          <w:color w:val="auto"/>
          <w:szCs w:val="24"/>
          <w:bdr w:val="none" w:sz="0" w:space="0" w:color="auto" w:frame="1"/>
          <w:lang w:val="en-GB" w:eastAsia="el-GR" w:bidi="en-US"/>
        </w:rPr>
        <w:t>A.</w:t>
      </w:r>
      <w:r w:rsidRPr="00E9323F">
        <w:rPr>
          <w:rFonts w:ascii="Arial" w:eastAsia="Arial" w:hAnsi="Arial" w:cs="Arial"/>
          <w:color w:val="auto"/>
          <w:szCs w:val="24"/>
          <w:bdr w:val="none" w:sz="0" w:space="0" w:color="auto" w:frame="1"/>
          <w:lang w:val="en-GB" w:eastAsia="el-GR" w:bidi="en-US"/>
        </w:rPr>
        <w:tab/>
        <w:t>Directors and Senior Management</w:t>
      </w:r>
    </w:p>
    <w:p w14:paraId="71F3E8C8" w14:textId="77777777" w:rsidR="00CB2A29" w:rsidRPr="00E9323F" w:rsidRDefault="00CB2A29" w:rsidP="00C41E62">
      <w:pPr>
        <w:pStyle w:val="Char1"/>
        <w:keepNext/>
        <w:keepLines/>
        <w:widowControl/>
        <w:pBdr>
          <w:top w:val="nil"/>
          <w:left w:val="nil"/>
          <w:bottom w:val="nil"/>
          <w:right w:val="nil"/>
          <w:between w:val="nil"/>
          <w:bar w:val="nil"/>
        </w:pBdr>
        <w:spacing w:before="0" w:after="0"/>
        <w:rPr>
          <w:rFonts w:ascii="Arial" w:eastAsia="Arial" w:hAnsi="Arial" w:cs="Arial"/>
          <w:color w:val="auto"/>
          <w:bdr w:val="nil"/>
          <w:lang w:val="en-GB" w:bidi="en-US"/>
        </w:rPr>
      </w:pPr>
    </w:p>
    <w:p w14:paraId="71F3E8C9" w14:textId="77777777" w:rsidR="00467C56" w:rsidRDefault="003A4815" w:rsidP="00C41E62">
      <w:pPr>
        <w:keepNext/>
        <w:keepLines/>
        <w:pBdr>
          <w:top w:val="nil"/>
          <w:left w:val="nil"/>
          <w:bottom w:val="nil"/>
          <w:right w:val="nil"/>
          <w:between w:val="nil"/>
          <w:bar w:val="nil"/>
        </w:pBdr>
        <w:autoSpaceDE w:val="0"/>
        <w:autoSpaceDN w:val="0"/>
        <w:jc w:val="both"/>
        <w:rPr>
          <w:rFonts w:ascii="Arial" w:eastAsia="Arial" w:hAnsi="Arial" w:cs="Arial"/>
          <w:kern w:val="32"/>
          <w:bdr w:val="nil"/>
          <w:lang w:val="en-US" w:eastAsia="el-GR"/>
        </w:rPr>
      </w:pPr>
      <w:r w:rsidRPr="00E9323F">
        <w:rPr>
          <w:rFonts w:ascii="Arial" w:eastAsia="Arial" w:hAnsi="Arial" w:cs="Arial"/>
          <w:kern w:val="32"/>
          <w:bdr w:val="none" w:sz="0" w:space="0" w:color="auto" w:frame="1"/>
          <w:lang w:val="en-US" w:eastAsia="el-GR" w:bidi="en-US"/>
        </w:rPr>
        <w:t xml:space="preserve">Set forth below are the names, ages and positions of our directors and executive officers. Our Board of Directors consists of </w:t>
      </w:r>
      <w:r w:rsidR="004366C5">
        <w:rPr>
          <w:rFonts w:ascii="Arial" w:eastAsia="Arial" w:hAnsi="Arial" w:cs="Arial"/>
          <w:kern w:val="32"/>
          <w:bdr w:val="none" w:sz="0" w:space="0" w:color="auto" w:frame="1"/>
          <w:lang w:val="en-US" w:eastAsia="el-GR" w:bidi="en-US"/>
        </w:rPr>
        <w:t>nine</w:t>
      </w:r>
      <w:r w:rsidRPr="00E9323F">
        <w:rPr>
          <w:rFonts w:ascii="Arial" w:eastAsia="Arial" w:hAnsi="Arial" w:cs="Arial"/>
          <w:kern w:val="32"/>
          <w:bdr w:val="none" w:sz="0" w:space="0" w:color="auto" w:frame="1"/>
          <w:lang w:val="en-US" w:eastAsia="el-GR" w:bidi="en-US"/>
        </w:rPr>
        <w:t xml:space="preserve"> members and is elected annually on a staggered basis, and each director elected holds office for a three-year term and until his or her successor is elected and has qualified, except in the event of such director’s death, resignation, removal or the earlier termination of his or her term of office. Officers are appointed from time to time by our board of directors and hold office until a successor is appointed or their employment is terminated.</w:t>
      </w:r>
    </w:p>
    <w:p w14:paraId="71F3E8CA" w14:textId="77777777" w:rsidR="00467C56" w:rsidRPr="00E9323F" w:rsidRDefault="00467C56" w:rsidP="00C41E62">
      <w:pPr>
        <w:keepNext/>
        <w:keepLines/>
        <w:pBdr>
          <w:top w:val="nil"/>
          <w:left w:val="nil"/>
          <w:bottom w:val="nil"/>
          <w:right w:val="nil"/>
          <w:between w:val="nil"/>
          <w:bar w:val="nil"/>
        </w:pBdr>
        <w:autoSpaceDE w:val="0"/>
        <w:autoSpaceDN w:val="0"/>
        <w:jc w:val="both"/>
        <w:rPr>
          <w:rFonts w:ascii="Arial" w:eastAsia="Arial" w:hAnsi="Arial" w:cs="Arial"/>
          <w:kern w:val="32"/>
          <w:bdr w:val="nil"/>
          <w:lang w:val="en-US" w:eastAsia="el-GR"/>
        </w:rPr>
      </w:pPr>
    </w:p>
    <w:tbl>
      <w:tblPr>
        <w:tblW w:w="10200" w:type="dxa"/>
        <w:shd w:val="clear" w:color="auto" w:fill="CCECFF"/>
        <w:tblLayout w:type="fixed"/>
        <w:tblCellMar>
          <w:left w:w="0" w:type="dxa"/>
          <w:right w:w="0" w:type="dxa"/>
        </w:tblCellMar>
        <w:tblLook w:val="04A0" w:firstRow="1" w:lastRow="0" w:firstColumn="1" w:lastColumn="0" w:noHBand="0" w:noVBand="1"/>
      </w:tblPr>
      <w:tblGrid>
        <w:gridCol w:w="3851"/>
        <w:gridCol w:w="320"/>
        <w:gridCol w:w="536"/>
        <w:gridCol w:w="330"/>
        <w:gridCol w:w="5163"/>
      </w:tblGrid>
      <w:tr w:rsidR="00510CAA" w14:paraId="71F3E8D0" w14:textId="77777777" w:rsidTr="0043472C">
        <w:trPr>
          <w:cantSplit/>
        </w:trPr>
        <w:tc>
          <w:tcPr>
            <w:tcW w:w="3851" w:type="dxa"/>
            <w:shd w:val="clear" w:color="auto" w:fill="FFFFFF"/>
            <w:vAlign w:val="bottom"/>
            <w:hideMark/>
          </w:tcPr>
          <w:p w14:paraId="71F3E8CB"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
                <w:bCs/>
                <w:bdr w:val="nil"/>
                <w:lang w:val="en-US"/>
              </w:rPr>
            </w:pPr>
            <w:r w:rsidRPr="00E9323F">
              <w:rPr>
                <w:rFonts w:ascii="Arial" w:eastAsia="Arial" w:hAnsi="Arial" w:cs="Arial"/>
                <w:b/>
                <w:bCs/>
                <w:lang w:val="en-US" w:bidi="en-US"/>
              </w:rPr>
              <w:t>Name</w:t>
            </w:r>
          </w:p>
        </w:tc>
        <w:tc>
          <w:tcPr>
            <w:tcW w:w="320" w:type="dxa"/>
            <w:shd w:val="clear" w:color="auto" w:fill="FFFFFF"/>
            <w:vAlign w:val="bottom"/>
            <w:hideMark/>
          </w:tcPr>
          <w:p w14:paraId="71F3E8CC"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
                <w:bCs/>
                <w:bdr w:val="nil"/>
                <w:lang w:val="en-US"/>
              </w:rPr>
            </w:pPr>
            <w:r w:rsidRPr="00E9323F">
              <w:rPr>
                <w:rFonts w:ascii="Arial" w:eastAsia="Arial" w:hAnsi="Arial" w:cs="Arial"/>
                <w:b/>
                <w:bCs/>
                <w:lang w:val="en-US" w:bidi="en-US"/>
              </w:rPr>
              <w:t> </w:t>
            </w:r>
          </w:p>
        </w:tc>
        <w:tc>
          <w:tcPr>
            <w:tcW w:w="536" w:type="dxa"/>
            <w:shd w:val="clear" w:color="auto" w:fill="FFFFFF"/>
            <w:vAlign w:val="bottom"/>
            <w:hideMark/>
          </w:tcPr>
          <w:p w14:paraId="71F3E8CD"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
                <w:bCs/>
                <w:bdr w:val="nil"/>
                <w:lang w:val="en-US"/>
              </w:rPr>
            </w:pPr>
            <w:r w:rsidRPr="00E9323F">
              <w:rPr>
                <w:rFonts w:ascii="Arial" w:eastAsia="Arial" w:hAnsi="Arial" w:cs="Arial"/>
                <w:b/>
                <w:bCs/>
                <w:lang w:val="en-US" w:bidi="en-US"/>
              </w:rPr>
              <w:t>Age</w:t>
            </w:r>
          </w:p>
        </w:tc>
        <w:tc>
          <w:tcPr>
            <w:tcW w:w="330" w:type="dxa"/>
            <w:shd w:val="clear" w:color="auto" w:fill="FFFFFF"/>
            <w:vAlign w:val="bottom"/>
            <w:hideMark/>
          </w:tcPr>
          <w:p w14:paraId="71F3E8CE"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
                <w:bCs/>
                <w:bdr w:val="nil"/>
                <w:lang w:val="en-US"/>
              </w:rPr>
            </w:pPr>
            <w:r w:rsidRPr="00E9323F">
              <w:rPr>
                <w:rFonts w:ascii="Arial" w:eastAsia="Arial" w:hAnsi="Arial" w:cs="Arial"/>
                <w:b/>
                <w:bCs/>
                <w:lang w:val="en-US" w:bidi="en-US"/>
              </w:rPr>
              <w:t> </w:t>
            </w:r>
          </w:p>
        </w:tc>
        <w:tc>
          <w:tcPr>
            <w:tcW w:w="5163" w:type="dxa"/>
            <w:shd w:val="clear" w:color="auto" w:fill="FFFFFF"/>
            <w:vAlign w:val="bottom"/>
            <w:hideMark/>
          </w:tcPr>
          <w:p w14:paraId="71F3E8CF"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
                <w:bCs/>
                <w:bdr w:val="nil"/>
                <w:lang w:val="en-US"/>
              </w:rPr>
            </w:pPr>
            <w:r w:rsidRPr="00E9323F">
              <w:rPr>
                <w:rFonts w:ascii="Arial" w:eastAsia="Arial" w:hAnsi="Arial" w:cs="Arial"/>
                <w:b/>
                <w:bCs/>
                <w:lang w:val="en-US" w:bidi="en-US"/>
              </w:rPr>
              <w:t>Position</w:t>
            </w:r>
          </w:p>
        </w:tc>
      </w:tr>
      <w:tr w:rsidR="00510CAA" w14:paraId="71F3E8D6" w14:textId="77777777" w:rsidTr="0043472C">
        <w:trPr>
          <w:cantSplit/>
        </w:trPr>
        <w:tc>
          <w:tcPr>
            <w:tcW w:w="3851" w:type="dxa"/>
            <w:shd w:val="clear" w:color="auto" w:fill="CCECFF"/>
            <w:hideMark/>
          </w:tcPr>
          <w:p w14:paraId="71F3E8D1"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Semiramis Paliou</w:t>
            </w:r>
          </w:p>
        </w:tc>
        <w:tc>
          <w:tcPr>
            <w:tcW w:w="320" w:type="dxa"/>
            <w:shd w:val="clear" w:color="auto" w:fill="CCECFF"/>
            <w:hideMark/>
          </w:tcPr>
          <w:p w14:paraId="71F3E8D2"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36" w:type="dxa"/>
            <w:shd w:val="clear" w:color="auto" w:fill="CCECFF"/>
            <w:hideMark/>
          </w:tcPr>
          <w:p w14:paraId="71F3E8D3"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dr w:val="nil"/>
                <w:lang w:val="en-US"/>
              </w:rPr>
            </w:pPr>
            <w:r>
              <w:rPr>
                <w:rFonts w:ascii="Arial" w:eastAsia="Arial" w:hAnsi="Arial" w:cs="Arial"/>
                <w:lang w:val="en-US" w:bidi="en-US"/>
              </w:rPr>
              <w:t>5</w:t>
            </w:r>
            <w:r w:rsidR="004366C5">
              <w:rPr>
                <w:rFonts w:ascii="Arial" w:eastAsia="Arial" w:hAnsi="Arial" w:cs="Arial"/>
                <w:lang w:val="en-US" w:bidi="en-US"/>
              </w:rPr>
              <w:t>1</w:t>
            </w:r>
          </w:p>
        </w:tc>
        <w:tc>
          <w:tcPr>
            <w:tcW w:w="330" w:type="dxa"/>
            <w:shd w:val="clear" w:color="auto" w:fill="CCECFF"/>
            <w:hideMark/>
          </w:tcPr>
          <w:p w14:paraId="71F3E8D4"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163" w:type="dxa"/>
            <w:shd w:val="clear" w:color="auto" w:fill="CCECFF"/>
            <w:hideMark/>
          </w:tcPr>
          <w:p w14:paraId="71F3E8D5"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III Director</w:t>
            </w:r>
            <w:r>
              <w:rPr>
                <w:rFonts w:ascii="Arial" w:eastAsia="Arial" w:hAnsi="Arial" w:cs="Arial"/>
                <w:lang w:val="en-US" w:bidi="en-US"/>
              </w:rPr>
              <w:t xml:space="preserve"> and</w:t>
            </w:r>
            <w:r w:rsidRPr="00E9323F">
              <w:rPr>
                <w:rFonts w:ascii="Arial" w:eastAsia="Arial" w:hAnsi="Arial" w:cs="Arial"/>
                <w:lang w:val="en-US" w:bidi="en-US"/>
              </w:rPr>
              <w:t xml:space="preserve"> Chief Executive Officer </w:t>
            </w:r>
          </w:p>
        </w:tc>
      </w:tr>
      <w:tr w:rsidR="00510CAA" w14:paraId="71F3E8DC" w14:textId="77777777" w:rsidTr="0043472C">
        <w:trPr>
          <w:cantSplit/>
        </w:trPr>
        <w:tc>
          <w:tcPr>
            <w:tcW w:w="3851" w:type="dxa"/>
            <w:shd w:val="clear" w:color="auto" w:fill="FFFFFF"/>
            <w:hideMark/>
          </w:tcPr>
          <w:p w14:paraId="71F3E8D7"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Simeon Palios</w:t>
            </w:r>
          </w:p>
        </w:tc>
        <w:tc>
          <w:tcPr>
            <w:tcW w:w="320" w:type="dxa"/>
            <w:shd w:val="clear" w:color="auto" w:fill="FFFFFF"/>
            <w:hideMark/>
          </w:tcPr>
          <w:p w14:paraId="71F3E8D8"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36" w:type="dxa"/>
            <w:shd w:val="clear" w:color="auto" w:fill="FFFFFF"/>
            <w:hideMark/>
          </w:tcPr>
          <w:p w14:paraId="71F3E8D9" w14:textId="77777777" w:rsidR="00997214" w:rsidRPr="00E9323F" w:rsidRDefault="003A4815" w:rsidP="00E9323F">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8</w:t>
            </w:r>
            <w:r w:rsidR="004366C5">
              <w:rPr>
                <w:rFonts w:ascii="Arial" w:eastAsia="Arial" w:hAnsi="Arial" w:cs="Arial"/>
                <w:lang w:val="en-US" w:bidi="en-US"/>
              </w:rPr>
              <w:t>4</w:t>
            </w:r>
          </w:p>
        </w:tc>
        <w:tc>
          <w:tcPr>
            <w:tcW w:w="330" w:type="dxa"/>
            <w:shd w:val="clear" w:color="auto" w:fill="FFFFFF"/>
            <w:hideMark/>
          </w:tcPr>
          <w:p w14:paraId="71F3E8DA"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163" w:type="dxa"/>
            <w:shd w:val="clear" w:color="auto" w:fill="FFFFFF"/>
            <w:hideMark/>
          </w:tcPr>
          <w:p w14:paraId="71F3E8DB" w14:textId="77777777" w:rsidR="00997214" w:rsidRPr="00E9323F" w:rsidRDefault="003A4815" w:rsidP="00E9323F">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 Director and Chairman</w:t>
            </w:r>
          </w:p>
        </w:tc>
      </w:tr>
      <w:tr w:rsidR="00510CAA" w14:paraId="71F3E8E2" w14:textId="77777777" w:rsidTr="0043472C">
        <w:trPr>
          <w:cantSplit/>
        </w:trPr>
        <w:tc>
          <w:tcPr>
            <w:tcW w:w="3851" w:type="dxa"/>
            <w:shd w:val="clear" w:color="auto" w:fill="CCECFF"/>
            <w:hideMark/>
          </w:tcPr>
          <w:p w14:paraId="71F3E8DD"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Ioannis Zafirakis</w:t>
            </w:r>
          </w:p>
        </w:tc>
        <w:tc>
          <w:tcPr>
            <w:tcW w:w="320" w:type="dxa"/>
            <w:shd w:val="clear" w:color="auto" w:fill="CCECFF"/>
            <w:hideMark/>
          </w:tcPr>
          <w:p w14:paraId="71F3E8DE"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36" w:type="dxa"/>
            <w:shd w:val="clear" w:color="auto" w:fill="CCECFF"/>
            <w:hideMark/>
          </w:tcPr>
          <w:p w14:paraId="71F3E8DF"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5</w:t>
            </w:r>
            <w:r>
              <w:rPr>
                <w:rFonts w:ascii="Arial" w:eastAsia="Arial" w:hAnsi="Arial" w:cs="Arial"/>
                <w:lang w:val="en-US" w:bidi="en-US"/>
              </w:rPr>
              <w:t>4</w:t>
            </w:r>
          </w:p>
        </w:tc>
        <w:tc>
          <w:tcPr>
            <w:tcW w:w="330" w:type="dxa"/>
            <w:shd w:val="clear" w:color="auto" w:fill="CCECFF"/>
            <w:hideMark/>
          </w:tcPr>
          <w:p w14:paraId="71F3E8E0"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163" w:type="dxa"/>
            <w:shd w:val="clear" w:color="auto" w:fill="CCECFF"/>
            <w:hideMark/>
          </w:tcPr>
          <w:p w14:paraId="71F3E8E1"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w:t>
            </w:r>
            <w:r>
              <w:rPr>
                <w:rFonts w:ascii="Arial" w:eastAsia="Arial" w:hAnsi="Arial" w:cs="Arial"/>
                <w:lang w:val="en-US" w:bidi="en-US"/>
              </w:rPr>
              <w:t>II</w:t>
            </w:r>
            <w:r w:rsidRPr="00E9323F">
              <w:rPr>
                <w:rFonts w:ascii="Arial" w:eastAsia="Arial" w:hAnsi="Arial" w:cs="Arial"/>
                <w:lang w:val="en-US" w:bidi="en-US"/>
              </w:rPr>
              <w:t xml:space="preserve"> Director</w:t>
            </w:r>
            <w:r>
              <w:rPr>
                <w:rFonts w:ascii="Arial" w:eastAsia="Arial" w:hAnsi="Arial" w:cs="Arial"/>
                <w:lang w:val="en-US" w:bidi="en-US"/>
              </w:rPr>
              <w:t xml:space="preserve"> and President</w:t>
            </w:r>
          </w:p>
        </w:tc>
      </w:tr>
      <w:tr w:rsidR="00510CAA" w14:paraId="71F3E8E8" w14:textId="77777777" w:rsidTr="0043472C">
        <w:trPr>
          <w:cantSplit/>
        </w:trPr>
        <w:tc>
          <w:tcPr>
            <w:tcW w:w="3851" w:type="dxa"/>
            <w:shd w:val="clear" w:color="auto" w:fill="FFFFFF"/>
            <w:hideMark/>
          </w:tcPr>
          <w:p w14:paraId="71F3E8E3"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Pr>
                <w:rFonts w:ascii="Arial" w:eastAsia="Arial" w:hAnsi="Arial" w:cs="Arial"/>
                <w:lang w:val="en-US" w:bidi="en-US"/>
              </w:rPr>
              <w:t>Anastasios Margaronis</w:t>
            </w:r>
          </w:p>
        </w:tc>
        <w:tc>
          <w:tcPr>
            <w:tcW w:w="320" w:type="dxa"/>
            <w:shd w:val="clear" w:color="auto" w:fill="FFFFFF"/>
            <w:hideMark/>
          </w:tcPr>
          <w:p w14:paraId="71F3E8E4"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36" w:type="dxa"/>
            <w:shd w:val="clear" w:color="auto" w:fill="FFFFFF"/>
            <w:hideMark/>
          </w:tcPr>
          <w:p w14:paraId="71F3E8E5"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Pr>
                <w:rFonts w:ascii="Arial" w:eastAsia="Arial" w:hAnsi="Arial" w:cs="Arial"/>
                <w:lang w:val="en-US" w:bidi="en-US"/>
              </w:rPr>
              <w:t>70</w:t>
            </w:r>
          </w:p>
        </w:tc>
        <w:tc>
          <w:tcPr>
            <w:tcW w:w="330" w:type="dxa"/>
            <w:shd w:val="clear" w:color="auto" w:fill="FFFFFF"/>
            <w:hideMark/>
          </w:tcPr>
          <w:p w14:paraId="71F3E8E6"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w:t>
            </w:r>
          </w:p>
        </w:tc>
        <w:tc>
          <w:tcPr>
            <w:tcW w:w="5163" w:type="dxa"/>
            <w:shd w:val="clear" w:color="auto" w:fill="FFFFFF"/>
            <w:hideMark/>
          </w:tcPr>
          <w:p w14:paraId="71F3E8E7"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 Director</w:t>
            </w:r>
          </w:p>
        </w:tc>
      </w:tr>
      <w:tr w:rsidR="00510CAA" w14:paraId="71F3E8EE" w14:textId="77777777" w:rsidTr="004366C5">
        <w:trPr>
          <w:cantSplit/>
        </w:trPr>
        <w:tc>
          <w:tcPr>
            <w:tcW w:w="3851" w:type="dxa"/>
            <w:shd w:val="clear" w:color="auto" w:fill="CCECFF"/>
          </w:tcPr>
          <w:p w14:paraId="71F3E8E9"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kern w:val="32"/>
                <w:lang w:val="en-US" w:bidi="en-US"/>
              </w:rPr>
              <w:t>Kyriacos Riris</w:t>
            </w:r>
          </w:p>
        </w:tc>
        <w:tc>
          <w:tcPr>
            <w:tcW w:w="320" w:type="dxa"/>
            <w:shd w:val="clear" w:color="auto" w:fill="CCECFF"/>
          </w:tcPr>
          <w:p w14:paraId="71F3E8EA"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kern w:val="32"/>
                <w:lang w:val="en-US" w:bidi="en-US"/>
              </w:rPr>
              <w:t> </w:t>
            </w:r>
          </w:p>
        </w:tc>
        <w:tc>
          <w:tcPr>
            <w:tcW w:w="536" w:type="dxa"/>
            <w:shd w:val="clear" w:color="auto" w:fill="CCECFF"/>
          </w:tcPr>
          <w:p w14:paraId="71F3E8EB"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kern w:val="32"/>
                <w:lang w:val="en-US" w:bidi="en-US"/>
              </w:rPr>
              <w:t>7</w:t>
            </w:r>
            <w:r>
              <w:rPr>
                <w:rFonts w:ascii="Arial" w:eastAsia="Arial" w:hAnsi="Arial" w:cs="Arial"/>
                <w:kern w:val="32"/>
                <w:lang w:val="en-US" w:bidi="en-US"/>
              </w:rPr>
              <w:t>6</w:t>
            </w:r>
          </w:p>
        </w:tc>
        <w:tc>
          <w:tcPr>
            <w:tcW w:w="330" w:type="dxa"/>
            <w:shd w:val="clear" w:color="auto" w:fill="CCECFF"/>
          </w:tcPr>
          <w:p w14:paraId="71F3E8EC"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kern w:val="32"/>
                <w:lang w:val="en-US" w:bidi="en-US"/>
              </w:rPr>
              <w:t> </w:t>
            </w:r>
          </w:p>
        </w:tc>
        <w:tc>
          <w:tcPr>
            <w:tcW w:w="5163" w:type="dxa"/>
            <w:shd w:val="clear" w:color="auto" w:fill="CCECFF"/>
          </w:tcPr>
          <w:p w14:paraId="71F3E8ED"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kern w:val="32"/>
                <w:lang w:val="en-US" w:bidi="en-US"/>
              </w:rPr>
              <w:t>Class II Director</w:t>
            </w:r>
          </w:p>
        </w:tc>
      </w:tr>
      <w:tr w:rsidR="00510CAA" w14:paraId="71F3E8F4" w14:textId="77777777" w:rsidTr="0043472C">
        <w:trPr>
          <w:cantSplit/>
        </w:trPr>
        <w:tc>
          <w:tcPr>
            <w:tcW w:w="3851" w:type="dxa"/>
            <w:shd w:val="clear" w:color="auto" w:fill="FFFFFF"/>
            <w:hideMark/>
          </w:tcPr>
          <w:p w14:paraId="71F3E8EF"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kern w:val="32"/>
                <w:bdr w:val="nil"/>
                <w:lang w:val="en-US"/>
              </w:rPr>
            </w:pPr>
            <w:r w:rsidRPr="00E9323F">
              <w:rPr>
                <w:rFonts w:ascii="Arial" w:eastAsia="Arial" w:hAnsi="Arial" w:cs="Arial"/>
                <w:lang w:val="en-US" w:bidi="en-US"/>
              </w:rPr>
              <w:t>Apostolos Kontoyannis</w:t>
            </w:r>
          </w:p>
        </w:tc>
        <w:tc>
          <w:tcPr>
            <w:tcW w:w="320" w:type="dxa"/>
            <w:shd w:val="clear" w:color="auto" w:fill="FFFFFF"/>
            <w:hideMark/>
          </w:tcPr>
          <w:p w14:paraId="71F3E8F0"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kern w:val="32"/>
                <w:bdr w:val="nil"/>
                <w:lang w:val="en-US"/>
              </w:rPr>
            </w:pPr>
            <w:r w:rsidRPr="00E9323F">
              <w:rPr>
                <w:rFonts w:ascii="Arial" w:eastAsia="Arial" w:hAnsi="Arial" w:cs="Arial"/>
                <w:lang w:val="en-US" w:bidi="en-US"/>
              </w:rPr>
              <w:t> </w:t>
            </w:r>
          </w:p>
        </w:tc>
        <w:tc>
          <w:tcPr>
            <w:tcW w:w="536" w:type="dxa"/>
            <w:shd w:val="clear" w:color="auto" w:fill="FFFFFF"/>
            <w:hideMark/>
          </w:tcPr>
          <w:p w14:paraId="71F3E8F1"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kern w:val="32"/>
                <w:bdr w:val="nil"/>
                <w:lang w:val="en-US"/>
              </w:rPr>
            </w:pPr>
            <w:r w:rsidRPr="00E9323F">
              <w:rPr>
                <w:rFonts w:ascii="Arial" w:eastAsia="Arial" w:hAnsi="Arial" w:cs="Arial"/>
                <w:lang w:val="en-US" w:bidi="en-US"/>
              </w:rPr>
              <w:t>7</w:t>
            </w:r>
            <w:r>
              <w:rPr>
                <w:rFonts w:ascii="Arial" w:eastAsia="Arial" w:hAnsi="Arial" w:cs="Arial"/>
                <w:lang w:val="en-US" w:bidi="en-US"/>
              </w:rPr>
              <w:t>7</w:t>
            </w:r>
          </w:p>
        </w:tc>
        <w:tc>
          <w:tcPr>
            <w:tcW w:w="330" w:type="dxa"/>
            <w:shd w:val="clear" w:color="auto" w:fill="FFFFFF"/>
            <w:hideMark/>
          </w:tcPr>
          <w:p w14:paraId="71F3E8F2"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kern w:val="32"/>
                <w:bdr w:val="nil"/>
                <w:lang w:val="en-US"/>
              </w:rPr>
            </w:pPr>
            <w:r w:rsidRPr="00E9323F">
              <w:rPr>
                <w:rFonts w:ascii="Arial" w:eastAsia="Arial" w:hAnsi="Arial" w:cs="Arial"/>
                <w:lang w:val="en-US" w:bidi="en-US"/>
              </w:rPr>
              <w:t> </w:t>
            </w:r>
          </w:p>
        </w:tc>
        <w:tc>
          <w:tcPr>
            <w:tcW w:w="5163" w:type="dxa"/>
            <w:shd w:val="clear" w:color="auto" w:fill="FFFFFF"/>
            <w:hideMark/>
          </w:tcPr>
          <w:p w14:paraId="71F3E8F3"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kern w:val="32"/>
                <w:bdr w:val="nil"/>
                <w:lang w:val="en-US"/>
              </w:rPr>
            </w:pPr>
            <w:r w:rsidRPr="00E9323F">
              <w:rPr>
                <w:rFonts w:ascii="Arial" w:eastAsia="Arial" w:hAnsi="Arial" w:cs="Arial"/>
                <w:lang w:val="en-US" w:bidi="en-US"/>
              </w:rPr>
              <w:t>Class III Director</w:t>
            </w:r>
          </w:p>
        </w:tc>
      </w:tr>
      <w:tr w:rsidR="00510CAA" w14:paraId="71F3E8FA" w14:textId="77777777" w:rsidTr="0043472C">
        <w:trPr>
          <w:cantSplit/>
        </w:trPr>
        <w:tc>
          <w:tcPr>
            <w:tcW w:w="3851" w:type="dxa"/>
            <w:shd w:val="clear" w:color="auto" w:fill="CCECFF"/>
            <w:hideMark/>
          </w:tcPr>
          <w:p w14:paraId="71F3E8F5"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 xml:space="preserve">Eleftherios Papatrifon </w:t>
            </w:r>
          </w:p>
        </w:tc>
        <w:tc>
          <w:tcPr>
            <w:tcW w:w="320" w:type="dxa"/>
            <w:shd w:val="clear" w:color="auto" w:fill="CCECFF"/>
            <w:hideMark/>
          </w:tcPr>
          <w:p w14:paraId="71F3E8F6"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CCECFF"/>
            <w:hideMark/>
          </w:tcPr>
          <w:p w14:paraId="71F3E8F7"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5</w:t>
            </w:r>
            <w:r>
              <w:rPr>
                <w:rFonts w:ascii="Arial" w:eastAsia="Arial" w:hAnsi="Arial" w:cs="Arial"/>
                <w:lang w:val="en-US" w:bidi="en-US"/>
              </w:rPr>
              <w:t>5</w:t>
            </w:r>
          </w:p>
        </w:tc>
        <w:tc>
          <w:tcPr>
            <w:tcW w:w="330" w:type="dxa"/>
            <w:shd w:val="clear" w:color="auto" w:fill="CCECFF"/>
            <w:hideMark/>
          </w:tcPr>
          <w:p w14:paraId="71F3E8F8"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CCECFF"/>
            <w:hideMark/>
          </w:tcPr>
          <w:p w14:paraId="71F3E8F9"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II Director</w:t>
            </w:r>
          </w:p>
        </w:tc>
      </w:tr>
      <w:tr w:rsidR="00510CAA" w14:paraId="71F3E900" w14:textId="77777777" w:rsidTr="004366C5">
        <w:trPr>
          <w:cantSplit/>
        </w:trPr>
        <w:tc>
          <w:tcPr>
            <w:tcW w:w="3851" w:type="dxa"/>
            <w:shd w:val="clear" w:color="auto" w:fill="FFFFFF"/>
          </w:tcPr>
          <w:p w14:paraId="71F3E8FB"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bookmarkStart w:id="188" w:name="_cp_table_15_447"/>
            <w:r w:rsidRPr="00E9323F">
              <w:rPr>
                <w:rFonts w:ascii="Arial" w:eastAsia="Arial" w:hAnsi="Arial" w:cs="Arial"/>
                <w:lang w:val="en-US" w:bidi="en-US"/>
              </w:rPr>
              <w:t>Simon Frank Peter Morecroft</w:t>
            </w:r>
          </w:p>
        </w:tc>
        <w:tc>
          <w:tcPr>
            <w:tcW w:w="320" w:type="dxa"/>
            <w:shd w:val="clear" w:color="auto" w:fill="FFFFFF"/>
          </w:tcPr>
          <w:p w14:paraId="71F3E8FC"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FFFFFF"/>
          </w:tcPr>
          <w:p w14:paraId="71F3E8FD"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6</w:t>
            </w:r>
            <w:r>
              <w:rPr>
                <w:rFonts w:ascii="Arial" w:eastAsia="Arial" w:hAnsi="Arial" w:cs="Arial"/>
                <w:lang w:val="en-US" w:bidi="en-US"/>
              </w:rPr>
              <w:t>6</w:t>
            </w:r>
          </w:p>
        </w:tc>
        <w:tc>
          <w:tcPr>
            <w:tcW w:w="330" w:type="dxa"/>
            <w:shd w:val="clear" w:color="auto" w:fill="FFFFFF"/>
          </w:tcPr>
          <w:p w14:paraId="71F3E8FE"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FFFFFF"/>
          </w:tcPr>
          <w:p w14:paraId="71F3E8FF"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II Director</w:t>
            </w:r>
          </w:p>
        </w:tc>
        <w:bookmarkEnd w:id="188"/>
      </w:tr>
      <w:tr w:rsidR="00510CAA" w14:paraId="71F3E906" w14:textId="77777777" w:rsidTr="0043472C">
        <w:trPr>
          <w:cantSplit/>
        </w:trPr>
        <w:tc>
          <w:tcPr>
            <w:tcW w:w="3851" w:type="dxa"/>
            <w:shd w:val="clear" w:color="auto" w:fill="CCECFF"/>
            <w:hideMark/>
          </w:tcPr>
          <w:p w14:paraId="71F3E901"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Jane Sih Ho Chao</w:t>
            </w:r>
          </w:p>
        </w:tc>
        <w:tc>
          <w:tcPr>
            <w:tcW w:w="320" w:type="dxa"/>
            <w:shd w:val="clear" w:color="auto" w:fill="CCECFF"/>
          </w:tcPr>
          <w:p w14:paraId="71F3E902"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CCECFF"/>
            <w:hideMark/>
          </w:tcPr>
          <w:p w14:paraId="71F3E903"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4</w:t>
            </w:r>
            <w:r>
              <w:rPr>
                <w:rFonts w:ascii="Arial" w:eastAsia="Arial" w:hAnsi="Arial" w:cs="Arial"/>
                <w:lang w:val="en-US" w:bidi="en-US"/>
              </w:rPr>
              <w:t>9</w:t>
            </w:r>
          </w:p>
        </w:tc>
        <w:tc>
          <w:tcPr>
            <w:tcW w:w="330" w:type="dxa"/>
            <w:shd w:val="clear" w:color="auto" w:fill="CCECFF"/>
          </w:tcPr>
          <w:p w14:paraId="71F3E904"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CCECFF"/>
            <w:hideMark/>
          </w:tcPr>
          <w:p w14:paraId="71F3E905"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Class I Director</w:t>
            </w:r>
          </w:p>
        </w:tc>
      </w:tr>
      <w:tr w:rsidR="00510CAA" w14:paraId="71F3E90C" w14:textId="77777777" w:rsidTr="0043472C">
        <w:trPr>
          <w:cantSplit/>
        </w:trPr>
        <w:tc>
          <w:tcPr>
            <w:tcW w:w="3851" w:type="dxa"/>
            <w:shd w:val="clear" w:color="auto" w:fill="FFFFFF"/>
            <w:hideMark/>
          </w:tcPr>
          <w:p w14:paraId="71F3E907"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Maria Dede</w:t>
            </w:r>
          </w:p>
        </w:tc>
        <w:tc>
          <w:tcPr>
            <w:tcW w:w="320" w:type="dxa"/>
            <w:shd w:val="clear" w:color="auto" w:fill="FFFFFF"/>
          </w:tcPr>
          <w:p w14:paraId="71F3E908"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FFFFFF"/>
            <w:hideMark/>
          </w:tcPr>
          <w:p w14:paraId="71F3E909"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5</w:t>
            </w:r>
            <w:r>
              <w:rPr>
                <w:rFonts w:ascii="Arial" w:eastAsia="Arial" w:hAnsi="Arial" w:cs="Arial"/>
                <w:lang w:val="en-US" w:bidi="en-US"/>
              </w:rPr>
              <w:t>3</w:t>
            </w:r>
          </w:p>
        </w:tc>
        <w:tc>
          <w:tcPr>
            <w:tcW w:w="330" w:type="dxa"/>
            <w:shd w:val="clear" w:color="auto" w:fill="FFFFFF"/>
          </w:tcPr>
          <w:p w14:paraId="71F3E90A"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FFFFFF"/>
          </w:tcPr>
          <w:p w14:paraId="71F3E90B"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Pr>
                <w:rFonts w:ascii="Arial" w:eastAsia="Arial" w:hAnsi="Arial" w:cs="Arial"/>
                <w:lang w:val="en-US" w:bidi="en-US"/>
              </w:rPr>
              <w:t>Co-</w:t>
            </w:r>
            <w:r w:rsidRPr="00E9323F">
              <w:rPr>
                <w:rFonts w:ascii="Arial" w:eastAsia="Arial" w:hAnsi="Arial" w:cs="Arial"/>
                <w:lang w:val="en-US" w:bidi="en-US"/>
              </w:rPr>
              <w:t xml:space="preserve">Chief </w:t>
            </w:r>
            <w:r>
              <w:rPr>
                <w:rFonts w:ascii="Arial" w:eastAsia="Arial" w:hAnsi="Arial" w:cs="Arial"/>
                <w:lang w:val="en-US" w:bidi="en-US"/>
              </w:rPr>
              <w:t xml:space="preserve">Financial </w:t>
            </w:r>
            <w:r w:rsidRPr="00E9323F">
              <w:rPr>
                <w:rFonts w:ascii="Arial" w:eastAsia="Arial" w:hAnsi="Arial" w:cs="Arial"/>
                <w:lang w:val="en-US" w:bidi="en-US"/>
              </w:rPr>
              <w:t>Officer</w:t>
            </w:r>
            <w:r>
              <w:rPr>
                <w:rFonts w:ascii="Arial" w:eastAsia="Arial" w:hAnsi="Arial" w:cs="Arial"/>
                <w:lang w:val="en-US" w:bidi="en-US"/>
              </w:rPr>
              <w:t xml:space="preserve"> and Treasurer</w:t>
            </w:r>
          </w:p>
        </w:tc>
      </w:tr>
      <w:tr w:rsidR="00510CAA" w14:paraId="71F3E912" w14:textId="77777777" w:rsidTr="0043472C">
        <w:trPr>
          <w:cantSplit/>
        </w:trPr>
        <w:tc>
          <w:tcPr>
            <w:tcW w:w="3851" w:type="dxa"/>
            <w:shd w:val="clear" w:color="auto" w:fill="CCECFF"/>
          </w:tcPr>
          <w:p w14:paraId="71F3E90D"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Margarita Veniou</w:t>
            </w:r>
          </w:p>
        </w:tc>
        <w:tc>
          <w:tcPr>
            <w:tcW w:w="320" w:type="dxa"/>
            <w:shd w:val="clear" w:color="auto" w:fill="CCECFF"/>
          </w:tcPr>
          <w:p w14:paraId="71F3E90E"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CCECFF"/>
          </w:tcPr>
          <w:p w14:paraId="71F3E90F"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Pr>
                <w:rFonts w:ascii="Arial" w:eastAsia="Arial" w:hAnsi="Arial" w:cs="Arial"/>
                <w:lang w:val="en-US" w:bidi="en-US"/>
              </w:rPr>
              <w:t>47</w:t>
            </w:r>
          </w:p>
        </w:tc>
        <w:tc>
          <w:tcPr>
            <w:tcW w:w="330" w:type="dxa"/>
            <w:shd w:val="clear" w:color="auto" w:fill="CCECFF"/>
          </w:tcPr>
          <w:p w14:paraId="71F3E910"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CCECFF"/>
          </w:tcPr>
          <w:p w14:paraId="71F3E911"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Chief Corporate Development, Governance &amp; Communications Officer</w:t>
            </w:r>
            <w:r>
              <w:rPr>
                <w:rFonts w:ascii="Arial" w:eastAsia="Arial" w:hAnsi="Arial" w:cs="Arial"/>
                <w:lang w:val="en-US" w:bidi="en-US"/>
              </w:rPr>
              <w:t xml:space="preserve"> and Secretary</w:t>
            </w:r>
          </w:p>
        </w:tc>
      </w:tr>
      <w:tr w:rsidR="00510CAA" w14:paraId="71F3E918" w14:textId="77777777" w:rsidTr="0043472C">
        <w:trPr>
          <w:cantSplit/>
        </w:trPr>
        <w:tc>
          <w:tcPr>
            <w:tcW w:w="3851" w:type="dxa"/>
            <w:shd w:val="clear" w:color="auto" w:fill="FFFFFF"/>
          </w:tcPr>
          <w:p w14:paraId="71F3E913"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Maria Christina Tsemani</w:t>
            </w:r>
          </w:p>
        </w:tc>
        <w:tc>
          <w:tcPr>
            <w:tcW w:w="320" w:type="dxa"/>
            <w:shd w:val="clear" w:color="auto" w:fill="FFFFFF"/>
          </w:tcPr>
          <w:p w14:paraId="71F3E914"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FFFFFF"/>
          </w:tcPr>
          <w:p w14:paraId="71F3E915"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sidRPr="00E9323F">
              <w:rPr>
                <w:rFonts w:ascii="Arial" w:eastAsia="Arial" w:hAnsi="Arial" w:cs="Arial"/>
                <w:lang w:val="en-US" w:bidi="en-US"/>
              </w:rPr>
              <w:t>4</w:t>
            </w:r>
            <w:r>
              <w:rPr>
                <w:rFonts w:ascii="Arial" w:eastAsia="Arial" w:hAnsi="Arial" w:cs="Arial"/>
                <w:lang w:val="en-US" w:bidi="en-US"/>
              </w:rPr>
              <w:t>7</w:t>
            </w:r>
          </w:p>
        </w:tc>
        <w:tc>
          <w:tcPr>
            <w:tcW w:w="330" w:type="dxa"/>
            <w:shd w:val="clear" w:color="auto" w:fill="FFFFFF"/>
          </w:tcPr>
          <w:p w14:paraId="71F3E916"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FFFFFF"/>
          </w:tcPr>
          <w:p w14:paraId="71F3E917"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sidRPr="00E9323F">
              <w:rPr>
                <w:rFonts w:ascii="Arial" w:eastAsia="Arial" w:hAnsi="Arial" w:cs="Arial"/>
                <w:lang w:val="en-US" w:bidi="en-US"/>
              </w:rPr>
              <w:t>Chief People</w:t>
            </w:r>
            <w:r>
              <w:rPr>
                <w:rFonts w:ascii="Arial" w:eastAsia="Arial" w:hAnsi="Arial" w:cs="Arial"/>
                <w:lang w:val="en-US" w:bidi="en-US"/>
              </w:rPr>
              <w:t xml:space="preserve"> &amp; Culture</w:t>
            </w:r>
            <w:r w:rsidRPr="00E9323F">
              <w:rPr>
                <w:rFonts w:ascii="Arial" w:eastAsia="Arial" w:hAnsi="Arial" w:cs="Arial"/>
                <w:lang w:val="en-US" w:bidi="en-US"/>
              </w:rPr>
              <w:t xml:space="preserve"> Officer</w:t>
            </w:r>
          </w:p>
        </w:tc>
      </w:tr>
      <w:tr w:rsidR="00510CAA" w14:paraId="71F3E91E" w14:textId="77777777" w:rsidTr="0043472C">
        <w:trPr>
          <w:cantSplit/>
        </w:trPr>
        <w:tc>
          <w:tcPr>
            <w:tcW w:w="3851" w:type="dxa"/>
            <w:shd w:val="clear" w:color="auto" w:fill="CCECFF"/>
          </w:tcPr>
          <w:p w14:paraId="71F3E919"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Pr>
                <w:rFonts w:ascii="Arial" w:eastAsia="Arial" w:hAnsi="Arial" w:cs="Arial"/>
                <w:lang w:val="en-US"/>
              </w:rPr>
              <w:t>Evangelos Sfakiotakis</w:t>
            </w:r>
          </w:p>
        </w:tc>
        <w:tc>
          <w:tcPr>
            <w:tcW w:w="320" w:type="dxa"/>
            <w:shd w:val="clear" w:color="auto" w:fill="CCECFF"/>
          </w:tcPr>
          <w:p w14:paraId="71F3E91A" w14:textId="77777777" w:rsidR="00543157" w:rsidRPr="00E9323F" w:rsidRDefault="00543157" w:rsidP="00543157">
            <w:pPr>
              <w:keepNext/>
              <w:spacing w:line="276" w:lineRule="auto"/>
              <w:rPr>
                <w:rFonts w:ascii="Arial" w:eastAsia="Arial" w:hAnsi="Arial" w:cs="Arial"/>
                <w:bdr w:val="nil"/>
                <w:lang w:val="en-US"/>
              </w:rPr>
            </w:pPr>
          </w:p>
        </w:tc>
        <w:tc>
          <w:tcPr>
            <w:tcW w:w="536" w:type="dxa"/>
            <w:shd w:val="clear" w:color="auto" w:fill="CCECFF"/>
          </w:tcPr>
          <w:p w14:paraId="71F3E91B" w14:textId="77777777" w:rsidR="00543157" w:rsidRPr="00E9323F" w:rsidRDefault="003A4815" w:rsidP="00543157">
            <w:pPr>
              <w:keepNext/>
              <w:pBdr>
                <w:top w:val="nil"/>
                <w:left w:val="nil"/>
                <w:bottom w:val="nil"/>
                <w:right w:val="nil"/>
                <w:between w:val="nil"/>
                <w:bar w:val="nil"/>
              </w:pBdr>
              <w:spacing w:line="276" w:lineRule="auto"/>
              <w:jc w:val="center"/>
              <w:rPr>
                <w:rFonts w:ascii="Arial" w:eastAsia="Arial" w:hAnsi="Arial" w:cs="Arial"/>
                <w:bdr w:val="nil"/>
                <w:lang w:val="en-US"/>
              </w:rPr>
            </w:pPr>
            <w:r>
              <w:rPr>
                <w:rFonts w:ascii="Arial" w:eastAsia="Arial" w:hAnsi="Arial" w:cs="Arial"/>
                <w:lang w:val="en-US" w:bidi="en-US"/>
              </w:rPr>
              <w:t>54</w:t>
            </w:r>
          </w:p>
        </w:tc>
        <w:tc>
          <w:tcPr>
            <w:tcW w:w="330" w:type="dxa"/>
            <w:shd w:val="clear" w:color="auto" w:fill="CCECFF"/>
          </w:tcPr>
          <w:p w14:paraId="71F3E91C" w14:textId="77777777" w:rsidR="00543157" w:rsidRPr="00E9323F" w:rsidRDefault="00543157" w:rsidP="00543157">
            <w:pPr>
              <w:keepNext/>
              <w:spacing w:line="276" w:lineRule="auto"/>
              <w:rPr>
                <w:rFonts w:ascii="Arial" w:eastAsia="Arial" w:hAnsi="Arial" w:cs="Arial"/>
                <w:bdr w:val="nil"/>
                <w:lang w:val="en-US"/>
              </w:rPr>
            </w:pPr>
          </w:p>
        </w:tc>
        <w:tc>
          <w:tcPr>
            <w:tcW w:w="5163" w:type="dxa"/>
            <w:shd w:val="clear" w:color="auto" w:fill="CCECFF"/>
          </w:tcPr>
          <w:p w14:paraId="71F3E91D" w14:textId="77777777" w:rsidR="00543157" w:rsidRPr="00E9323F" w:rsidRDefault="003A4815" w:rsidP="00543157">
            <w:pPr>
              <w:keepNext/>
              <w:pBdr>
                <w:top w:val="nil"/>
                <w:left w:val="nil"/>
                <w:bottom w:val="nil"/>
                <w:right w:val="nil"/>
                <w:between w:val="nil"/>
                <w:bar w:val="nil"/>
              </w:pBdr>
              <w:spacing w:line="276" w:lineRule="auto"/>
              <w:rPr>
                <w:rFonts w:ascii="Arial" w:eastAsia="Arial" w:hAnsi="Arial" w:cs="Arial"/>
                <w:bdr w:val="nil"/>
                <w:lang w:val="en-US"/>
              </w:rPr>
            </w:pPr>
            <w:r>
              <w:rPr>
                <w:rFonts w:ascii="Arial" w:eastAsia="Arial" w:hAnsi="Arial" w:cs="Arial"/>
                <w:lang w:val="en-US" w:bidi="en-US"/>
              </w:rPr>
              <w:t>Chief Technical Investment Officer</w:t>
            </w:r>
          </w:p>
        </w:tc>
      </w:tr>
    </w:tbl>
    <w:p w14:paraId="71F3E91F" w14:textId="77777777" w:rsidR="00997214" w:rsidRPr="00E9323F" w:rsidRDefault="00997214" w:rsidP="00E9323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0"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The term of our Class I directors expires in 2027, the term of our Class II directors expires in 202</w:t>
      </w:r>
      <w:r w:rsidR="004366C5">
        <w:rPr>
          <w:rFonts w:ascii="Arial" w:eastAsia="Arial" w:hAnsi="Arial" w:cs="Arial"/>
          <w:bdr w:val="none" w:sz="0" w:space="0" w:color="auto" w:frame="1"/>
          <w:lang w:val="en-US" w:eastAsia="el-GR" w:bidi="en-US"/>
        </w:rPr>
        <w:t>8</w:t>
      </w:r>
      <w:r w:rsidRPr="006A0137">
        <w:rPr>
          <w:rFonts w:ascii="Arial" w:eastAsia="Arial" w:hAnsi="Arial" w:cs="Arial"/>
          <w:bdr w:val="none" w:sz="0" w:space="0" w:color="auto" w:frame="1"/>
          <w:lang w:val="en-US" w:eastAsia="el-GR" w:bidi="en-US"/>
        </w:rPr>
        <w:t xml:space="preserve">, and the term of our Class III directors expires in 2026. </w:t>
      </w:r>
    </w:p>
    <w:p w14:paraId="71F3E921"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2"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The business address of each officer and director is the address of our principal executive offices, which are located at Pendelis 16, 175 64 Palaio Faliro, Athens, Greece.</w:t>
      </w:r>
    </w:p>
    <w:p w14:paraId="71F3E923"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4"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Biographical information with respect to each of our directors and executive officers is set forth below.</w:t>
      </w:r>
    </w:p>
    <w:p w14:paraId="71F3E925"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6"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Semiramis Paliou</w:t>
      </w:r>
      <w:r w:rsidRPr="006A0137">
        <w:rPr>
          <w:rFonts w:ascii="Arial" w:eastAsia="Arial" w:hAnsi="Arial" w:cs="Arial"/>
          <w:bdr w:val="none" w:sz="0" w:space="0" w:color="auto" w:frame="1"/>
          <w:lang w:val="en-US" w:eastAsia="el-GR" w:bidi="en-US"/>
        </w:rPr>
        <w:t xml:space="preserve"> </w:t>
      </w:r>
      <w:r w:rsidR="00806DAF" w:rsidRPr="00806DAF">
        <w:rPr>
          <w:rFonts w:ascii="Arial" w:eastAsia="Arial" w:hAnsi="Arial" w:cs="Arial"/>
          <w:bdr w:val="none" w:sz="0" w:space="0" w:color="auto" w:frame="1"/>
          <w:lang w:val="en-US" w:eastAsia="el-GR" w:bidi="en-US"/>
        </w:rPr>
        <w:t xml:space="preserve">has served as a Director of Diana Shipping Inc. since March 2015, and as the Company’s Chief Executive Officer, Chairperson of the Executive Committee and member of the Sustainability Committee since March 2021. </w:t>
      </w:r>
      <w:r w:rsidR="00140D99" w:rsidRPr="00140D99">
        <w:rPr>
          <w:rFonts w:ascii="Arial" w:eastAsia="Arial" w:hAnsi="Arial" w:cs="Arial"/>
          <w:bdr w:val="none" w:sz="0" w:space="0" w:color="auto" w:frame="1"/>
          <w:lang w:val="en-US" w:eastAsia="el-GR" w:bidi="en-US"/>
        </w:rPr>
        <w:t>Ms. Paliou has been the Chief Executive Officer of Diana Shipping Services S.A. since March 2021.</w:t>
      </w:r>
      <w:r w:rsidR="00140D99">
        <w:rPr>
          <w:rFonts w:ascii="Arial" w:eastAsia="Arial" w:hAnsi="Arial" w:cs="Arial"/>
          <w:bdr w:val="none" w:sz="0" w:space="0" w:color="auto" w:frame="1"/>
          <w:lang w:val="en-US" w:eastAsia="el-GR" w:bidi="en-US"/>
        </w:rPr>
        <w:t xml:space="preserve"> </w:t>
      </w:r>
      <w:r w:rsidR="00806DAF" w:rsidRPr="00806DAF">
        <w:rPr>
          <w:rFonts w:ascii="Arial" w:eastAsia="Arial" w:hAnsi="Arial" w:cs="Arial"/>
          <w:bdr w:val="none" w:sz="0" w:space="0" w:color="auto" w:frame="1"/>
          <w:lang w:val="en-US" w:eastAsia="el-GR" w:bidi="en-US"/>
        </w:rPr>
        <w:t>Ms. Paliou is the Chairperson of the Hellenic Marine Environment Protection Association (HELMEPA), a position she has held since June 2020, while she joined its board of directors in March 2018. As of July 2023, she serves as Chairperson of INTERMEPA. She is also a member of the board of directors of the UK P&amp;I Club since November 2020, member of the Union of Greek Shipowners since February 2022 and member of the Global Maritime Forum since April 2022. She is Vice-Chairperson of the Greek committee of Det Norske Veritas, a member of the Greek committee of Nippon Kaiji Kyokai, Bureau Veritas, American Bureau of Shipping and Hellenic War Risks. She also served as a Director of OceanPal Inc. (NASDAQ: SVRN) from April 2021 until October 2025 and as the Chairperson of the Board of Directors and of the Executive Committee of OceanPal Inc. from November 2021 until October 2025</w:t>
      </w:r>
      <w:r w:rsidR="00806DAF">
        <w:rPr>
          <w:rFonts w:ascii="Arial" w:eastAsia="Arial" w:hAnsi="Arial" w:cs="Arial"/>
          <w:bdr w:val="none" w:sz="0" w:space="0" w:color="auto" w:frame="1"/>
          <w:lang w:val="en-US" w:eastAsia="el-GR" w:bidi="en-US"/>
        </w:rPr>
        <w:t>.</w:t>
      </w:r>
    </w:p>
    <w:p w14:paraId="71F3E927"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8"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 xml:space="preserve">Ms. Paliou has over 20 years of experience in shipping operations, technical management and crewing. She began her career at Lloyd’s Register of Shipping where she worked as a trainee ship surveyor from 1996 to 1998. She was then employed by Diana Shipping Agencies S.A. From 2007 to 2010 she was employed as a Director and President of Alpha Sigma Shipping Corp. From February 2010 to November 2015, she was the Head of the Operations, Technical and Crew department of Diana Shipping Services S.A. From November 2015 to October 2016, she served as Vice-President of the same company. From November 2016 to the end of July 2018, she served as Managing Director and Head of the Technical, Operations, Crew and Supply department of Unitized Ocean Transport Limited. From November 2018 to February 2020, she worked as Chief Operating Officer of Performance Shipping Inc. (ex. Diana Containerships Inc.)  (NASDAQ: PSHG). From October 2019 until February 2021, Ms. Paliou served as Deputy Chief Executive Officer of Diana Shipping Inc. She also served as member of the Executive Committee and the Chief Operating Officer of the Company from August 2018 until February 2021. </w:t>
      </w:r>
    </w:p>
    <w:p w14:paraId="71F3E929"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A"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Ms. Paliou obtained her BSc in Mechanical Engineering from Imperial College, London and her MSc in Naval Architecture from University College, London. She completed courses in “Finance for Senior Executives”, in “Authentic Leader Development” and a certificate program on “Sustainable Business Strategy” all at Harvard Business School. Ms. Paliou is also the daughter of Simeon Palios, the Company’s Chairman.</w:t>
      </w:r>
    </w:p>
    <w:p w14:paraId="71F3E92B"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C"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Simeon P. Palios</w:t>
      </w:r>
      <w:r w:rsidRPr="006A0137">
        <w:rPr>
          <w:rFonts w:ascii="Arial" w:eastAsia="Arial" w:hAnsi="Arial" w:cs="Arial"/>
          <w:bdr w:val="none" w:sz="0" w:space="0" w:color="auto" w:frame="1"/>
          <w:lang w:val="en-US" w:eastAsia="el-GR" w:bidi="en-US"/>
        </w:rPr>
        <w:t xml:space="preserve"> has served as the Chairman of the Board of Directors of Diana Shipping Inc. since February 2005 and a Director of the Company since March 1999. He served as the Company’s Chief Executive Officer from February 2005 until February 2021.</w:t>
      </w:r>
      <w:r w:rsidR="00140D99" w:rsidRPr="00140D99">
        <w:rPr>
          <w:rFonts w:ascii="Arial" w:eastAsia="Arial" w:hAnsi="Arial" w:cs="Arial"/>
          <w:bdr w:val="none" w:sz="0" w:space="0" w:color="auto" w:frame="1"/>
          <w:lang w:val="en-US" w:eastAsia="el-GR" w:bidi="en-US"/>
        </w:rPr>
        <w:t xml:space="preserve"> Until December 2025</w:t>
      </w:r>
      <w:r w:rsidR="00140D99">
        <w:rPr>
          <w:rFonts w:ascii="Arial" w:eastAsia="Arial" w:hAnsi="Arial" w:cs="Arial"/>
          <w:bdr w:val="none" w:sz="0" w:space="0" w:color="auto" w:frame="1"/>
          <w:lang w:val="en-US" w:eastAsia="el-GR" w:bidi="en-US"/>
        </w:rPr>
        <w:t xml:space="preserve">, </w:t>
      </w:r>
      <w:r w:rsidRPr="006A0137">
        <w:rPr>
          <w:rFonts w:ascii="Arial" w:eastAsia="Arial" w:hAnsi="Arial" w:cs="Arial"/>
          <w:bdr w:val="none" w:sz="0" w:space="0" w:color="auto" w:frame="1"/>
          <w:lang w:val="en-US" w:eastAsia="el-GR" w:bidi="en-US"/>
        </w:rPr>
        <w:t>Mr. Palios also serve</w:t>
      </w:r>
      <w:r w:rsidR="00140D99">
        <w:rPr>
          <w:rFonts w:ascii="Arial" w:eastAsia="Arial" w:hAnsi="Arial" w:cs="Arial"/>
          <w:bdr w:val="none" w:sz="0" w:space="0" w:color="auto" w:frame="1"/>
          <w:lang w:val="en-US" w:eastAsia="el-GR" w:bidi="en-US"/>
        </w:rPr>
        <w:t>d</w:t>
      </w:r>
      <w:r w:rsidRPr="006A0137">
        <w:rPr>
          <w:rFonts w:ascii="Arial" w:eastAsia="Arial" w:hAnsi="Arial" w:cs="Arial"/>
          <w:bdr w:val="none" w:sz="0" w:space="0" w:color="auto" w:frame="1"/>
          <w:lang w:val="en-US" w:eastAsia="el-GR" w:bidi="en-US"/>
        </w:rPr>
        <w:t xml:space="preserve"> as the President of Diana Shipping Services S.A. which was formed in 1986. Mr. Palios has experience in the shipping industry since 1969 and expertise in technical and operational issues. He has served as an ensign in the Greek Navy for the inspection of passenger boats on behalf of Ministry of Merchant Marine and is qualified as a naval architect and marine engineer. Mr. Palios was the founder of Diana Shipping Agencies S.A., where he served as Managing Director until November 2004, having the overall responsibility for its activities. From January 13, 2010 until February 28, 2022, Mr. Palios also served as the Chairman of the Board of Directors of Performance Shipping Inc. (ex. Diana Containerships Inc.) (NASDAQ: PSHG) and as Chief Executive Officer until October 2020.</w:t>
      </w:r>
    </w:p>
    <w:p w14:paraId="71F3E92D"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2E"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Mr. Palios is a member of various leading classification societies worldwide and he is a member of the board of directors of the United Kingdom Freight Demurrage and Defense Association Limited. Since October 7, 2015, Mr. Palios has served as President of the Association “Friends of Biomedical Research Foundation, Academy of Athens”. He holds a bachelor's degree in Marine Engineering from Durham University.</w:t>
      </w:r>
    </w:p>
    <w:p w14:paraId="71F3E92F"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0" w14:textId="77777777" w:rsidR="007335B0" w:rsidRPr="007335B0" w:rsidRDefault="003A4815"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Ioannis Zafirakis</w:t>
      </w:r>
      <w:r w:rsidRPr="006A0137">
        <w:rPr>
          <w:rFonts w:ascii="Arial" w:eastAsia="Arial" w:hAnsi="Arial" w:cs="Arial"/>
          <w:bdr w:val="none" w:sz="0" w:space="0" w:color="auto" w:frame="1"/>
          <w:lang w:val="en-US" w:eastAsia="el-GR" w:bidi="en-US"/>
        </w:rPr>
        <w:t xml:space="preserve"> </w:t>
      </w:r>
      <w:r w:rsidR="00140D99" w:rsidRPr="00140D99">
        <w:rPr>
          <w:rFonts w:ascii="Arial" w:eastAsia="Arial" w:hAnsi="Arial" w:cs="Arial"/>
          <w:bdr w:val="none" w:sz="0" w:space="0" w:color="auto" w:frame="1"/>
          <w:lang w:val="en-US" w:eastAsia="el-GR" w:bidi="en-US"/>
        </w:rPr>
        <w:t xml:space="preserve">has served as a Director of Diana Shipping Inc. since February 2005. Mr. Zafirakis is the President of the Company since </w:t>
      </w:r>
      <w:r w:rsidR="007B32CC">
        <w:rPr>
          <w:rFonts w:ascii="Arial" w:eastAsia="Arial" w:hAnsi="Arial" w:cs="Arial"/>
          <w:bdr w:val="none" w:sz="0" w:space="0" w:color="auto" w:frame="1"/>
          <w:lang w:val="en-US" w:eastAsia="el-GR" w:bidi="en-US"/>
        </w:rPr>
        <w:t>January</w:t>
      </w:r>
      <w:r w:rsidR="00140D99" w:rsidRPr="00140D99">
        <w:rPr>
          <w:rFonts w:ascii="Arial" w:eastAsia="Arial" w:hAnsi="Arial" w:cs="Arial"/>
          <w:bdr w:val="none" w:sz="0" w:space="0" w:color="auto" w:frame="1"/>
          <w:lang w:val="en-US" w:eastAsia="el-GR" w:bidi="en-US"/>
        </w:rPr>
        <w:t xml:space="preserve"> 202</w:t>
      </w:r>
      <w:r w:rsidR="007B32CC">
        <w:rPr>
          <w:rFonts w:ascii="Arial" w:eastAsia="Arial" w:hAnsi="Arial" w:cs="Arial"/>
          <w:bdr w:val="none" w:sz="0" w:space="0" w:color="auto" w:frame="1"/>
          <w:lang w:val="en-US" w:eastAsia="el-GR" w:bidi="en-US"/>
        </w:rPr>
        <w:t>6</w:t>
      </w:r>
      <w:r w:rsidR="00140D99" w:rsidRPr="00140D99">
        <w:rPr>
          <w:rFonts w:ascii="Arial" w:eastAsia="Arial" w:hAnsi="Arial" w:cs="Arial"/>
          <w:bdr w:val="none" w:sz="0" w:space="0" w:color="auto" w:frame="1"/>
          <w:lang w:val="en-US" w:eastAsia="el-GR" w:bidi="en-US"/>
        </w:rPr>
        <w:t>. He is also member of the Executive Committee of the Company. Mr. Zafirakis has held various executive positions such as the Secretary of the Company, Co-Chief Financial Officer, Treasurer, Chief Strategy Officer, Company’s Chief Financial Officer, Chief Operating Officer, Executive Vice-President and Vice-President. He is the Managing Director of Diana Shipping Services S.A. since January 2026. Mr. Zafirakis served as the Chief Strategy Officer and Co-Chief Financial Officer of Diana Shipping Services S.A. since January 2025. Prior to this, he was the company’s Chief Financial Officer from March 2020 (Interim Financial Officer until February 2021) and held the positions of Director and Treasurer. Also, he served as a Director of OceanPal Inc. (NASDAQ: SVRN) from April 2021 to February 2026. He has also served as the President, Secretary and Interim Chief Financial Officer of OceanPal Inc. from November 2021 to April 2023. He was also member of the Executive Committee of OceanPal Inc. until February 2026.</w:t>
      </w:r>
    </w:p>
    <w:p w14:paraId="71F3E931" w14:textId="77777777" w:rsidR="007335B0" w:rsidRPr="007335B0" w:rsidRDefault="007335B0"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2" w14:textId="77777777" w:rsidR="007335B0" w:rsidRPr="007335B0" w:rsidRDefault="003A4815"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7335B0">
        <w:rPr>
          <w:rFonts w:ascii="Arial" w:eastAsia="Arial" w:hAnsi="Arial" w:cs="Arial"/>
          <w:bdr w:val="none" w:sz="0" w:space="0" w:color="auto" w:frame="1"/>
          <w:lang w:val="en-US" w:eastAsia="el-GR" w:bidi="en-US"/>
        </w:rPr>
        <w:t>From June 1997 to February 2005, Mr. Zafirakis was employed by Diana Shipping Agencies S.A., where he held a number of positions in finance and accounting. From January 2010 to February 2020, he also served as Director and Secretary of Performance Shipping Inc. (ex. Diana Containerships Inc.) (NASDAQ: PSHG), where he held various executive positions such as Chief Operating Officer and Chief Strategy Officer. Mr. Zafirakis, currently also acts as Director, President, Secretary and Treasurer, for Sea Transportation Inc.</w:t>
      </w:r>
    </w:p>
    <w:p w14:paraId="71F3E933" w14:textId="77777777" w:rsidR="007335B0" w:rsidRPr="007335B0" w:rsidRDefault="007335B0"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4" w14:textId="77777777" w:rsidR="007335B0" w:rsidRDefault="003A4815"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7335B0">
        <w:rPr>
          <w:rFonts w:ascii="Arial" w:eastAsia="Arial" w:hAnsi="Arial" w:cs="Arial"/>
          <w:bdr w:val="none" w:sz="0" w:space="0" w:color="auto" w:frame="1"/>
          <w:lang w:val="en-US" w:eastAsia="el-GR" w:bidi="en-US"/>
        </w:rPr>
        <w:t>Mr. Zafirakis is a member of the Business Advisory Committee of the Shipping Programs of ALBA Graduate Business School at The American College of Greece. In 2024, Mr. Zafirakis attended and completed the Advanced Management Programme at INSEAD Business School in Singapore. Mr. Zafirakis has also obtained a certificate in “Blockchain Economics: An Introduction to Cryptocurrencies” from Panteion University of Social and Political Sciences in Greece. He holds a bachelor's degree in Business Studies from City University Business School in London and a master's degree in International Transport from the University of Wales in Cardiff.</w:t>
      </w:r>
    </w:p>
    <w:p w14:paraId="71F3E935" w14:textId="77777777" w:rsidR="00830B14" w:rsidRDefault="00830B14"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6" w14:textId="77777777" w:rsidR="00140D99" w:rsidRPr="00140D99" w:rsidRDefault="003A4815" w:rsidP="00140D99">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Anastasios C. Margaronis</w:t>
      </w:r>
      <w:r w:rsidRPr="006A0137">
        <w:rPr>
          <w:rFonts w:ascii="Arial" w:eastAsia="Arial" w:hAnsi="Arial" w:cs="Arial"/>
          <w:bdr w:val="none" w:sz="0" w:space="0" w:color="auto" w:frame="1"/>
          <w:lang w:val="en-US" w:eastAsia="el-GR" w:bidi="en-US"/>
        </w:rPr>
        <w:t xml:space="preserve"> </w:t>
      </w:r>
      <w:r w:rsidRPr="00140D99">
        <w:rPr>
          <w:rFonts w:ascii="Arial" w:eastAsia="Arial" w:hAnsi="Arial" w:cs="Arial"/>
          <w:bdr w:val="none" w:sz="0" w:space="0" w:color="auto" w:frame="1"/>
          <w:lang w:val="en-US" w:eastAsia="el-GR" w:bidi="en-US"/>
        </w:rPr>
        <w:t>has served as a Director of Diana Shipping Inc. since February 2005. He also served as President and as a member of the Executive Committee of the Company until December 2025. Since January 2026, Mr. Margaronis has been a member of the Nominating Committee and the Sustainability Committee of the Company. Mr. Margaronis was the Deputy President of Diana Shipping Services S.A., where he also served as a Director and Secretary until January 2026. Mr. Margaronis has experience in the shipping industry, including in ship finance and insurance, since 1980. Prior to February 21, 2005, Mr. Margaronis was employed by Diana Shipping Agencies S.A. in 1979 and performed on our behalf the services he performed as President of Diana Shipping Inc. until December 2025. He joined Diana Shipping Agencies S.A. in 1979 and has been responsible for overseeing our vessels’ insurance matters, including hull and machinery, protection and indemnity and war risks insurances. From January 2010 to February 2020, he served as Director and President of Performance Shipping Inc. (ex. Diana Containerships Inc.) (NASDAQ: PSHG).</w:t>
      </w:r>
    </w:p>
    <w:p w14:paraId="71F3E937" w14:textId="77777777" w:rsidR="00140D99" w:rsidRPr="00140D99" w:rsidRDefault="00140D99" w:rsidP="00140D99">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8" w14:textId="77777777" w:rsidR="00140D99" w:rsidRPr="00140D99" w:rsidRDefault="003A4815" w:rsidP="00140D99">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140D99">
        <w:rPr>
          <w:rFonts w:ascii="Arial" w:eastAsia="Arial" w:hAnsi="Arial" w:cs="Arial"/>
          <w:bdr w:val="none" w:sz="0" w:space="0" w:color="auto" w:frame="1"/>
          <w:lang w:val="en-US" w:eastAsia="el-GR" w:bidi="en-US"/>
        </w:rPr>
        <w:t xml:space="preserve">In addition, Mr. Margaronis is a member of the Greek National Committee of the American Bureau of Shipping. He has also been on the Members’ Committee of the Britannia Steam Ship Insurance Association Limited since October 2022. From October 2005 to October 2019, he was a member of the board of directors of the United Kingdom Mutual Steam Ship Assurance Association (Europe) Limited. </w:t>
      </w:r>
    </w:p>
    <w:p w14:paraId="71F3E939" w14:textId="77777777" w:rsidR="00140D99" w:rsidRPr="00140D99" w:rsidRDefault="00140D99" w:rsidP="00140D99">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A" w14:textId="77777777" w:rsidR="00830B14" w:rsidRPr="007335B0" w:rsidRDefault="003A4815" w:rsidP="00140D99">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140D99">
        <w:rPr>
          <w:rFonts w:ascii="Arial" w:eastAsia="Arial" w:hAnsi="Arial" w:cs="Arial"/>
          <w:bdr w:val="none" w:sz="0" w:space="0" w:color="auto" w:frame="1"/>
          <w:lang w:val="en-US" w:eastAsia="el-GR" w:bidi="en-US"/>
        </w:rPr>
        <w:t>He holds a bachelor's degree in Economics from the University of Warwick and a master's of science degree in Maritime Law from the Wales Institute of Science and Technology.</w:t>
      </w:r>
    </w:p>
    <w:p w14:paraId="71F3E93B" w14:textId="77777777" w:rsidR="006A0137" w:rsidRPr="006A0137" w:rsidRDefault="006A0137" w:rsidP="007335B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C"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Eleftherios (Lefteris) A. Papatrifon</w:t>
      </w:r>
      <w:r w:rsidRPr="006A0137">
        <w:rPr>
          <w:rFonts w:ascii="Arial" w:eastAsia="Arial" w:hAnsi="Arial" w:cs="Arial"/>
          <w:bdr w:val="none" w:sz="0" w:space="0" w:color="auto" w:frame="1"/>
          <w:lang w:val="en-US" w:eastAsia="el-GR" w:bidi="en-US"/>
        </w:rPr>
        <w:t xml:space="preserve"> </w:t>
      </w:r>
      <w:r w:rsidR="00806DAF" w:rsidRPr="00806DAF">
        <w:rPr>
          <w:rFonts w:ascii="Arial" w:eastAsia="Arial" w:hAnsi="Arial" w:cs="Arial"/>
          <w:bdr w:val="none" w:sz="0" w:space="0" w:color="auto" w:frame="1"/>
          <w:lang w:val="en-US" w:eastAsia="el-GR" w:bidi="en-US"/>
        </w:rPr>
        <w:t xml:space="preserve">has served as a Director and a member of the Executive Committee of Diana Shipping Inc. since February 2023. He also serves as the Chairperson of the Company’s Nominating Committee since May 2025. Prior to this appointment, he served as Chief Operating Officer of the Company from March 2021 to February 2023. Mr. Papatrifon also serves as a Director of OceanPal Inc. (NASDAQ: SVRN) and a member of its Executive Committee, positions he has held since November 2021. From November 2021 to January 2023, he served as Chief Executive Officer of OceanPal Inc. </w:t>
      </w:r>
      <w:r w:rsidRPr="006A0137">
        <w:rPr>
          <w:rFonts w:ascii="Arial" w:eastAsia="Arial" w:hAnsi="Arial" w:cs="Arial"/>
          <w:bdr w:val="none" w:sz="0" w:space="0" w:color="auto" w:frame="1"/>
          <w:lang w:val="en-US" w:eastAsia="el-GR" w:bidi="en-US"/>
        </w:rPr>
        <w:t xml:space="preserve"> </w:t>
      </w:r>
    </w:p>
    <w:p w14:paraId="71F3E93D"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3E"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 xml:space="preserve">Prior to joining Diana Shipping Inc., he was Chief Executive Officer, Co-Founder and Director of Quintana Shipping Ltd, a provider of dry bulk shipping services, from 2010 until the company’s successful sale of assets and consequent liquidation in 2017. Previously, for a period of approximately six years, he served as the Chief Financial Officer and Director of Excel Maritime Carriers Ltd. Prior to that, Mr. Papatrifon served for approximately 15 years in a number of corporate finance and asset management positions, both in the USA and in Greece. </w:t>
      </w:r>
    </w:p>
    <w:p w14:paraId="71F3E93F"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0"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Mr. Papatrifon holds undergraduate (BBA) and graduate (MBA) degrees from Baruch College (CUNY). He is also a member of the CFA Institute and a CFA charterholder.</w:t>
      </w:r>
    </w:p>
    <w:p w14:paraId="71F3E941"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2" w14:textId="77777777" w:rsidR="00806DAF" w:rsidRPr="00806DAF" w:rsidRDefault="003A4815"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Kyriacos Riris</w:t>
      </w:r>
      <w:r w:rsidRPr="006A0137">
        <w:rPr>
          <w:rFonts w:ascii="Arial" w:eastAsia="Arial" w:hAnsi="Arial" w:cs="Arial"/>
          <w:bdr w:val="none" w:sz="0" w:space="0" w:color="auto" w:frame="1"/>
          <w:lang w:val="en-US" w:eastAsia="el-GR" w:bidi="en-US"/>
        </w:rPr>
        <w:t xml:space="preserve"> </w:t>
      </w:r>
      <w:r w:rsidRPr="00806DAF">
        <w:rPr>
          <w:rFonts w:ascii="Arial" w:eastAsia="Arial" w:hAnsi="Arial" w:cs="Arial"/>
          <w:bdr w:val="none" w:sz="0" w:space="0" w:color="auto" w:frame="1"/>
          <w:lang w:val="en-US" w:eastAsia="el-GR" w:bidi="en-US"/>
        </w:rPr>
        <w:t>has served as a Director of Diana Shipping Inc. since March 2015. Since May 2022, he is the Chairman of the Audit Committee of the Company. Mr. Riris was also a member of the Company’s Nominating Committee from May 2015 until his voluntary resignation in December 2025.</w:t>
      </w:r>
    </w:p>
    <w:p w14:paraId="71F3E943" w14:textId="77777777" w:rsidR="00806DAF" w:rsidRPr="00806DAF" w:rsidRDefault="00806DAF"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4" w14:textId="77777777" w:rsidR="00806DAF" w:rsidRPr="00806DAF" w:rsidRDefault="003A4815"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806DAF">
        <w:rPr>
          <w:rFonts w:ascii="Arial" w:eastAsia="Arial" w:hAnsi="Arial" w:cs="Arial"/>
          <w:bdr w:val="none" w:sz="0" w:space="0" w:color="auto" w:frame="1"/>
          <w:lang w:val="en-US" w:eastAsia="el-GR" w:bidi="en-US"/>
        </w:rPr>
        <w:t xml:space="preserve">Mr. Riris served in various positions in PricewaterhouseCoopers (PwC), Greece, including Deputy Senior Partner, Managing Partner of the Audit and the Advisory/Consulting Service lines. From 2009 to 2014, Mr. Riris served as Chairman of the Board of Directors of PricewaterhouseCoopers (PwC), Greece. Prior to its merger with PwC, Mr. Riris was employed by Grant Thornton, Greece, where in 1984 he became a Partner. From 1976 to 1982, Mr. Riris was employed by Arthur Young, Greece. </w:t>
      </w:r>
    </w:p>
    <w:p w14:paraId="71F3E945" w14:textId="77777777" w:rsidR="00806DAF" w:rsidRPr="00806DAF" w:rsidRDefault="00806DAF"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6" w14:textId="77777777" w:rsidR="00806DAF" w:rsidRPr="00806DAF" w:rsidRDefault="003A4815"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806DAF">
        <w:rPr>
          <w:rFonts w:ascii="Arial" w:eastAsia="Arial" w:hAnsi="Arial" w:cs="Arial"/>
          <w:bdr w:val="none" w:sz="0" w:space="0" w:color="auto" w:frame="1"/>
          <w:lang w:val="en-US" w:eastAsia="el-GR" w:bidi="en-US"/>
        </w:rPr>
        <w:t xml:space="preserve">Since November 2018, Mr. Riris has served as the vice Chairman of the Board of Titan Cement International S.A., a Belgian corporation, while also retaining the position as Chairman of the Audit and the Risk Committee of the Group, since that date.  </w:t>
      </w:r>
    </w:p>
    <w:p w14:paraId="71F3E947" w14:textId="77777777" w:rsidR="00806DAF" w:rsidRPr="00806DAF" w:rsidRDefault="00806DAF"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8" w14:textId="77777777" w:rsidR="006A0137" w:rsidRDefault="003A4815"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806DAF">
        <w:rPr>
          <w:rFonts w:ascii="Arial" w:eastAsia="Arial" w:hAnsi="Arial" w:cs="Arial"/>
          <w:bdr w:val="none" w:sz="0" w:space="0" w:color="auto" w:frame="1"/>
          <w:lang w:val="en-US" w:eastAsia="el-GR" w:bidi="en-US"/>
        </w:rPr>
        <w:t>Mr. Riris holds a degree from Birmingham Polytechnic (presently Birmingham City University) and completed his professional qualifications with the Association of Certified Chartered Accountants (ACCA) in the UK in 1975, becoming a Fellow of the Association of Certified and Chartered Accountants in 1985</w:t>
      </w:r>
      <w:r>
        <w:rPr>
          <w:rFonts w:ascii="Arial" w:eastAsia="Arial" w:hAnsi="Arial" w:cs="Arial"/>
          <w:bdr w:val="none" w:sz="0" w:space="0" w:color="auto" w:frame="1"/>
          <w:lang w:val="en-US" w:eastAsia="el-GR" w:bidi="en-US"/>
        </w:rPr>
        <w:t>.</w:t>
      </w:r>
    </w:p>
    <w:p w14:paraId="71F3E949" w14:textId="77777777" w:rsidR="00806DAF" w:rsidRPr="006A0137" w:rsidRDefault="00806DAF"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A"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Apostolos Kontoyannis</w:t>
      </w:r>
      <w:r w:rsidRPr="006A0137">
        <w:rPr>
          <w:rFonts w:ascii="Arial" w:eastAsia="Arial" w:hAnsi="Arial" w:cs="Arial"/>
          <w:bdr w:val="none" w:sz="0" w:space="0" w:color="auto" w:frame="1"/>
          <w:lang w:val="en-US" w:eastAsia="el-GR" w:bidi="en-US"/>
        </w:rPr>
        <w:t xml:space="preserve"> is a Director, the Chairperson of the Compensation Committee and a member of the Audit Committee of Diana Shipping Inc., positions he has held since March 2005. Since March 2021, Mr. Kontoyannis also serves as the Chairperson of the Sustainability Committee of the Company. </w:t>
      </w:r>
    </w:p>
    <w:p w14:paraId="71F3E94B"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C"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 xml:space="preserve">Mr. Kontoyannis has over 40 years of experience in shipping finance and currently serves as financial consultant to various shipping companies. He was employed by Chase Manhattan Bank N.A. in Frankfurt (Corporate Bank), London (Head of Shipping Finance South Western European Region) and Piraeus (Manager, Ship Finance Group) from 1975 to 1987. </w:t>
      </w:r>
    </w:p>
    <w:p w14:paraId="71F3E94D"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4E"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Mr. Kontoyannis holds a bachelor's degree in Finance and Marketing and a master's degree in Business Administration and Finance from Boston University.</w:t>
      </w:r>
    </w:p>
    <w:p w14:paraId="71F3E94F"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0"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Simon Morecroft</w:t>
      </w:r>
      <w:r w:rsidRPr="006A0137">
        <w:rPr>
          <w:rFonts w:ascii="Arial" w:eastAsia="Arial" w:hAnsi="Arial" w:cs="Arial"/>
          <w:bdr w:val="none" w:sz="0" w:space="0" w:color="auto" w:frame="1"/>
          <w:lang w:val="en-US" w:eastAsia="el-GR" w:bidi="en-US"/>
        </w:rPr>
        <w:t xml:space="preserve"> </w:t>
      </w:r>
      <w:r w:rsidR="00806DAF" w:rsidRPr="00806DAF">
        <w:rPr>
          <w:rFonts w:ascii="Arial" w:eastAsia="Arial" w:hAnsi="Arial" w:cs="Arial"/>
          <w:bdr w:val="none" w:sz="0" w:space="0" w:color="auto" w:frame="1"/>
          <w:lang w:val="en-US" w:eastAsia="el-GR" w:bidi="en-US"/>
        </w:rPr>
        <w:t>has served as a</w:t>
      </w:r>
      <w:r w:rsidR="004923F9">
        <w:rPr>
          <w:rFonts w:ascii="Arial" w:eastAsia="Arial" w:hAnsi="Arial" w:cs="Arial"/>
          <w:bdr w:val="none" w:sz="0" w:space="0" w:color="auto" w:frame="1"/>
          <w:lang w:val="en-US" w:eastAsia="el-GR" w:bidi="en-US"/>
        </w:rPr>
        <w:t>n independent</w:t>
      </w:r>
      <w:r w:rsidR="00806DAF" w:rsidRPr="00806DAF">
        <w:rPr>
          <w:rFonts w:ascii="Arial" w:eastAsia="Arial" w:hAnsi="Arial" w:cs="Arial"/>
          <w:bdr w:val="none" w:sz="0" w:space="0" w:color="auto" w:frame="1"/>
          <w:lang w:val="en-US" w:eastAsia="el-GR" w:bidi="en-US"/>
        </w:rPr>
        <w:t xml:space="preserve"> Director of Diana Shipping Inc. since May 2022 and as a member of the Company’s Compensation Committee since May 2025. He also serves as a Director of Enarxis Ltd, a shipping consultancy company. Mr. Morecroft spent his career in the shipbroking industry as a Sale and Purchase broker. He joined Braemar Shipbrokers Ltd (now Braemar PLC) in 1983 becoming a director in 1986 and remained on the board until his retirement in August 2021. During this time Braemar grew from a boutique broking operation into one of the world’s most successful fully integrated shipbroking companies with a listing on the London Stock Exchange</w:t>
      </w:r>
      <w:r w:rsidRPr="006A0137">
        <w:rPr>
          <w:rFonts w:ascii="Arial" w:eastAsia="Arial" w:hAnsi="Arial" w:cs="Arial"/>
          <w:bdr w:val="none" w:sz="0" w:space="0" w:color="auto" w:frame="1"/>
          <w:lang w:val="en-US" w:eastAsia="el-GR" w:bidi="en-US"/>
        </w:rPr>
        <w:t>.</w:t>
      </w:r>
    </w:p>
    <w:p w14:paraId="71F3E951"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2"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 xml:space="preserve">Mr. Morecroft graduated from Oxford University in 1980 with a Masters in PPE. </w:t>
      </w:r>
    </w:p>
    <w:p w14:paraId="71F3E953"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4"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Jane Chao</w:t>
      </w:r>
      <w:r w:rsidRPr="006A0137">
        <w:rPr>
          <w:rFonts w:ascii="Arial" w:eastAsia="Arial" w:hAnsi="Arial" w:cs="Arial"/>
          <w:bdr w:val="none" w:sz="0" w:space="0" w:color="auto" w:frame="1"/>
          <w:lang w:val="en-US" w:eastAsia="el-GR" w:bidi="en-US"/>
        </w:rPr>
        <w:t xml:space="preserve"> has served as a</w:t>
      </w:r>
      <w:r w:rsidR="004923F9">
        <w:rPr>
          <w:rFonts w:ascii="Arial" w:eastAsia="Arial" w:hAnsi="Arial" w:cs="Arial"/>
          <w:bdr w:val="none" w:sz="0" w:space="0" w:color="auto" w:frame="1"/>
          <w:lang w:val="en-US" w:eastAsia="el-GR" w:bidi="en-US"/>
        </w:rPr>
        <w:t>n independent</w:t>
      </w:r>
      <w:r w:rsidRPr="006A0137">
        <w:rPr>
          <w:rFonts w:ascii="Arial" w:eastAsia="Arial" w:hAnsi="Arial" w:cs="Arial"/>
          <w:bdr w:val="none" w:sz="0" w:space="0" w:color="auto" w:frame="1"/>
          <w:lang w:val="en-US" w:eastAsia="el-GR" w:bidi="en-US"/>
        </w:rPr>
        <w:t xml:space="preserve"> Director of Diana Shipping Inc. since February 2023. She also serves as a director of Wah Kwong Shipping Holdings Limited, a position she has held since 2008. Ms. Chao is the managing director of Wah Kwong China Investment which comprises of residential and commercial properties in Shanghai. Ms. Chao has founded her own art consultancy company Galerie Huit and lifestyle gallery Maison Huit in 2009 and recently, the non-profit Chao-Lee Art Foundation in 2022. </w:t>
      </w:r>
    </w:p>
    <w:p w14:paraId="71F3E955"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6"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Ms. Chao has also served as a Council Member for Changing Young Lives Foundation helping underprivileged children in Hong Kong and China from 2014 to 2020.</w:t>
      </w:r>
    </w:p>
    <w:p w14:paraId="71F3E957"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8" w14:textId="77777777" w:rsidR="00806DAF" w:rsidRPr="00806DAF" w:rsidRDefault="003A4815" w:rsidP="00806DAF">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Maria Dede</w:t>
      </w:r>
      <w:r w:rsidRPr="006A0137">
        <w:rPr>
          <w:rFonts w:ascii="Arial" w:eastAsia="Arial" w:hAnsi="Arial" w:cs="Arial"/>
          <w:bdr w:val="none" w:sz="0" w:space="0" w:color="auto" w:frame="1"/>
          <w:lang w:val="en-US" w:eastAsia="el-GR" w:bidi="en-US"/>
        </w:rPr>
        <w:t xml:space="preserve"> </w:t>
      </w:r>
      <w:r w:rsidRPr="00806DAF">
        <w:rPr>
          <w:rFonts w:ascii="Arial" w:eastAsia="Arial" w:hAnsi="Arial" w:cs="Arial"/>
          <w:bdr w:val="none" w:sz="0" w:space="0" w:color="auto" w:frame="1"/>
          <w:lang w:val="en-US" w:eastAsia="el-GR" w:bidi="en-US"/>
        </w:rPr>
        <w:t xml:space="preserve">has served as Co-Chief Financial Officer of Diana Shipping Inc. since January 2025 and, effective January 1, 2026, also holds the position of Treasurer. Prior to these roles, Ms. Dede was the Company’s Chief Accounting Officer from September 2005. Additionally, she has been Co-Chief Financial Officer of Diana Shipping Services S.A. since January 2025, having previously served as the company’s Finance Manager and Chief Accounting Officer of the Company. </w:t>
      </w:r>
    </w:p>
    <w:p w14:paraId="71F3E959" w14:textId="77777777" w:rsidR="00806DAF" w:rsidRDefault="003A4815"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F95E50">
        <w:rPr>
          <w:rFonts w:ascii="Arial" w:eastAsia="Arial" w:hAnsi="Arial" w:cs="Arial"/>
          <w:bdr w:val="none" w:sz="0" w:space="0" w:color="auto" w:frame="1"/>
          <w:lang w:val="en-US" w:eastAsia="el-GR" w:bidi="en-US"/>
        </w:rPr>
        <w:t xml:space="preserve"> </w:t>
      </w:r>
    </w:p>
    <w:p w14:paraId="71F3E95A"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806DAF">
        <w:rPr>
          <w:rFonts w:ascii="Arial" w:eastAsia="Arial" w:hAnsi="Arial" w:cs="Arial"/>
          <w:bdr w:val="none" w:sz="0" w:space="0" w:color="auto" w:frame="1"/>
          <w:lang w:val="en-US" w:eastAsia="el-GR" w:bidi="en-US"/>
        </w:rPr>
        <w:t>Ms. Dede began her career in 1996 at Venus Enterprises S.A., a ship-management company, where she held various positions primarily in accounting and supplies until 2000. She then joined the Athens branch of Arthur Andersen in 2000, which merged with Ernst &amp; Young (Hellas) in 2002, serving as an external auditor for shipping companies until 2005.</w:t>
      </w:r>
    </w:p>
    <w:p w14:paraId="71F3E95B"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C" w14:textId="77777777" w:rsid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806DAF">
        <w:rPr>
          <w:rFonts w:ascii="Arial" w:eastAsia="Arial" w:hAnsi="Arial" w:cs="Arial"/>
          <w:bdr w:val="none" w:sz="0" w:space="0" w:color="auto" w:frame="1"/>
          <w:lang w:val="en-US" w:eastAsia="el-GR" w:bidi="en-US"/>
        </w:rPr>
        <w:t xml:space="preserve">She holds a Bachelor’s degree in Maritime Studies from the University of Piraeus, a Master’s degree in Business Administration from the ALBA Graduate Business School </w:t>
      </w:r>
      <w:r w:rsidR="00943C0B">
        <w:rPr>
          <w:rFonts w:ascii="Arial" w:eastAsia="Arial" w:hAnsi="Arial" w:cs="Arial"/>
          <w:bdr w:val="none" w:sz="0" w:space="0" w:color="auto" w:frame="1"/>
          <w:lang w:val="en-US" w:eastAsia="el-GR" w:bidi="en-US"/>
        </w:rPr>
        <w:t xml:space="preserve">of the American College of Greece </w:t>
      </w:r>
      <w:r w:rsidRPr="00806DAF">
        <w:rPr>
          <w:rFonts w:ascii="Arial" w:eastAsia="Arial" w:hAnsi="Arial" w:cs="Arial"/>
          <w:bdr w:val="none" w:sz="0" w:space="0" w:color="auto" w:frame="1"/>
          <w:lang w:val="en-US" w:eastAsia="el-GR" w:bidi="en-US"/>
        </w:rPr>
        <w:t>and a Master’s degree in Auditing and Accounting from the Greek Institute of Chartered Accountants</w:t>
      </w:r>
      <w:r>
        <w:rPr>
          <w:rFonts w:ascii="Arial" w:eastAsia="Arial" w:hAnsi="Arial" w:cs="Arial"/>
          <w:bdr w:val="none" w:sz="0" w:space="0" w:color="auto" w:frame="1"/>
          <w:lang w:val="en-US" w:eastAsia="el-GR" w:bidi="en-US"/>
        </w:rPr>
        <w:t>.</w:t>
      </w:r>
    </w:p>
    <w:p w14:paraId="71F3E95D" w14:textId="77777777" w:rsidR="00806DAF" w:rsidRPr="006A0137" w:rsidRDefault="00806DAF"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5E"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Margarita Veniou</w:t>
      </w:r>
      <w:r w:rsidRPr="006A0137">
        <w:rPr>
          <w:rFonts w:ascii="Arial" w:eastAsia="Arial" w:hAnsi="Arial" w:cs="Arial"/>
          <w:bdr w:val="none" w:sz="0" w:space="0" w:color="auto" w:frame="1"/>
          <w:lang w:val="en-US" w:eastAsia="el-GR" w:bidi="en-US"/>
        </w:rPr>
        <w:t xml:space="preserve"> </w:t>
      </w:r>
      <w:r w:rsidR="00F95E50" w:rsidRPr="00F95E50">
        <w:rPr>
          <w:rFonts w:ascii="Arial" w:eastAsia="Arial" w:hAnsi="Arial" w:cs="Arial"/>
          <w:bdr w:val="none" w:sz="0" w:space="0" w:color="auto" w:frame="1"/>
          <w:lang w:val="en-US" w:eastAsia="el-GR" w:bidi="en-US"/>
        </w:rPr>
        <w:t xml:space="preserve">has served as the Chief Corporate Development, Governance &amp; Communications Officer of Diana Shipping Inc. since July 2022 and effective January 1, 2026 also holds the position of Secretary of the Board of Directors of Diana Shipping Inc. From September 2004 until June 2022, she served in the Corporate Planning &amp; Governance Department of Diana Shipping Inc., holding various positions as Associate, Officer and Manager.  Ms. Veniou is also the Corporate Development, Governance &amp; Communications Manager of Diana Shipping Services S.A., a position she has held since 2022, and from 2004 to 2022 she held various other positions at Diana Shipping Services S.A. In addition, since November 2021, Ms. Veniou has served as the Chief Corporate Development &amp; Governance Officer of OceanPal Inc. (NASDAQ: </w:t>
      </w:r>
      <w:r w:rsidR="00806DAF">
        <w:rPr>
          <w:rFonts w:ascii="Arial" w:eastAsia="Arial" w:hAnsi="Arial" w:cs="Arial"/>
          <w:bdr w:val="none" w:sz="0" w:space="0" w:color="auto" w:frame="1"/>
          <w:lang w:val="en-US" w:eastAsia="el-GR" w:bidi="en-US"/>
        </w:rPr>
        <w:t>SVRN</w:t>
      </w:r>
      <w:r w:rsidR="00F95E50" w:rsidRPr="00F95E50">
        <w:rPr>
          <w:rFonts w:ascii="Arial" w:eastAsia="Arial" w:hAnsi="Arial" w:cs="Arial"/>
          <w:bdr w:val="none" w:sz="0" w:space="0" w:color="auto" w:frame="1"/>
          <w:lang w:val="en-US" w:eastAsia="el-GR" w:bidi="en-US"/>
        </w:rPr>
        <w:t>) and she has also served as the company’s Board Secretary since April 2023. She is the General Manager of Steamship Shipbroking Enterprises Inc., a position she has held since April 2014.</w:t>
      </w:r>
    </w:p>
    <w:p w14:paraId="71F3E95F"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0"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From January 2010 to February 2020, Ms. Veniou also held the position of Corporate Planning &amp; Governance Officer of Performance Shipping Inc. (ex. Diana Containerships Inc.) (NASDAQ: PSHG).</w:t>
      </w:r>
    </w:p>
    <w:p w14:paraId="71F3E961"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2"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Ms. Veniou holds a bachelor's degree in Maritime Studies and a master's degree in Maritime Economics &amp; Policy from the University of Piraeus, Greece. In 2024, she completed the "Leadership Communication with Impact" program at INSEAD Business School. Additionally, she has completed the “Sustainability Leadership and Corporate Responsibility” program at London Business School and has obtained the Certification in Shipping Derivatives from Athens University of Economics and Business. Ms. Veniou is also a member of WISTA Hellas and ISO 14001 certified by Lloyd’s Register.</w:t>
      </w:r>
    </w:p>
    <w:p w14:paraId="71F3E963"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4" w14:textId="77777777" w:rsidR="006A0137" w:rsidRP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
          <w:bCs/>
          <w:bdr w:val="none" w:sz="0" w:space="0" w:color="auto" w:frame="1"/>
          <w:lang w:val="en-US" w:eastAsia="el-GR" w:bidi="en-US"/>
        </w:rPr>
        <w:t>Maria-Christina Tsemani</w:t>
      </w:r>
      <w:r w:rsidRPr="006A0137">
        <w:rPr>
          <w:rFonts w:ascii="Arial" w:eastAsia="Arial" w:hAnsi="Arial" w:cs="Arial"/>
          <w:bdr w:val="none" w:sz="0" w:space="0" w:color="auto" w:frame="1"/>
          <w:lang w:val="en-US" w:eastAsia="el-GR" w:bidi="en-US"/>
        </w:rPr>
        <w:t xml:space="preserve"> </w:t>
      </w:r>
      <w:r w:rsidR="00F95E50" w:rsidRPr="00F95E50">
        <w:rPr>
          <w:rFonts w:ascii="Arial" w:eastAsia="Arial" w:hAnsi="Arial" w:cs="Arial"/>
          <w:bdr w:val="none" w:sz="0" w:space="0" w:color="auto" w:frame="1"/>
          <w:lang w:val="en-US" w:eastAsia="el-GR" w:bidi="en-US"/>
        </w:rPr>
        <w:t xml:space="preserve">has served as the Company’s Chief People Officer since July 2022 and, as of January 2026, as Chief People &amp; Culture Officer. Ms. Tsemani also serves as HR Manager of Diana Shipping Services S.A., a position she has held since October 2020. </w:t>
      </w:r>
    </w:p>
    <w:p w14:paraId="71F3E965" w14:textId="77777777" w:rsidR="006A0137" w:rsidRPr="006A0137" w:rsidRDefault="006A0137"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6" w14:textId="77777777" w:rsidR="006A0137"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D41652">
        <w:rPr>
          <w:rFonts w:ascii="Arial" w:eastAsia="Arial" w:hAnsi="Arial" w:cs="Arial"/>
          <w:bdr w:val="none" w:sz="0" w:space="0" w:color="auto" w:frame="1"/>
          <w:lang w:val="en-US" w:eastAsia="el-GR" w:bidi="en-US"/>
        </w:rPr>
        <w:t>Ms. Tsemani has over 20 years of experience in human resources across multinational companies and institutional organizations. Prior to joining Diana Shipping, she served as People Acquisition and Development Manager of Vodafone Greece. During her career in Vodafone from 2008 to 2020, she held various senior roles, including Senior HR Business Partner and Organizational Effectiveness and Reward Manager. From 2004 to 2008, Ms. Tsemani worked as a Senior HR Consultant in PricewaterhouseCoopers (PwC). From 2001 to 2004, she served as a Project Manager in the European Commission, based in Luxembourg</w:t>
      </w:r>
      <w:r>
        <w:rPr>
          <w:rFonts w:ascii="Arial" w:eastAsia="Arial" w:hAnsi="Arial" w:cs="Arial"/>
          <w:bdr w:val="none" w:sz="0" w:space="0" w:color="auto" w:frame="1"/>
          <w:lang w:val="en-US" w:eastAsia="el-GR" w:bidi="en-US"/>
        </w:rPr>
        <w:t>.</w:t>
      </w:r>
    </w:p>
    <w:p w14:paraId="71F3E967" w14:textId="77777777" w:rsidR="00D41652" w:rsidRPr="006A0137" w:rsidRDefault="00D41652"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8" w14:textId="77777777" w:rsidR="00997214" w:rsidRDefault="003A4815"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r w:rsidRPr="006A0137">
        <w:rPr>
          <w:rFonts w:ascii="Arial" w:eastAsia="Arial" w:hAnsi="Arial" w:cs="Arial"/>
          <w:bdr w:val="none" w:sz="0" w:space="0" w:color="auto" w:frame="1"/>
          <w:lang w:val="en-US" w:eastAsia="el-GR" w:bidi="en-US"/>
        </w:rPr>
        <w:t>Ms. Tsemani holds a bachelor’s degree in Mathematical Sciences and a Master’s of Science in Applied Statistics from the University of Oxford, UK.</w:t>
      </w:r>
    </w:p>
    <w:p w14:paraId="71F3E969" w14:textId="77777777" w:rsidR="00F95E50" w:rsidRDefault="00F95E50" w:rsidP="006A0137">
      <w:pPr>
        <w:widowControl w:val="0"/>
        <w:pBdr>
          <w:top w:val="nil"/>
          <w:left w:val="nil"/>
          <w:bottom w:val="nil"/>
          <w:right w:val="nil"/>
          <w:between w:val="nil"/>
          <w:bar w:val="nil"/>
        </w:pBdr>
        <w:autoSpaceDE w:val="0"/>
        <w:autoSpaceDN w:val="0"/>
        <w:jc w:val="both"/>
        <w:rPr>
          <w:rFonts w:ascii="Arial" w:eastAsia="Arial" w:hAnsi="Arial" w:cs="Arial"/>
          <w:bdr w:val="nil"/>
          <w:lang w:val="en-US" w:eastAsia="el-GR"/>
        </w:rPr>
      </w:pPr>
    </w:p>
    <w:p w14:paraId="71F3E96A" w14:textId="77777777" w:rsidR="00F95E50" w:rsidRPr="00F95E50" w:rsidRDefault="003A4815"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rPr>
      </w:pPr>
      <w:r w:rsidRPr="00F95E50">
        <w:rPr>
          <w:rFonts w:ascii="Arial" w:eastAsia="Arial" w:hAnsi="Arial" w:cs="Arial"/>
          <w:b/>
          <w:bCs/>
          <w:lang w:val="en-US" w:bidi="en-US"/>
        </w:rPr>
        <w:t>Evangelos Sfakiotakis</w:t>
      </w:r>
      <w:r w:rsidRPr="00F95E50">
        <w:rPr>
          <w:rFonts w:ascii="Arial" w:eastAsia="Arial" w:hAnsi="Arial" w:cs="Arial"/>
          <w:lang w:val="en-US" w:bidi="en-US"/>
        </w:rPr>
        <w:t xml:space="preserve"> has served as the Chief Technical Investment Officer of Diana Shipping Inc. since January 2026. Mr. Sfakiotakis is also the Chief Operating Officer of Diana Shipping Services S.A. since September 2022, overseeing the operational performance and strategic management of a fleet of more than 30 bulk carriers. With more than 25 years of experience across the shipping industry, he has held senior leadership roles in technical, fleet, and corporate operations within major ship-management organizations.</w:t>
      </w:r>
    </w:p>
    <w:p w14:paraId="71F3E96B" w14:textId="77777777" w:rsidR="00F95E50" w:rsidRPr="00F95E50" w:rsidRDefault="00F95E50"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rPr>
      </w:pPr>
    </w:p>
    <w:p w14:paraId="71F3E96C" w14:textId="77777777" w:rsidR="00F95E50" w:rsidRPr="00F95E50" w:rsidRDefault="003A4815"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rPr>
      </w:pPr>
      <w:r w:rsidRPr="00F95E50">
        <w:rPr>
          <w:rFonts w:ascii="Arial" w:eastAsia="Arial" w:hAnsi="Arial" w:cs="Arial"/>
          <w:lang w:val="en-US" w:bidi="en-US"/>
        </w:rPr>
        <w:t>Before joining Diana Shipping Services</w:t>
      </w:r>
      <w:r w:rsidR="00D41652">
        <w:rPr>
          <w:rFonts w:ascii="Arial" w:eastAsia="Arial" w:hAnsi="Arial" w:cs="Arial"/>
          <w:lang w:val="en-US" w:bidi="en-US"/>
        </w:rPr>
        <w:t xml:space="preserve"> S.A.</w:t>
      </w:r>
      <w:r w:rsidRPr="00F95E50">
        <w:rPr>
          <w:rFonts w:ascii="Arial" w:eastAsia="Arial" w:hAnsi="Arial" w:cs="Arial"/>
          <w:lang w:val="en-US" w:bidi="en-US"/>
        </w:rPr>
        <w:t xml:space="preserve"> in 2022, he served as C</w:t>
      </w:r>
      <w:r w:rsidR="00D41652">
        <w:rPr>
          <w:rFonts w:ascii="Arial" w:eastAsia="Arial" w:hAnsi="Arial" w:cs="Arial"/>
          <w:lang w:val="en-US" w:bidi="en-US"/>
        </w:rPr>
        <w:t>hief Operating Officer</w:t>
      </w:r>
      <w:r w:rsidRPr="00F95E50">
        <w:rPr>
          <w:rFonts w:ascii="Arial" w:eastAsia="Arial" w:hAnsi="Arial" w:cs="Arial"/>
          <w:lang w:val="en-US" w:bidi="en-US"/>
        </w:rPr>
        <w:t xml:space="preserve"> of Pavimar S.A., managing a diverse fleet of carriers, container vessels, and tankers. Earlier, he spent over a decade at TMS Tankers Ltd, where he progressed from Fleet Manager to Technical Manager, supervising a fleet of up to 50 tankers (VLCC, Aframax, Suezmax, Handymax). His responsibilities covered full technical operations, strategic planning, and the oversight of both Technical and Purchasing Departments.</w:t>
      </w:r>
    </w:p>
    <w:p w14:paraId="71F3E96D" w14:textId="77777777" w:rsidR="00F95E50" w:rsidRPr="00F95E50" w:rsidRDefault="00F95E50"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rPr>
      </w:pPr>
    </w:p>
    <w:p w14:paraId="71F3E96E" w14:textId="77777777" w:rsidR="00F95E50" w:rsidRPr="00F95E50" w:rsidRDefault="003A4815" w:rsidP="00F95E50">
      <w:pPr>
        <w:widowControl w:val="0"/>
        <w:pBdr>
          <w:top w:val="nil"/>
          <w:left w:val="nil"/>
          <w:bottom w:val="nil"/>
          <w:right w:val="nil"/>
          <w:between w:val="nil"/>
          <w:bar w:val="nil"/>
        </w:pBdr>
        <w:autoSpaceDE w:val="0"/>
        <w:autoSpaceDN w:val="0"/>
        <w:jc w:val="both"/>
        <w:rPr>
          <w:rFonts w:ascii="Arial" w:eastAsia="Arial" w:hAnsi="Arial" w:cs="Arial"/>
          <w:bdr w:val="nil"/>
          <w:lang w:val="en-US"/>
        </w:rPr>
      </w:pPr>
      <w:r w:rsidRPr="00F95E50">
        <w:rPr>
          <w:rFonts w:ascii="Arial" w:eastAsia="Arial" w:hAnsi="Arial" w:cs="Arial"/>
          <w:lang w:val="en-US" w:bidi="en-US"/>
        </w:rPr>
        <w:t>Mr. Sfakiotakis holds a Diploma in Mechanical Engineering from the University of Patras and completed extensive postgraduate research in mechanical engineering, contributing to scientific publications in the fields of computational mechanics, gear technology, and structural analysis.</w:t>
      </w:r>
    </w:p>
    <w:p w14:paraId="71F3E96F"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970" w14:textId="77777777" w:rsidR="00F71597" w:rsidRPr="00EF2BAC" w:rsidRDefault="003A4815" w:rsidP="00B07739">
      <w:pPr>
        <w:pStyle w:val="Heading2"/>
        <w:keepLines/>
        <w:pBdr>
          <w:top w:val="nil"/>
          <w:left w:val="nil"/>
          <w:bottom w:val="nil"/>
          <w:right w:val="nil"/>
          <w:between w:val="nil"/>
          <w:bar w:val="nil"/>
        </w:pBdr>
        <w:ind w:left="714"/>
        <w:jc w:val="both"/>
        <w:rPr>
          <w:rFonts w:ascii="Arial" w:eastAsia="Arial" w:hAnsi="Arial" w:cs="Arial"/>
          <w:bCs w:val="0"/>
          <w:iCs w:val="0"/>
          <w:color w:val="auto"/>
          <w:bdr w:val="nil"/>
          <w:lang w:bidi="en-US"/>
        </w:rPr>
      </w:pPr>
      <w:bookmarkStart w:id="189" w:name="RG_MARKER_23068"/>
      <w:r w:rsidRPr="00EF2BAC">
        <w:rPr>
          <w:rFonts w:ascii="Arial" w:eastAsia="Arial" w:hAnsi="Arial" w:cs="Arial"/>
          <w:bCs w:val="0"/>
          <w:iCs w:val="0"/>
          <w:color w:val="auto"/>
          <w:szCs w:val="22"/>
          <w:lang w:bidi="en-US"/>
        </w:rPr>
        <w:t>B.</w:t>
      </w:r>
      <w:bookmarkEnd w:id="189"/>
      <w:r w:rsidRPr="00EF2BAC">
        <w:rPr>
          <w:rFonts w:ascii="Arial" w:eastAsia="Arial" w:hAnsi="Arial" w:cs="Arial"/>
          <w:bCs w:val="0"/>
          <w:iCs w:val="0"/>
          <w:color w:val="auto"/>
          <w:szCs w:val="22"/>
          <w:lang w:bidi="en-US"/>
        </w:rPr>
        <w:tab/>
        <w:t>Compensation</w:t>
      </w:r>
    </w:p>
    <w:p w14:paraId="71F3E971" w14:textId="77777777" w:rsidR="00F71597" w:rsidRPr="00EF2BAC" w:rsidRDefault="00F71597" w:rsidP="00B07739">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72" w14:textId="77777777" w:rsidR="003410A0" w:rsidRPr="00EF2BAC" w:rsidRDefault="003A4815" w:rsidP="00B07739">
      <w:pPr>
        <w:widowControl w:val="0"/>
        <w:pBdr>
          <w:top w:val="nil"/>
          <w:left w:val="nil"/>
          <w:bottom w:val="nil"/>
          <w:right w:val="nil"/>
          <w:between w:val="nil"/>
          <w:bar w:val="nil"/>
        </w:pBdr>
        <w:jc w:val="both"/>
        <w:rPr>
          <w:rFonts w:ascii="Arial" w:eastAsia="Arial" w:hAnsi="Arial" w:cs="Arial"/>
          <w:color w:val="000000"/>
          <w:bdr w:val="nil"/>
          <w:lang w:val="en-US" w:eastAsia="el-GR"/>
        </w:rPr>
      </w:pPr>
      <w:r w:rsidRPr="00EF2BAC">
        <w:rPr>
          <w:rFonts w:ascii="Arial" w:eastAsia="Arial" w:hAnsi="Arial" w:cs="Arial"/>
          <w:color w:val="000000"/>
          <w:lang w:val="en-US" w:eastAsia="el-GR" w:bidi="en-US"/>
        </w:rPr>
        <w:t>Aggregate executive compensation (including amounts paid to Steamship) for 2025 was $6.</w:t>
      </w:r>
      <w:r w:rsidR="001C33B3">
        <w:rPr>
          <w:rFonts w:ascii="Arial" w:eastAsia="Arial" w:hAnsi="Arial" w:cs="Arial"/>
          <w:color w:val="000000"/>
          <w:lang w:val="en-US" w:eastAsia="el-GR" w:bidi="en-US"/>
        </w:rPr>
        <w:t>0</w:t>
      </w:r>
      <w:r w:rsidRPr="00EF2BAC">
        <w:rPr>
          <w:rFonts w:ascii="Arial" w:eastAsia="Arial" w:hAnsi="Arial" w:cs="Arial"/>
          <w:color w:val="000000"/>
          <w:lang w:val="en-US" w:eastAsia="el-GR" w:bidi="en-US"/>
        </w:rPr>
        <w:t xml:space="preserve"> million. Since June 1, 2010, Steamship, a related party, as described in "Item 7. Major Shareholders and Related Party Transactions—B. Related Party Transactions" has provided to us brokerage services. Under the Brokerage Services Agreement in effect during 2025, </w:t>
      </w:r>
      <w:r w:rsidR="008E3E42" w:rsidRPr="008E3E42">
        <w:rPr>
          <w:rFonts w:ascii="Arial" w:eastAsia="Arial" w:hAnsi="Arial" w:cs="Arial"/>
          <w:color w:val="000000"/>
          <w:lang w:val="en-US" w:eastAsia="el-GR" w:bidi="en-US"/>
        </w:rPr>
        <w:t xml:space="preserve">brokerage fees </w:t>
      </w:r>
      <w:r w:rsidRPr="00EF2BAC">
        <w:rPr>
          <w:rFonts w:ascii="Arial" w:eastAsia="Arial" w:hAnsi="Arial" w:cs="Arial"/>
          <w:color w:val="000000"/>
          <w:lang w:val="en-US" w:eastAsia="el-GR" w:bidi="en-US"/>
        </w:rPr>
        <w:t>amounted to $3.9 million</w:t>
      </w:r>
      <w:r w:rsidR="00040667">
        <w:rPr>
          <w:rFonts w:ascii="Arial" w:eastAsia="Arial" w:hAnsi="Arial" w:cs="Arial"/>
          <w:color w:val="000000"/>
          <w:lang w:val="en-US" w:eastAsia="el-GR" w:bidi="en-US"/>
        </w:rPr>
        <w:t xml:space="preserve"> </w:t>
      </w:r>
      <w:r w:rsidR="00040667" w:rsidRPr="00040667">
        <w:rPr>
          <w:rFonts w:ascii="Arial" w:eastAsia="Arial" w:hAnsi="Arial" w:cs="Arial"/>
          <w:color w:val="000000"/>
          <w:lang w:val="en-US" w:eastAsia="el-GR" w:bidi="en-US"/>
        </w:rPr>
        <w:t>and we also paid commissions for vessel sales and purchases amounting to $0.</w:t>
      </w:r>
      <w:r w:rsidR="00040667">
        <w:rPr>
          <w:rFonts w:ascii="Arial" w:eastAsia="Arial" w:hAnsi="Arial" w:cs="Arial"/>
          <w:color w:val="000000"/>
          <w:lang w:val="en-US" w:eastAsia="el-GR" w:bidi="en-US"/>
        </w:rPr>
        <w:t>4</w:t>
      </w:r>
      <w:r w:rsidR="00040667" w:rsidRPr="00040667">
        <w:rPr>
          <w:rFonts w:ascii="Arial" w:eastAsia="Arial" w:hAnsi="Arial" w:cs="Arial"/>
          <w:color w:val="000000"/>
          <w:lang w:val="en-US" w:eastAsia="el-GR" w:bidi="en-US"/>
        </w:rPr>
        <w:t xml:space="preserve"> million</w:t>
      </w:r>
      <w:r w:rsidRPr="00EF2BAC">
        <w:rPr>
          <w:rFonts w:ascii="Arial" w:eastAsia="Arial" w:hAnsi="Arial" w:cs="Arial"/>
          <w:color w:val="000000"/>
          <w:lang w:val="en-US" w:eastAsia="el-GR" w:bidi="en-US"/>
        </w:rPr>
        <w:t>. We consider fees under these agreements to be part of our executive compensation due to the affiliation with Steamship.</w:t>
      </w:r>
    </w:p>
    <w:p w14:paraId="71F3E973" w14:textId="77777777" w:rsidR="0093111A" w:rsidRPr="00EF2BAC" w:rsidRDefault="0093111A" w:rsidP="00B07739">
      <w:pPr>
        <w:pStyle w:val="Char1"/>
        <w:pBdr>
          <w:top w:val="nil"/>
          <w:left w:val="nil"/>
          <w:bottom w:val="nil"/>
          <w:right w:val="nil"/>
          <w:between w:val="nil"/>
          <w:bar w:val="nil"/>
        </w:pBdr>
        <w:spacing w:before="0" w:after="0"/>
        <w:rPr>
          <w:rFonts w:ascii="Arial" w:eastAsia="Arial" w:hAnsi="Arial" w:cs="Arial"/>
          <w:bdr w:val="nil"/>
          <w:lang w:bidi="en-US"/>
        </w:rPr>
      </w:pPr>
    </w:p>
    <w:p w14:paraId="71F3E974" w14:textId="77777777" w:rsidR="00D61983" w:rsidRDefault="003A4815" w:rsidP="00B07739">
      <w:pPr>
        <w:pBdr>
          <w:top w:val="nil"/>
          <w:left w:val="nil"/>
          <w:bottom w:val="nil"/>
          <w:right w:val="nil"/>
          <w:between w:val="nil"/>
          <w:bar w:val="nil"/>
        </w:pBdr>
        <w:jc w:val="both"/>
        <w:rPr>
          <w:rFonts w:ascii="Arial" w:eastAsia="Arial" w:hAnsi="Arial" w:cs="Arial"/>
          <w:bdr w:val="nil"/>
          <w:lang w:val="en-US"/>
        </w:rPr>
      </w:pPr>
      <w:r w:rsidRPr="00EF2BAC">
        <w:rPr>
          <w:rFonts w:ascii="Arial" w:eastAsia="Arial" w:hAnsi="Arial" w:cs="Arial"/>
          <w:szCs w:val="24"/>
          <w:lang w:val="en-US" w:bidi="en-US"/>
        </w:rPr>
        <w:t xml:space="preserve">Non-employee directors receive annual compensation in the amount of $52,000 plus reimbursement of out-of-pocket expenses. In addition, each director serving as chairman of a committee receives additional annual compensation of $26,000, plus reimbursement for out-of-pocket </w:t>
      </w:r>
      <w:r w:rsidRPr="00EF2BAC">
        <w:rPr>
          <w:rFonts w:ascii="Arial" w:eastAsia="Arial" w:hAnsi="Arial" w:cs="Arial"/>
          <w:szCs w:val="24"/>
          <w:bdr w:val="none" w:sz="0" w:space="0" w:color="auto" w:frame="1"/>
          <w:lang w:val="en-US" w:bidi="en-US"/>
        </w:rPr>
        <w:t>expenses with the exception of the</w:t>
      </w:r>
      <w:r w:rsidRPr="00EF2BAC">
        <w:rPr>
          <w:rFonts w:ascii="Arial" w:eastAsia="Arial" w:hAnsi="Arial" w:cs="Arial"/>
          <w:szCs w:val="24"/>
          <w:lang w:val="en-US" w:bidi="en-US"/>
        </w:rPr>
        <w:t xml:space="preserve"> chairman of the audit and compensation committee who receive annual compensation of $40,000. E</w:t>
      </w:r>
      <w:r w:rsidRPr="00EF2BAC">
        <w:rPr>
          <w:rFonts w:ascii="Arial" w:eastAsia="Arial" w:hAnsi="Arial" w:cs="Arial"/>
          <w:szCs w:val="24"/>
          <w:bdr w:val="none" w:sz="0" w:space="0" w:color="auto" w:frame="1"/>
          <w:lang w:val="en-US" w:bidi="en-US"/>
        </w:rPr>
        <w:t xml:space="preserve">ach director serving as member of a committee receives additional annual compensation of $13,000, plus reimbursement for out-of-pocket expenses </w:t>
      </w:r>
      <w:r w:rsidRPr="00EF2BAC">
        <w:rPr>
          <w:rFonts w:ascii="Arial" w:eastAsia="Arial" w:hAnsi="Arial" w:cs="Arial"/>
          <w:szCs w:val="24"/>
          <w:lang w:val="en-US" w:bidi="en-US"/>
        </w:rPr>
        <w:t xml:space="preserve">with the exception of </w:t>
      </w:r>
      <w:r w:rsidRPr="00EF2BAC">
        <w:rPr>
          <w:rFonts w:ascii="Arial" w:eastAsia="Arial" w:hAnsi="Arial" w:cs="Arial"/>
          <w:szCs w:val="24"/>
          <w:bdr w:val="none" w:sz="0" w:space="0" w:color="auto" w:frame="1"/>
          <w:lang w:val="en-US" w:bidi="en-US"/>
        </w:rPr>
        <w:t xml:space="preserve">the </w:t>
      </w:r>
      <w:r w:rsidRPr="00EF2BAC">
        <w:rPr>
          <w:rFonts w:ascii="Arial" w:eastAsia="Arial" w:hAnsi="Arial" w:cs="Arial"/>
          <w:szCs w:val="24"/>
          <w:lang w:val="en-US" w:bidi="en-US"/>
        </w:rPr>
        <w:t xml:space="preserve">member of the audit </w:t>
      </w:r>
      <w:r w:rsidRPr="00EF2BAC">
        <w:rPr>
          <w:rFonts w:ascii="Arial" w:eastAsia="Arial" w:hAnsi="Arial" w:cs="Arial"/>
          <w:szCs w:val="24"/>
          <w:bdr w:val="none" w:sz="0" w:space="0" w:color="auto" w:frame="1"/>
          <w:lang w:val="en-US" w:bidi="en-US"/>
        </w:rPr>
        <w:t xml:space="preserve">committee who </w:t>
      </w:r>
      <w:r w:rsidRPr="00EF2BAC">
        <w:rPr>
          <w:rFonts w:ascii="Arial" w:eastAsia="Arial" w:hAnsi="Arial" w:cs="Arial"/>
          <w:szCs w:val="24"/>
          <w:lang w:val="en-US" w:bidi="en-US"/>
        </w:rPr>
        <w:t xml:space="preserve">receives annual compensation of $26,000, plus reimbursement for out-of-pocket expenses. </w:t>
      </w:r>
      <w:r>
        <w:rPr>
          <w:rFonts w:ascii="Arial" w:eastAsia="Arial" w:hAnsi="Arial" w:cs="Arial"/>
          <w:szCs w:val="24"/>
          <w:lang w:val="en-US" w:bidi="en-US"/>
        </w:rPr>
        <w:t xml:space="preserve">In </w:t>
      </w:r>
      <w:r w:rsidRPr="00EF2BAC">
        <w:rPr>
          <w:rFonts w:ascii="Arial" w:eastAsia="Arial" w:hAnsi="Arial" w:cs="Arial"/>
          <w:szCs w:val="24"/>
          <w:lang w:val="en-US" w:bidi="en-US"/>
        </w:rPr>
        <w:t xml:space="preserve">2025, fees and expenses </w:t>
      </w:r>
      <w:r w:rsidRPr="00EF2BAC">
        <w:rPr>
          <w:rFonts w:ascii="Arial" w:eastAsia="Arial" w:hAnsi="Arial" w:cs="Arial"/>
          <w:szCs w:val="24"/>
          <w:bdr w:val="none" w:sz="0" w:space="0" w:color="auto" w:frame="1"/>
          <w:lang w:val="en-US" w:bidi="en-US"/>
        </w:rPr>
        <w:t xml:space="preserve">of </w:t>
      </w:r>
      <w:r w:rsidRPr="00EF2BAC">
        <w:rPr>
          <w:rFonts w:ascii="Arial" w:eastAsia="Arial" w:hAnsi="Arial" w:cs="Arial"/>
          <w:szCs w:val="24"/>
          <w:lang w:val="en-US" w:bidi="en-US"/>
        </w:rPr>
        <w:t>our non-executive directors amounted to $0.5 million</w:t>
      </w:r>
      <w:r>
        <w:rPr>
          <w:rFonts w:ascii="Arial" w:eastAsia="Arial" w:hAnsi="Arial" w:cs="Arial"/>
          <w:szCs w:val="24"/>
          <w:lang w:val="en-US" w:bidi="en-US"/>
        </w:rPr>
        <w:t>.</w:t>
      </w:r>
    </w:p>
    <w:p w14:paraId="71F3E975" w14:textId="77777777" w:rsidR="00EF2BAC" w:rsidRPr="00EF2BAC" w:rsidRDefault="00EF2BAC" w:rsidP="00B07739">
      <w:pPr>
        <w:pBdr>
          <w:top w:val="nil"/>
          <w:left w:val="nil"/>
          <w:bottom w:val="nil"/>
          <w:right w:val="nil"/>
          <w:between w:val="nil"/>
          <w:bar w:val="nil"/>
        </w:pBdr>
        <w:jc w:val="both"/>
        <w:rPr>
          <w:rFonts w:ascii="Arial" w:eastAsia="Arial" w:hAnsi="Arial" w:cs="Arial"/>
          <w:bdr w:val="nil"/>
          <w:lang w:val="en-US"/>
        </w:rPr>
      </w:pPr>
    </w:p>
    <w:p w14:paraId="71F3E976" w14:textId="77777777" w:rsidR="00F71597" w:rsidRDefault="003A4815" w:rsidP="00B07739">
      <w:pPr>
        <w:pBdr>
          <w:top w:val="nil"/>
          <w:left w:val="nil"/>
          <w:bottom w:val="nil"/>
          <w:right w:val="nil"/>
          <w:between w:val="nil"/>
          <w:bar w:val="nil"/>
        </w:pBdr>
        <w:jc w:val="both"/>
        <w:rPr>
          <w:rFonts w:ascii="Arial" w:eastAsia="Arial" w:hAnsi="Arial" w:cs="Arial"/>
          <w:bdr w:val="nil"/>
          <w:lang w:val="en-US"/>
        </w:rPr>
      </w:pPr>
      <w:r w:rsidRPr="00EF2BAC">
        <w:rPr>
          <w:rFonts w:ascii="Arial" w:eastAsia="Arial" w:hAnsi="Arial" w:cs="Arial"/>
          <w:lang w:val="en-US" w:bidi="en-US"/>
        </w:rPr>
        <w:t xml:space="preserve">We do not have a retirement plan for our officers or directors. </w:t>
      </w:r>
    </w:p>
    <w:p w14:paraId="71F3E977" w14:textId="77777777" w:rsidR="00B07739" w:rsidRPr="00EF2BAC" w:rsidRDefault="00B07739" w:rsidP="00B07739">
      <w:pPr>
        <w:pBdr>
          <w:top w:val="nil"/>
          <w:left w:val="nil"/>
          <w:bottom w:val="nil"/>
          <w:right w:val="nil"/>
          <w:between w:val="nil"/>
          <w:bar w:val="nil"/>
        </w:pBdr>
        <w:jc w:val="both"/>
        <w:rPr>
          <w:rFonts w:ascii="Arial" w:eastAsia="Arial" w:hAnsi="Arial" w:cs="Arial"/>
          <w:bdr w:val="nil"/>
          <w:lang w:val="en-US"/>
        </w:rPr>
      </w:pPr>
    </w:p>
    <w:p w14:paraId="71F3E978" w14:textId="77777777" w:rsidR="001038A4" w:rsidRPr="00EF2BAC" w:rsidRDefault="003A4815" w:rsidP="00B07739">
      <w:pPr>
        <w:pStyle w:val="Heading3"/>
        <w:keepLines/>
        <w:pBdr>
          <w:top w:val="nil"/>
          <w:left w:val="nil"/>
          <w:bottom w:val="nil"/>
          <w:right w:val="nil"/>
          <w:between w:val="nil"/>
          <w:bar w:val="nil"/>
        </w:pBdr>
        <w:rPr>
          <w:rFonts w:eastAsia="Arial" w:cs="Arial"/>
          <w:i w:val="0"/>
          <w:sz w:val="24"/>
          <w:bdr w:val="nil"/>
          <w:lang w:val="en-US" w:bidi="en-US"/>
        </w:rPr>
      </w:pPr>
      <w:r w:rsidRPr="00EF2BAC">
        <w:rPr>
          <w:rFonts w:eastAsia="Arial" w:cs="Arial"/>
          <w:i w:val="0"/>
          <w:sz w:val="24"/>
          <w:lang w:val="en-US" w:bidi="en-US"/>
        </w:rPr>
        <w:t>Equity Incentive Plan</w:t>
      </w:r>
    </w:p>
    <w:p w14:paraId="71F3E979" w14:textId="77777777" w:rsidR="001038A4" w:rsidRPr="00EF2BAC" w:rsidRDefault="001038A4" w:rsidP="00B07739">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7A" w14:textId="77777777" w:rsidR="004D0FE6" w:rsidRPr="00EF2BAC" w:rsidRDefault="003A4815" w:rsidP="00B07739">
      <w:pPr>
        <w:pBdr>
          <w:top w:val="nil"/>
          <w:left w:val="nil"/>
          <w:bottom w:val="nil"/>
          <w:right w:val="nil"/>
          <w:between w:val="nil"/>
          <w:bar w:val="nil"/>
        </w:pBdr>
        <w:jc w:val="both"/>
        <w:rPr>
          <w:rFonts w:ascii="Arial" w:eastAsia="Arial" w:hAnsi="Arial" w:cs="Arial"/>
          <w:bdr w:val="nil"/>
          <w:lang w:val="en-US"/>
        </w:rPr>
      </w:pPr>
      <w:r w:rsidRPr="00EF2BAC">
        <w:rPr>
          <w:rFonts w:ascii="Arial" w:eastAsia="Arial" w:hAnsi="Arial" w:cs="Arial"/>
          <w:szCs w:val="24"/>
          <w:lang w:val="en-US" w:bidi="en-US"/>
        </w:rPr>
        <w:t xml:space="preserve">In November 2014, our board of directors approved, and the Company adopted the 2014 Equity Incentive Plan for 5,000,000 </w:t>
      </w:r>
      <w:r>
        <w:rPr>
          <w:rFonts w:ascii="Arial" w:eastAsia="Arial" w:hAnsi="Arial" w:cs="Arial"/>
          <w:szCs w:val="24"/>
          <w:lang w:val="en-US" w:bidi="en-US"/>
        </w:rPr>
        <w:t>shares of common stock</w:t>
      </w:r>
      <w:r w:rsidRPr="00EF2BAC">
        <w:rPr>
          <w:rFonts w:ascii="Arial" w:eastAsia="Arial" w:hAnsi="Arial" w:cs="Arial"/>
          <w:szCs w:val="24"/>
          <w:lang w:val="en-US" w:bidi="en-US"/>
        </w:rPr>
        <w:t xml:space="preserve">, amended on May 31, 2018 to increase the </w:t>
      </w:r>
      <w:r>
        <w:rPr>
          <w:rFonts w:ascii="Arial" w:eastAsia="Arial" w:hAnsi="Arial" w:cs="Arial"/>
          <w:szCs w:val="24"/>
          <w:lang w:val="en-US" w:bidi="en-US"/>
        </w:rPr>
        <w:t>shares of common stock</w:t>
      </w:r>
      <w:r w:rsidRPr="00EF2BAC">
        <w:rPr>
          <w:rFonts w:ascii="Arial" w:eastAsia="Arial" w:hAnsi="Arial" w:cs="Arial"/>
          <w:szCs w:val="24"/>
          <w:lang w:val="en-US" w:bidi="en-US"/>
        </w:rPr>
        <w:t xml:space="preserve"> to 13,000,000 and further amended on January 8, 2021, referred to as “the Plan”, to increase the number of </w:t>
      </w:r>
      <w:r>
        <w:rPr>
          <w:rFonts w:ascii="Arial" w:eastAsia="Arial" w:hAnsi="Arial" w:cs="Arial"/>
          <w:szCs w:val="24"/>
          <w:lang w:val="en-US" w:bidi="en-US"/>
        </w:rPr>
        <w:t>shares of common stock</w:t>
      </w:r>
      <w:r w:rsidRPr="00EF2BAC">
        <w:rPr>
          <w:rFonts w:ascii="Arial" w:eastAsia="Arial" w:hAnsi="Arial" w:cs="Arial"/>
          <w:szCs w:val="24"/>
          <w:lang w:val="en-US" w:bidi="en-US"/>
        </w:rPr>
        <w:t xml:space="preserve"> available for the issuance of equity awards by 20</w:t>
      </w:r>
      <w:r>
        <w:rPr>
          <w:rFonts w:ascii="Arial" w:eastAsia="Arial" w:hAnsi="Arial" w:cs="Arial"/>
          <w:szCs w:val="24"/>
          <w:lang w:val="en-US" w:bidi="en-US"/>
        </w:rPr>
        <w:t>,000,000</w:t>
      </w:r>
      <w:r w:rsidRPr="00EF2BAC">
        <w:rPr>
          <w:rFonts w:ascii="Arial" w:eastAsia="Arial" w:hAnsi="Arial" w:cs="Arial"/>
          <w:szCs w:val="24"/>
          <w:lang w:val="en-US" w:bidi="en-US"/>
        </w:rPr>
        <w:t xml:space="preserve"> shares. Currently, 1,394,759 shares remain reserved for issuance under the Plan. </w:t>
      </w:r>
    </w:p>
    <w:p w14:paraId="71F3E97B" w14:textId="77777777" w:rsidR="004D0FE6" w:rsidRPr="00EF2BAC" w:rsidRDefault="004D0FE6" w:rsidP="00B07739">
      <w:pPr>
        <w:pBdr>
          <w:top w:val="nil"/>
          <w:left w:val="nil"/>
          <w:bottom w:val="nil"/>
          <w:right w:val="nil"/>
          <w:between w:val="nil"/>
          <w:bar w:val="nil"/>
        </w:pBdr>
        <w:jc w:val="both"/>
        <w:rPr>
          <w:rFonts w:ascii="Arial" w:eastAsia="Arial" w:hAnsi="Arial" w:cs="Arial"/>
          <w:bdr w:val="nil"/>
          <w:lang w:val="en-US"/>
        </w:rPr>
      </w:pPr>
    </w:p>
    <w:p w14:paraId="71F3E97C" w14:textId="77777777" w:rsidR="004D0FE6" w:rsidRDefault="003A4815" w:rsidP="00B07739">
      <w:pPr>
        <w:pBdr>
          <w:top w:val="nil"/>
          <w:left w:val="nil"/>
          <w:bottom w:val="nil"/>
          <w:right w:val="nil"/>
          <w:between w:val="nil"/>
          <w:bar w:val="nil"/>
        </w:pBdr>
        <w:jc w:val="both"/>
        <w:rPr>
          <w:rFonts w:ascii="Arial" w:eastAsia="Arial" w:hAnsi="Arial" w:cs="Arial"/>
          <w:bdr w:val="nil"/>
          <w:lang w:val="en-US"/>
        </w:rPr>
      </w:pPr>
      <w:r w:rsidRPr="00EF2BAC">
        <w:rPr>
          <w:rFonts w:ascii="Arial" w:eastAsia="Arial" w:hAnsi="Arial" w:cs="Arial"/>
          <w:szCs w:val="24"/>
          <w:lang w:val="en-US" w:bidi="en-US"/>
        </w:rPr>
        <w:t xml:space="preserve">Under the Plan, the Company’s employees, officers and directors are entitled to receive options to acquire the Company’s common stock.  The Plan is administered by the Compensation Committee of the Company’s Board of Directors, or such other committee of the Board as may be designated by the Board. Under the terms of the Plan, the Company’s Board of Directors is able to grant </w:t>
      </w:r>
      <w:r w:rsidR="00974525" w:rsidRPr="00EF2BAC">
        <w:rPr>
          <w:rFonts w:ascii="Arial" w:eastAsia="Arial" w:hAnsi="Arial" w:cs="Arial"/>
          <w:szCs w:val="24"/>
          <w:lang w:val="en-US" w:bidi="en-US"/>
        </w:rPr>
        <w:t xml:space="preserve">(a) non-qualified </w:t>
      </w:r>
      <w:r w:rsidRPr="00EF2BAC">
        <w:rPr>
          <w:rFonts w:ascii="Arial" w:eastAsia="Arial" w:hAnsi="Arial" w:cs="Arial"/>
          <w:szCs w:val="24"/>
          <w:lang w:val="en-US" w:bidi="en-US"/>
        </w:rPr>
        <w:t xml:space="preserve">stock options, </w:t>
      </w:r>
      <w:r w:rsidR="00974525" w:rsidRPr="00EF2BAC">
        <w:rPr>
          <w:rFonts w:ascii="Arial" w:eastAsia="Arial" w:hAnsi="Arial" w:cs="Arial"/>
          <w:szCs w:val="24"/>
          <w:lang w:val="en-US" w:bidi="en-US"/>
        </w:rPr>
        <w:t>(b) stock appreciation rights, (c) restricted stock, (d) restricted stock units, (e) unrestricted stock, (f) other equity-based or equity-related awards, (g) dividend equivalents and (h) cash awards</w:t>
      </w:r>
      <w:r w:rsidRPr="00EF2BAC">
        <w:rPr>
          <w:rFonts w:ascii="Arial" w:eastAsia="Arial" w:hAnsi="Arial" w:cs="Arial"/>
          <w:szCs w:val="24"/>
          <w:lang w:val="en-US" w:bidi="en-US"/>
        </w:rPr>
        <w:t>. No options or stock appreciation rights can be exercisable subsequent to the tenth anniversary of the date on which such Award was granted. Under the Plan, the Administrator may waive or modify the application of forfeiture of awards of restricted stock and performance shares in connection with cessation of service with the Company. No Awards may be granted under the Plan following the tenth anniversary of the date on which the Plan was adopted by the Board (</w:t>
      </w:r>
      <w:r w:rsidRPr="00EF2BAC">
        <w:rPr>
          <w:rFonts w:ascii="Arial" w:eastAsia="Arial" w:hAnsi="Arial" w:cs="Arial"/>
          <w:szCs w:val="24"/>
          <w:u w:val="single"/>
          <w:lang w:val="en-US" w:bidi="en-US"/>
        </w:rPr>
        <w:t>i.e.</w:t>
      </w:r>
      <w:r w:rsidRPr="00EF2BAC">
        <w:rPr>
          <w:rFonts w:ascii="Arial" w:eastAsia="Arial" w:hAnsi="Arial" w:cs="Arial"/>
          <w:szCs w:val="24"/>
          <w:lang w:val="en-US" w:bidi="en-US"/>
        </w:rPr>
        <w:t>, January 8, 2031).</w:t>
      </w:r>
    </w:p>
    <w:p w14:paraId="71F3E97D" w14:textId="77777777" w:rsidR="00EF2BAC" w:rsidRDefault="00EF2BAC" w:rsidP="00B07739">
      <w:pPr>
        <w:pBdr>
          <w:top w:val="nil"/>
          <w:left w:val="nil"/>
          <w:bottom w:val="nil"/>
          <w:right w:val="nil"/>
          <w:between w:val="nil"/>
          <w:bar w:val="nil"/>
        </w:pBdr>
        <w:jc w:val="both"/>
        <w:rPr>
          <w:rFonts w:ascii="Arial" w:eastAsia="Arial" w:hAnsi="Arial" w:cs="Arial"/>
          <w:bdr w:val="nil"/>
          <w:lang w:val="en-US"/>
        </w:rPr>
      </w:pPr>
    </w:p>
    <w:p w14:paraId="71F3E97E" w14:textId="77777777" w:rsidR="00EF2BAC" w:rsidRPr="00237DEF" w:rsidRDefault="003A4815" w:rsidP="00B07739">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szCs w:val="24"/>
          <w:lang w:val="en-US" w:bidi="en-US"/>
        </w:rPr>
        <w:t>In February</w:t>
      </w:r>
      <w:r w:rsidR="006C652F" w:rsidRPr="00B4477C">
        <w:rPr>
          <w:rFonts w:ascii="Arial" w:eastAsia="Arial" w:hAnsi="Arial" w:cs="Arial"/>
          <w:szCs w:val="24"/>
          <w:lang w:val="en-US" w:bidi="en-US"/>
        </w:rPr>
        <w:t xml:space="preserve"> </w:t>
      </w:r>
      <w:r w:rsidR="006C652F">
        <w:rPr>
          <w:rFonts w:ascii="Arial" w:eastAsia="Arial" w:hAnsi="Arial" w:cs="Arial"/>
          <w:szCs w:val="24"/>
          <w:lang w:val="en-US" w:bidi="en-US"/>
        </w:rPr>
        <w:t>2025</w:t>
      </w:r>
      <w:r w:rsidR="006C652F" w:rsidRPr="00B4477C">
        <w:rPr>
          <w:rFonts w:ascii="Arial" w:eastAsia="Arial" w:hAnsi="Arial" w:cs="Arial"/>
          <w:szCs w:val="24"/>
          <w:lang w:val="en-US" w:bidi="en-US"/>
        </w:rPr>
        <w:t xml:space="preserve"> and </w:t>
      </w:r>
      <w:r w:rsidR="006C652F">
        <w:rPr>
          <w:rFonts w:ascii="Arial" w:eastAsia="Arial" w:hAnsi="Arial" w:cs="Arial"/>
          <w:szCs w:val="24"/>
          <w:lang w:val="en-US" w:bidi="en-US"/>
        </w:rPr>
        <w:t>2026</w:t>
      </w:r>
      <w:r w:rsidR="006C652F" w:rsidRPr="00B4477C">
        <w:rPr>
          <w:rFonts w:ascii="Arial" w:eastAsia="Arial" w:hAnsi="Arial" w:cs="Arial"/>
          <w:szCs w:val="24"/>
          <w:lang w:val="en-US" w:bidi="en-US"/>
        </w:rPr>
        <w:t>, our board of directors awarded an aggregate of 2,000,000 shares and 1,850,000 shares, respectively, of restricted common stock to executive and non-executive directors.</w:t>
      </w:r>
      <w:r w:rsidR="00420791" w:rsidRPr="00EF2BAC">
        <w:rPr>
          <w:rFonts w:ascii="Arial" w:eastAsia="Arial" w:hAnsi="Arial" w:cs="Arial"/>
          <w:szCs w:val="24"/>
          <w:lang w:val="en-US" w:bidi="en-US"/>
        </w:rPr>
        <w:t xml:space="preserve"> All restricted shares vest ratably over </w:t>
      </w:r>
      <w:r>
        <w:rPr>
          <w:rFonts w:ascii="Arial" w:eastAsia="Arial" w:hAnsi="Arial" w:cs="Arial"/>
          <w:szCs w:val="24"/>
          <w:lang w:val="en-US" w:bidi="en-US"/>
        </w:rPr>
        <w:t xml:space="preserve">a period of </w:t>
      </w:r>
      <w:r w:rsidR="00420791" w:rsidRPr="00EF2BAC">
        <w:rPr>
          <w:rFonts w:ascii="Arial" w:eastAsia="Arial" w:hAnsi="Arial" w:cs="Arial"/>
          <w:szCs w:val="24"/>
          <w:lang w:val="en-US" w:bidi="en-US"/>
        </w:rPr>
        <w:t>three years</w:t>
      </w:r>
      <w:r w:rsidR="00420791">
        <w:rPr>
          <w:rFonts w:ascii="Arial" w:eastAsia="Arial" w:hAnsi="Arial" w:cs="Arial"/>
          <w:szCs w:val="24"/>
          <w:lang w:val="en-US" w:bidi="en-US"/>
        </w:rPr>
        <w:t xml:space="preserve"> and </w:t>
      </w:r>
      <w:r w:rsidR="00420791" w:rsidRPr="00EF2BAC">
        <w:rPr>
          <w:rFonts w:ascii="Arial" w:eastAsia="Arial" w:hAnsi="Arial" w:cs="Arial"/>
          <w:szCs w:val="24"/>
          <w:lang w:val="en-US" w:bidi="en-US"/>
        </w:rPr>
        <w:t xml:space="preserve">are subject to forfeiture until they vest. </w:t>
      </w:r>
      <w:r w:rsidR="00237DEF" w:rsidRPr="00237DEF">
        <w:rPr>
          <w:rFonts w:ascii="Arial" w:eastAsia="Arial" w:hAnsi="Arial" w:cs="Arial"/>
          <w:szCs w:val="24"/>
          <w:lang w:val="en-US" w:bidi="en-US"/>
        </w:rPr>
        <w:t>In addition</w:t>
      </w:r>
      <w:r w:rsidR="00237DEF">
        <w:rPr>
          <w:rFonts w:ascii="Arial" w:eastAsia="Arial" w:hAnsi="Arial" w:cs="Arial"/>
          <w:szCs w:val="24"/>
          <w:lang w:val="en-US" w:bidi="en-US"/>
        </w:rPr>
        <w:t>,</w:t>
      </w:r>
      <w:r w:rsidR="00237DEF" w:rsidRPr="00237DEF">
        <w:rPr>
          <w:rFonts w:ascii="Arial" w:eastAsia="Arial" w:hAnsi="Arial" w:cs="Arial"/>
          <w:szCs w:val="24"/>
          <w:lang w:val="en-US" w:bidi="en-US"/>
        </w:rPr>
        <w:t xml:space="preserve"> </w:t>
      </w:r>
      <w:r>
        <w:rPr>
          <w:rFonts w:ascii="Arial" w:eastAsia="Arial" w:hAnsi="Arial" w:cs="Arial"/>
          <w:szCs w:val="24"/>
          <w:lang w:val="en-US" w:bidi="en-US"/>
        </w:rPr>
        <w:t>in February</w:t>
      </w:r>
      <w:r w:rsidR="006C652F" w:rsidRPr="00B4477C">
        <w:rPr>
          <w:rFonts w:ascii="Arial" w:eastAsia="Arial" w:hAnsi="Arial" w:cs="Arial"/>
          <w:szCs w:val="24"/>
          <w:lang w:val="en-US" w:bidi="en-US"/>
        </w:rPr>
        <w:t xml:space="preserve"> 2026</w:t>
      </w:r>
      <w:r w:rsidR="00237DEF" w:rsidRPr="00237DEF">
        <w:rPr>
          <w:rFonts w:ascii="Arial" w:eastAsia="Arial" w:hAnsi="Arial" w:cs="Arial"/>
          <w:szCs w:val="24"/>
          <w:lang w:val="en-US" w:bidi="en-US"/>
        </w:rPr>
        <w:t xml:space="preserve">, our board of directors also awarded </w:t>
      </w:r>
      <w:r w:rsidR="00232136">
        <w:rPr>
          <w:rFonts w:ascii="Arial" w:eastAsia="Arial" w:hAnsi="Arial" w:cs="Arial"/>
          <w:szCs w:val="24"/>
          <w:lang w:val="en-US" w:bidi="en-US"/>
        </w:rPr>
        <w:t>5</w:t>
      </w:r>
      <w:r w:rsidR="00237DEF" w:rsidRPr="00237DEF">
        <w:rPr>
          <w:rFonts w:ascii="Arial" w:eastAsia="Arial" w:hAnsi="Arial" w:cs="Arial"/>
          <w:szCs w:val="24"/>
          <w:lang w:val="en-US" w:bidi="en-US"/>
        </w:rPr>
        <w:t>,</w:t>
      </w:r>
      <w:r w:rsidR="00232136">
        <w:rPr>
          <w:rFonts w:ascii="Arial" w:eastAsia="Arial" w:hAnsi="Arial" w:cs="Arial"/>
          <w:szCs w:val="24"/>
          <w:lang w:val="en-US" w:bidi="en-US"/>
        </w:rPr>
        <w:t>900</w:t>
      </w:r>
      <w:r w:rsidR="00237DEF" w:rsidRPr="00237DEF">
        <w:rPr>
          <w:rFonts w:ascii="Arial" w:eastAsia="Arial" w:hAnsi="Arial" w:cs="Arial"/>
          <w:szCs w:val="24"/>
          <w:lang w:val="en-US" w:bidi="en-US"/>
        </w:rPr>
        <w:t xml:space="preserve">,000 restricted common shares </w:t>
      </w:r>
      <w:r>
        <w:rPr>
          <w:rFonts w:ascii="Arial" w:eastAsia="Arial" w:hAnsi="Arial" w:cs="Arial"/>
          <w:szCs w:val="24"/>
          <w:lang w:val="en-US" w:bidi="en-US"/>
        </w:rPr>
        <w:t xml:space="preserve">to executive and non-executive directors, </w:t>
      </w:r>
      <w:r w:rsidR="00237DEF" w:rsidRPr="00237DEF">
        <w:rPr>
          <w:rFonts w:ascii="Arial" w:eastAsia="Arial" w:hAnsi="Arial" w:cs="Arial"/>
          <w:szCs w:val="24"/>
          <w:lang w:val="en-US" w:bidi="en-US"/>
        </w:rPr>
        <w:t xml:space="preserve">that vest ratably over </w:t>
      </w:r>
      <w:r>
        <w:rPr>
          <w:rFonts w:ascii="Arial" w:eastAsia="Arial" w:hAnsi="Arial" w:cs="Arial"/>
          <w:szCs w:val="24"/>
          <w:lang w:val="en-US" w:bidi="en-US"/>
        </w:rPr>
        <w:t xml:space="preserve">a period of </w:t>
      </w:r>
      <w:r w:rsidR="00232136">
        <w:rPr>
          <w:rFonts w:ascii="Arial" w:eastAsia="Arial" w:hAnsi="Arial" w:cs="Arial"/>
          <w:szCs w:val="24"/>
          <w:lang w:val="en-US" w:bidi="en-US"/>
        </w:rPr>
        <w:t>six</w:t>
      </w:r>
      <w:r w:rsidR="00237DEF" w:rsidRPr="00237DEF">
        <w:rPr>
          <w:rFonts w:ascii="Arial" w:eastAsia="Arial" w:hAnsi="Arial" w:cs="Arial"/>
          <w:szCs w:val="24"/>
          <w:lang w:val="en-US" w:bidi="en-US"/>
        </w:rPr>
        <w:t xml:space="preserve"> years.</w:t>
      </w:r>
      <w:r w:rsidR="00237DEF">
        <w:rPr>
          <w:rFonts w:ascii="Arial" w:eastAsia="Arial" w:hAnsi="Arial" w:cs="Arial"/>
          <w:szCs w:val="24"/>
          <w:lang w:val="en-US" w:bidi="en-US"/>
        </w:rPr>
        <w:t xml:space="preserve"> </w:t>
      </w:r>
      <w:r w:rsidR="00420791" w:rsidRPr="00EF2BAC">
        <w:rPr>
          <w:rFonts w:ascii="Arial" w:eastAsia="Arial" w:hAnsi="Arial" w:cs="Arial"/>
          <w:szCs w:val="24"/>
          <w:lang w:val="en-US" w:bidi="en-US"/>
        </w:rPr>
        <w:t xml:space="preserve">Unless they forfeit, grantees have the right to vote, to receive and retain all dividends paid and to exercise all other rights, powers and privileges of a holder of shares. </w:t>
      </w:r>
    </w:p>
    <w:p w14:paraId="71F3E97F" w14:textId="77777777" w:rsidR="00EF2BAC" w:rsidRPr="00EF2BAC" w:rsidRDefault="00EF2BAC" w:rsidP="00B07739">
      <w:pPr>
        <w:pBdr>
          <w:top w:val="nil"/>
          <w:left w:val="nil"/>
          <w:bottom w:val="nil"/>
          <w:right w:val="nil"/>
          <w:between w:val="nil"/>
          <w:bar w:val="nil"/>
        </w:pBdr>
        <w:jc w:val="both"/>
        <w:rPr>
          <w:rFonts w:ascii="Arial" w:eastAsia="Arial" w:hAnsi="Arial" w:cs="Arial"/>
          <w:bdr w:val="nil"/>
          <w:lang w:val="en-US"/>
        </w:rPr>
      </w:pPr>
    </w:p>
    <w:p w14:paraId="71F3E980" w14:textId="77777777" w:rsidR="00EF2BAC" w:rsidRPr="00EF2BAC" w:rsidRDefault="003A4815" w:rsidP="00B07739">
      <w:pPr>
        <w:pBdr>
          <w:top w:val="nil"/>
          <w:left w:val="nil"/>
          <w:bottom w:val="nil"/>
          <w:right w:val="nil"/>
          <w:between w:val="nil"/>
          <w:bar w:val="nil"/>
        </w:pBdr>
        <w:jc w:val="both"/>
        <w:rPr>
          <w:rFonts w:ascii="Arial" w:eastAsia="Arial" w:hAnsi="Arial" w:cs="Arial"/>
          <w:bdr w:val="nil"/>
          <w:lang w:val="en-US"/>
        </w:rPr>
      </w:pPr>
      <w:r w:rsidRPr="00EF2BAC">
        <w:rPr>
          <w:rFonts w:ascii="Arial" w:eastAsia="Arial" w:hAnsi="Arial" w:cs="Arial"/>
          <w:lang w:val="en-US" w:bidi="en-US"/>
        </w:rPr>
        <w:t>In 2025, compensation costs relating to the aggregate amount of restricted stock awards amounted to $9.6 million.</w:t>
      </w:r>
    </w:p>
    <w:p w14:paraId="71F3E981"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982" w14:textId="77777777" w:rsidR="00D35A31" w:rsidRPr="000145EB" w:rsidRDefault="003A4815" w:rsidP="000145EB">
      <w:pPr>
        <w:pStyle w:val="Heading2"/>
        <w:keepLines/>
        <w:pBdr>
          <w:top w:val="nil"/>
          <w:left w:val="nil"/>
          <w:bottom w:val="nil"/>
          <w:right w:val="nil"/>
          <w:between w:val="nil"/>
          <w:bar w:val="nil"/>
        </w:pBdr>
        <w:ind w:left="714"/>
        <w:jc w:val="both"/>
        <w:rPr>
          <w:rFonts w:ascii="Arial" w:eastAsia="Arial" w:hAnsi="Arial" w:cs="Arial"/>
          <w:bCs w:val="0"/>
          <w:iCs w:val="0"/>
          <w:szCs w:val="24"/>
          <w:bdr w:val="nil"/>
          <w:lang w:eastAsia="el-GR" w:bidi="en-US"/>
        </w:rPr>
      </w:pPr>
      <w:bookmarkStart w:id="190" w:name="RG_MARKER_23069"/>
      <w:r w:rsidRPr="000145EB">
        <w:rPr>
          <w:rFonts w:ascii="Arial" w:eastAsia="Arial" w:hAnsi="Arial" w:cs="Arial"/>
          <w:bCs w:val="0"/>
          <w:iCs w:val="0"/>
          <w:szCs w:val="24"/>
          <w:lang w:eastAsia="el-GR" w:bidi="en-US"/>
        </w:rPr>
        <w:t>C.</w:t>
      </w:r>
      <w:bookmarkEnd w:id="190"/>
      <w:r w:rsidRPr="000145EB">
        <w:rPr>
          <w:rFonts w:ascii="Arial" w:eastAsia="Arial" w:hAnsi="Arial" w:cs="Arial"/>
          <w:bCs w:val="0"/>
          <w:iCs w:val="0"/>
          <w:szCs w:val="24"/>
          <w:lang w:eastAsia="el-GR" w:bidi="en-US"/>
        </w:rPr>
        <w:tab/>
        <w:t>Board Practices</w:t>
      </w:r>
    </w:p>
    <w:p w14:paraId="71F3E983" w14:textId="77777777" w:rsidR="00D35A31" w:rsidRPr="000145EB" w:rsidRDefault="00D35A31" w:rsidP="000145EB">
      <w:pPr>
        <w:keepNext/>
        <w:keepLines/>
        <w:pBdr>
          <w:top w:val="nil"/>
          <w:left w:val="nil"/>
          <w:bottom w:val="nil"/>
          <w:right w:val="nil"/>
          <w:between w:val="nil"/>
          <w:bar w:val="nil"/>
        </w:pBdr>
        <w:jc w:val="both"/>
        <w:rPr>
          <w:rFonts w:ascii="Arial" w:eastAsia="Arial" w:hAnsi="Arial" w:cs="Arial"/>
          <w:bdr w:val="nil"/>
          <w:lang w:val="en-US"/>
        </w:rPr>
      </w:pPr>
    </w:p>
    <w:p w14:paraId="71F3E984" w14:textId="77777777" w:rsidR="00CB1124" w:rsidRPr="000145EB"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have established an Audit Committee, comprised of two board members, which is responsible for reviewing our accounting controls, recommending to the board of directors the engagement of our independent auditors, and pre-approving audit and audit-related services and fees. Each member has been determined by our board of directors to be “independent” under the rules of the NYSE and the rules and regulations of the SEC. As directed by its written charter, the Audit Committee is responsible for appointing, and overseeing the work of the independent auditors, including reviewing and approving their engagement letter and all fees paid to our auditors, reviewing the adequacy and effectiveness of the Company's accounting and internal control procedures and reading and discussing with management and the independent auditors the annual audited financial statements. The members of the Audit Committee are Mr. Kyriacos Riris (chairman and financial expert) and Mr.</w:t>
      </w:r>
      <w:r>
        <w:rPr>
          <w:rFonts w:ascii="Arial" w:eastAsia="Arial" w:hAnsi="Arial" w:cs="Arial"/>
          <w:color w:val="000000"/>
          <w:lang w:val="en-US" w:eastAsia="el-GR" w:bidi="en-US"/>
        </w:rPr>
        <w:t xml:space="preserve"> </w:t>
      </w:r>
      <w:r w:rsidRPr="000145EB">
        <w:rPr>
          <w:rFonts w:ascii="Arial" w:eastAsia="Arial" w:hAnsi="Arial" w:cs="Arial"/>
          <w:color w:val="000000"/>
          <w:lang w:val="en-US" w:eastAsia="el-GR" w:bidi="en-US"/>
        </w:rPr>
        <w:t>Apostolos Kontoyannis (member and financial expert).</w:t>
      </w:r>
    </w:p>
    <w:p w14:paraId="71F3E985" w14:textId="77777777" w:rsidR="00CB1124" w:rsidRPr="000145EB" w:rsidRDefault="00CB1124" w:rsidP="000145EB">
      <w:pPr>
        <w:pBdr>
          <w:top w:val="nil"/>
          <w:left w:val="nil"/>
          <w:bottom w:val="nil"/>
          <w:right w:val="nil"/>
          <w:between w:val="nil"/>
          <w:bar w:val="nil"/>
        </w:pBdr>
        <w:jc w:val="both"/>
        <w:rPr>
          <w:rFonts w:ascii="Arial" w:eastAsia="Arial" w:hAnsi="Arial" w:cs="Arial"/>
          <w:bdr w:val="nil"/>
          <w:lang w:val="en-US"/>
        </w:rPr>
      </w:pPr>
    </w:p>
    <w:p w14:paraId="71F3E986" w14:textId="77777777" w:rsidR="00CB1124" w:rsidRPr="000145EB"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have established a Compensation Committee comprised of two</w:t>
      </w:r>
      <w:r w:rsidR="00E1483D">
        <w:rPr>
          <w:rFonts w:ascii="Arial" w:eastAsia="Arial" w:hAnsi="Arial" w:cs="Arial"/>
          <w:color w:val="000000"/>
          <w:lang w:val="en-US" w:eastAsia="el-GR" w:bidi="en-US"/>
        </w:rPr>
        <w:t xml:space="preserve"> board</w:t>
      </w:r>
      <w:r w:rsidRPr="000145EB">
        <w:rPr>
          <w:rFonts w:ascii="Arial" w:eastAsia="Arial" w:hAnsi="Arial" w:cs="Arial"/>
          <w:color w:val="000000"/>
          <w:lang w:val="en-US" w:eastAsia="el-GR" w:bidi="en-US"/>
        </w:rPr>
        <w:t xml:space="preserve"> members, which, as directed by its written charter, is responsible for setting the compensation of executive officers of the Company, reviewing the Company’s incentive and equity-based compensation plans, and reviewing and approving employment and severance agreements. The members of the Compensation Committee are Mr. Apostolos Kontoyannis (chairman) and Mr. </w:t>
      </w:r>
      <w:r w:rsidR="009E7064">
        <w:rPr>
          <w:rFonts w:ascii="Arial" w:eastAsia="Arial" w:hAnsi="Arial" w:cs="Arial"/>
          <w:color w:val="000000"/>
          <w:lang w:val="en-US" w:eastAsia="el-GR" w:bidi="en-US"/>
        </w:rPr>
        <w:t>Simon Morecroft</w:t>
      </w:r>
      <w:r w:rsidRPr="000145EB">
        <w:rPr>
          <w:rFonts w:ascii="Arial" w:eastAsia="Arial" w:hAnsi="Arial" w:cs="Arial"/>
          <w:color w:val="000000"/>
          <w:lang w:val="en-US" w:eastAsia="el-GR" w:bidi="en-US"/>
        </w:rPr>
        <w:t xml:space="preserve"> (member).</w:t>
      </w:r>
    </w:p>
    <w:p w14:paraId="71F3E987" w14:textId="77777777" w:rsidR="00CB1124" w:rsidRPr="000145EB" w:rsidRDefault="00CB1124" w:rsidP="000145EB">
      <w:pPr>
        <w:pBdr>
          <w:top w:val="nil"/>
          <w:left w:val="nil"/>
          <w:bottom w:val="nil"/>
          <w:right w:val="nil"/>
          <w:between w:val="nil"/>
          <w:bar w:val="nil"/>
        </w:pBdr>
        <w:jc w:val="both"/>
        <w:rPr>
          <w:rFonts w:ascii="Arial" w:eastAsia="Arial" w:hAnsi="Arial" w:cs="Arial"/>
          <w:bdr w:val="nil"/>
          <w:lang w:val="en-US"/>
        </w:rPr>
      </w:pPr>
    </w:p>
    <w:p w14:paraId="71F3E988" w14:textId="77777777" w:rsidR="00CB1124" w:rsidRPr="000145EB"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have established a Nominating Committee comprised of two</w:t>
      </w:r>
      <w:r w:rsidR="00E1483D">
        <w:rPr>
          <w:rFonts w:ascii="Arial" w:eastAsia="Arial" w:hAnsi="Arial" w:cs="Arial"/>
          <w:color w:val="000000"/>
          <w:lang w:val="en-US" w:eastAsia="el-GR" w:bidi="en-US"/>
        </w:rPr>
        <w:t xml:space="preserve"> board</w:t>
      </w:r>
      <w:r w:rsidRPr="000145EB">
        <w:rPr>
          <w:rFonts w:ascii="Arial" w:eastAsia="Arial" w:hAnsi="Arial" w:cs="Arial"/>
          <w:color w:val="000000"/>
          <w:lang w:val="en-US" w:eastAsia="el-GR" w:bidi="en-US"/>
        </w:rPr>
        <w:t xml:space="preserve"> members, which, as directed by its written charter, is responsible for identifying, evaluating and making recommendations to the board of directors concerning individuals for selections as director nominees for the next annual meeting of stockholders or to otherwise fill board of director vacancies. The members of the Nominating Committee are Mr. </w:t>
      </w:r>
      <w:r w:rsidR="009E7064">
        <w:rPr>
          <w:rFonts w:ascii="Arial" w:eastAsia="Arial" w:hAnsi="Arial" w:cs="Arial"/>
          <w:color w:val="000000"/>
          <w:lang w:val="en-US" w:eastAsia="el-GR" w:bidi="en-US"/>
        </w:rPr>
        <w:t>Eleftherios Papatrifon</w:t>
      </w:r>
      <w:r w:rsidRPr="000145EB">
        <w:rPr>
          <w:rFonts w:ascii="Arial" w:eastAsia="Arial" w:hAnsi="Arial" w:cs="Arial"/>
          <w:color w:val="000000"/>
          <w:lang w:val="en-US" w:eastAsia="el-GR" w:bidi="en-US"/>
        </w:rPr>
        <w:t xml:space="preserve"> (chairman) and Mr. </w:t>
      </w:r>
      <w:r w:rsidR="009E7064">
        <w:rPr>
          <w:rFonts w:ascii="Arial" w:eastAsia="Arial" w:hAnsi="Arial" w:cs="Arial"/>
          <w:color w:val="000000"/>
          <w:lang w:val="en-US" w:eastAsia="el-GR" w:bidi="en-US"/>
        </w:rPr>
        <w:t>Anastasios Margaronis</w:t>
      </w:r>
      <w:r w:rsidRPr="000145EB">
        <w:rPr>
          <w:rFonts w:ascii="Arial" w:eastAsia="Arial" w:hAnsi="Arial" w:cs="Arial"/>
          <w:color w:val="000000"/>
          <w:lang w:val="en-US" w:eastAsia="el-GR" w:bidi="en-US"/>
        </w:rPr>
        <w:t xml:space="preserve"> (member).</w:t>
      </w:r>
    </w:p>
    <w:p w14:paraId="71F3E989" w14:textId="77777777" w:rsidR="006B7917" w:rsidRPr="000145EB" w:rsidRDefault="006B7917" w:rsidP="000145EB">
      <w:pPr>
        <w:pBdr>
          <w:top w:val="nil"/>
          <w:left w:val="nil"/>
          <w:bottom w:val="nil"/>
          <w:right w:val="nil"/>
          <w:between w:val="nil"/>
          <w:bar w:val="nil"/>
        </w:pBdr>
        <w:jc w:val="both"/>
        <w:rPr>
          <w:rFonts w:ascii="Arial" w:eastAsia="Arial" w:hAnsi="Arial" w:cs="Arial"/>
          <w:bdr w:val="nil"/>
          <w:lang w:val="en-US"/>
        </w:rPr>
      </w:pPr>
    </w:p>
    <w:p w14:paraId="71F3E98A" w14:textId="77777777" w:rsidR="006B7917" w:rsidRPr="000145EB"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have established a Sustainability Committee comprised of Mr. Apostolos Kontoyannis (Chairman)</w:t>
      </w:r>
      <w:r w:rsidR="009E7064">
        <w:rPr>
          <w:rFonts w:ascii="Arial" w:eastAsia="Arial" w:hAnsi="Arial" w:cs="Arial"/>
          <w:color w:val="000000"/>
          <w:lang w:val="en-US" w:eastAsia="el-GR" w:bidi="en-US"/>
        </w:rPr>
        <w:t>,</w:t>
      </w:r>
      <w:r w:rsidRPr="000145EB">
        <w:rPr>
          <w:rFonts w:ascii="Arial" w:eastAsia="Arial" w:hAnsi="Arial" w:cs="Arial"/>
          <w:color w:val="000000"/>
          <w:lang w:val="en-US" w:eastAsia="el-GR" w:bidi="en-US"/>
        </w:rPr>
        <w:t xml:space="preserve"> Ms. Semiramis Paliou (member)</w:t>
      </w:r>
      <w:r w:rsidR="009E7064">
        <w:rPr>
          <w:rFonts w:ascii="Arial" w:eastAsia="Arial" w:hAnsi="Arial" w:cs="Arial"/>
          <w:color w:val="000000"/>
          <w:lang w:val="en-US" w:eastAsia="el-GR" w:bidi="en-US"/>
        </w:rPr>
        <w:t xml:space="preserve"> and Mr. Anastasios Margaronis (member)</w:t>
      </w:r>
      <w:r>
        <w:rPr>
          <w:rFonts w:ascii="Arial" w:eastAsia="Arial" w:hAnsi="Arial" w:cs="Arial"/>
          <w:color w:val="000000"/>
          <w:lang w:val="en-US" w:eastAsia="el-GR" w:bidi="en-US"/>
        </w:rPr>
        <w:t xml:space="preserve">. The </w:t>
      </w:r>
      <w:r w:rsidRPr="000145EB">
        <w:rPr>
          <w:rFonts w:ascii="Arial" w:eastAsia="Arial" w:hAnsi="Arial" w:cs="Arial"/>
          <w:color w:val="000000"/>
          <w:lang w:val="en-US" w:eastAsia="el-GR" w:bidi="en-US"/>
        </w:rPr>
        <w:t xml:space="preserve">Sustainability Committee, as directed by its written charter, is responsible for </w:t>
      </w:r>
      <w:r w:rsidR="004D1A7F">
        <w:rPr>
          <w:rFonts w:ascii="Arial" w:eastAsia="Arial" w:hAnsi="Arial" w:cs="Arial"/>
          <w:color w:val="000000"/>
          <w:lang w:val="en-US" w:eastAsia="el-GR" w:bidi="en-US"/>
        </w:rPr>
        <w:t>i</w:t>
      </w:r>
      <w:r w:rsidRPr="000145EB">
        <w:rPr>
          <w:rFonts w:ascii="Arial" w:eastAsia="Arial" w:hAnsi="Arial" w:cs="Arial"/>
          <w:color w:val="000000"/>
          <w:lang w:val="en-US" w:eastAsia="el-GR" w:bidi="en-US"/>
        </w:rPr>
        <w:t>dentifying, evaluating and making recommendations to the Board with respect to significant policies and performance on matters relating to sustainability, including environmental risks and opportunities, social responsibility and impact and the health and safety of all of our stakeholders.</w:t>
      </w:r>
    </w:p>
    <w:p w14:paraId="71F3E98B" w14:textId="77777777" w:rsidR="006B7917" w:rsidRPr="000145EB" w:rsidRDefault="006B7917" w:rsidP="000145EB">
      <w:pPr>
        <w:pBdr>
          <w:top w:val="nil"/>
          <w:left w:val="nil"/>
          <w:bottom w:val="nil"/>
          <w:right w:val="nil"/>
          <w:between w:val="nil"/>
          <w:bar w:val="nil"/>
        </w:pBdr>
        <w:jc w:val="both"/>
        <w:rPr>
          <w:rFonts w:ascii="Arial" w:eastAsia="Arial" w:hAnsi="Arial" w:cs="Arial"/>
          <w:bdr w:val="nil"/>
          <w:lang w:val="en-US"/>
        </w:rPr>
      </w:pPr>
    </w:p>
    <w:p w14:paraId="71F3E98C" w14:textId="77777777" w:rsidR="00D35A31" w:rsidRPr="000145EB"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have established an Executive Committee comprised of</w:t>
      </w:r>
      <w:r>
        <w:rPr>
          <w:rFonts w:ascii="Arial" w:eastAsia="Arial" w:hAnsi="Arial" w:cs="Arial"/>
          <w:color w:val="000000"/>
          <w:lang w:val="en-US" w:eastAsia="el-GR" w:bidi="en-US"/>
        </w:rPr>
        <w:t xml:space="preserve"> </w:t>
      </w:r>
      <w:r w:rsidRPr="000145EB">
        <w:rPr>
          <w:rFonts w:ascii="Arial" w:eastAsia="Arial" w:hAnsi="Arial" w:cs="Arial"/>
          <w:color w:val="000000"/>
          <w:lang w:val="en-US" w:eastAsia="el-GR" w:bidi="en-US"/>
        </w:rPr>
        <w:t>Ms. Semiramis Paliou (Chairperson), Mr. Ioannis Zafirakis (member), and Mr. Eleftherios Papatrifon (member). The Executive Committee has, to the extent permitted by law, the powers of the Board of Directors in the management of the business and affairs of the Company.</w:t>
      </w:r>
    </w:p>
    <w:p w14:paraId="71F3E98D" w14:textId="77777777" w:rsidR="000612D4" w:rsidRPr="000145EB" w:rsidRDefault="000612D4" w:rsidP="000145EB">
      <w:pPr>
        <w:pBdr>
          <w:top w:val="nil"/>
          <w:left w:val="nil"/>
          <w:bottom w:val="nil"/>
          <w:right w:val="nil"/>
          <w:between w:val="nil"/>
          <w:bar w:val="nil"/>
        </w:pBdr>
        <w:jc w:val="both"/>
        <w:rPr>
          <w:rFonts w:ascii="Arial" w:eastAsia="Arial" w:hAnsi="Arial" w:cs="Arial"/>
          <w:bdr w:val="nil"/>
          <w:lang w:val="en-US"/>
        </w:rPr>
      </w:pPr>
    </w:p>
    <w:p w14:paraId="71F3E98E" w14:textId="77777777" w:rsidR="00D35A31" w:rsidRDefault="003A4815" w:rsidP="000145EB">
      <w:pPr>
        <w:pBdr>
          <w:top w:val="nil"/>
          <w:left w:val="nil"/>
          <w:bottom w:val="nil"/>
          <w:right w:val="nil"/>
          <w:between w:val="nil"/>
          <w:bar w:val="nil"/>
        </w:pBdr>
        <w:jc w:val="both"/>
        <w:rPr>
          <w:rFonts w:ascii="Arial" w:eastAsia="Arial" w:hAnsi="Arial" w:cs="Arial"/>
          <w:bdr w:val="nil"/>
          <w:lang w:val="en-US"/>
        </w:rPr>
      </w:pPr>
      <w:r w:rsidRPr="000145EB">
        <w:rPr>
          <w:rFonts w:ascii="Arial" w:eastAsia="Arial" w:hAnsi="Arial" w:cs="Arial"/>
          <w:color w:val="000000"/>
          <w:lang w:val="en-US" w:eastAsia="el-GR" w:bidi="en-US"/>
        </w:rPr>
        <w:t>We also maintain directors’ and officers’ insurance, pursuant to which we provide insurance coverage against certain liabilities to which our directors and officers may be subject, including liability incurred under U.S. securities law. Our executive directors have employment agreements, which, if terminated without cause, entitle them to continue receiving their basic salary through the date of the agreement’s expiration.</w:t>
      </w:r>
    </w:p>
    <w:p w14:paraId="71F3E98F" w14:textId="77777777" w:rsidR="00E2621D" w:rsidRDefault="00E2621D" w:rsidP="000145EB">
      <w:pPr>
        <w:pBdr>
          <w:top w:val="nil"/>
          <w:left w:val="nil"/>
          <w:bottom w:val="nil"/>
          <w:right w:val="nil"/>
          <w:between w:val="nil"/>
          <w:bar w:val="nil"/>
        </w:pBdr>
        <w:jc w:val="both"/>
        <w:rPr>
          <w:rFonts w:ascii="Arial" w:eastAsia="Arial" w:hAnsi="Arial" w:cs="Arial"/>
          <w:bdr w:val="nil"/>
          <w:lang w:val="en-US"/>
        </w:rPr>
      </w:pPr>
    </w:p>
    <w:p w14:paraId="71F3E990" w14:textId="77777777" w:rsidR="00E2621D" w:rsidRPr="00E2621D" w:rsidRDefault="003A4815" w:rsidP="00E2621D">
      <w:pPr>
        <w:pBdr>
          <w:top w:val="nil"/>
          <w:left w:val="nil"/>
          <w:bottom w:val="nil"/>
          <w:right w:val="nil"/>
          <w:between w:val="nil"/>
          <w:bar w:val="nil"/>
        </w:pBdr>
        <w:jc w:val="both"/>
        <w:rPr>
          <w:rFonts w:ascii="Arial" w:eastAsia="Arial" w:hAnsi="Arial" w:cs="Arial"/>
          <w:b/>
          <w:bCs/>
          <w:bdr w:val="nil"/>
          <w:lang w:val="en-US"/>
        </w:rPr>
      </w:pPr>
      <w:r w:rsidRPr="00E2621D">
        <w:rPr>
          <w:rFonts w:ascii="Arial" w:eastAsia="Arial" w:hAnsi="Arial" w:cs="Arial"/>
          <w:b/>
          <w:bCs/>
          <w:color w:val="000000"/>
          <w:lang w:val="en-US" w:eastAsia="el-GR" w:bidi="en-US"/>
        </w:rPr>
        <w:t>Clawback Policy</w:t>
      </w:r>
    </w:p>
    <w:p w14:paraId="71F3E991" w14:textId="77777777" w:rsidR="00E2621D" w:rsidRDefault="00E2621D" w:rsidP="00E2621D">
      <w:pPr>
        <w:pBdr>
          <w:top w:val="nil"/>
          <w:left w:val="nil"/>
          <w:bottom w:val="nil"/>
          <w:right w:val="nil"/>
          <w:between w:val="nil"/>
          <w:bar w:val="nil"/>
        </w:pBdr>
        <w:jc w:val="both"/>
        <w:rPr>
          <w:rFonts w:ascii="Arial" w:eastAsia="Arial" w:hAnsi="Arial" w:cs="Arial"/>
          <w:bdr w:val="nil"/>
          <w:lang w:val="en-US"/>
        </w:rPr>
      </w:pPr>
    </w:p>
    <w:p w14:paraId="71F3E992" w14:textId="77777777" w:rsidR="00E2621D" w:rsidRDefault="003A4815" w:rsidP="00E2621D">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color w:val="000000"/>
          <w:lang w:val="en-US" w:eastAsia="el-GR" w:bidi="en-US"/>
        </w:rPr>
        <w:t>In December 2023, our Board of Directors adopted a policy regarding the recovery of erroneously awarded compensation (“Clawback Policy”) in accordance with the applicable rules of NYSE and Section 10D and Rule 10D-1 of the Securities Exchange Act of 1934, as amended. In the event we are required to prepare an accounting restatement due to material noncompliance with any financial reporting requirements under U.S. securities laws or otherwise erroneous data or if we determine there has been a significant misconduct that causes material financial, operational or reputational harm, we shall be entitled to recover a portion or all of any incentive-based compensation, if any, provided to certain executives who, during a three-year period preceding the date on which an accounting restatement is required, received incentive compensation based on the erroneous financial data that exceeds the amount of incentive-based compensation the executive would have received based on the restatement.</w:t>
      </w:r>
    </w:p>
    <w:p w14:paraId="71F3E993" w14:textId="77777777" w:rsidR="00E2621D" w:rsidRDefault="00E2621D" w:rsidP="00E2621D">
      <w:pPr>
        <w:pBdr>
          <w:top w:val="nil"/>
          <w:left w:val="nil"/>
          <w:bottom w:val="nil"/>
          <w:right w:val="nil"/>
          <w:between w:val="nil"/>
          <w:bar w:val="nil"/>
        </w:pBdr>
        <w:jc w:val="both"/>
        <w:rPr>
          <w:rFonts w:ascii="Arial" w:eastAsia="Arial" w:hAnsi="Arial" w:cs="Arial"/>
          <w:bdr w:val="nil"/>
          <w:lang w:val="en-US"/>
        </w:rPr>
      </w:pPr>
    </w:p>
    <w:p w14:paraId="71F3E994" w14:textId="77777777" w:rsidR="00E2621D" w:rsidRDefault="003A4815" w:rsidP="00E2621D">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color w:val="000000"/>
          <w:lang w:val="en-US" w:eastAsia="el-GR" w:bidi="en-US"/>
        </w:rPr>
        <w:t xml:space="preserve">Our Clawback Policy shall be administered by our Compensation Committee who has the authority, in accordance with the applicable laws, rules and regulations, to interpret and make determinations necessary for the administration of the Clawback Policy, and may forego recovery in certain instances, including if it determines that recovery would be impracticable. </w:t>
      </w:r>
    </w:p>
    <w:p w14:paraId="71F3E99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996" w14:textId="77777777" w:rsidR="009365D4" w:rsidRPr="009465A0" w:rsidRDefault="003A4815" w:rsidP="009465A0">
      <w:pPr>
        <w:pStyle w:val="Heading2"/>
        <w:keepLines/>
        <w:pBdr>
          <w:top w:val="nil"/>
          <w:left w:val="nil"/>
          <w:bottom w:val="nil"/>
          <w:right w:val="nil"/>
          <w:between w:val="nil"/>
          <w:bar w:val="nil"/>
        </w:pBdr>
        <w:ind w:left="714"/>
        <w:rPr>
          <w:rFonts w:ascii="Arial" w:eastAsia="Arial" w:hAnsi="Arial" w:cs="Arial"/>
          <w:bCs w:val="0"/>
          <w:iCs w:val="0"/>
          <w:color w:val="auto"/>
          <w:szCs w:val="24"/>
          <w:bdr w:val="nil"/>
          <w:lang w:bidi="en-US"/>
        </w:rPr>
      </w:pPr>
      <w:bookmarkStart w:id="191" w:name="RG_MARKER_23070"/>
      <w:r w:rsidRPr="009465A0">
        <w:rPr>
          <w:rFonts w:ascii="Arial" w:eastAsia="Arial" w:hAnsi="Arial" w:cs="Arial"/>
          <w:bCs w:val="0"/>
          <w:iCs w:val="0"/>
          <w:color w:val="auto"/>
          <w:szCs w:val="24"/>
          <w:lang w:bidi="en-US"/>
        </w:rPr>
        <w:t>D.</w:t>
      </w:r>
      <w:bookmarkEnd w:id="191"/>
      <w:r w:rsidRPr="009465A0">
        <w:rPr>
          <w:rFonts w:ascii="Arial" w:eastAsia="Arial" w:hAnsi="Arial" w:cs="Arial"/>
          <w:bCs w:val="0"/>
          <w:iCs w:val="0"/>
          <w:color w:val="auto"/>
          <w:szCs w:val="24"/>
          <w:lang w:bidi="en-US"/>
        </w:rPr>
        <w:tab/>
        <w:t>Employees</w:t>
      </w:r>
    </w:p>
    <w:p w14:paraId="71F3E997" w14:textId="77777777" w:rsidR="009365D4" w:rsidRPr="009465A0" w:rsidRDefault="009365D4" w:rsidP="009465A0">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98" w14:textId="77777777" w:rsidR="009365D4" w:rsidRPr="009465A0" w:rsidRDefault="003A4815" w:rsidP="009465A0">
      <w:pPr>
        <w:pStyle w:val="Char1"/>
        <w:pBdr>
          <w:top w:val="nil"/>
          <w:left w:val="nil"/>
          <w:bottom w:val="nil"/>
          <w:right w:val="nil"/>
          <w:between w:val="nil"/>
          <w:bar w:val="nil"/>
        </w:pBdr>
        <w:spacing w:before="0" w:after="0"/>
        <w:rPr>
          <w:rFonts w:ascii="Arial" w:eastAsia="Arial" w:hAnsi="Arial" w:cs="Arial"/>
          <w:bdr w:val="nil"/>
          <w:lang w:bidi="en-US"/>
        </w:rPr>
      </w:pPr>
      <w:r w:rsidRPr="009465A0">
        <w:rPr>
          <w:rFonts w:ascii="Arial" w:eastAsia="Arial" w:hAnsi="Arial" w:cs="Arial"/>
          <w:lang w:bidi="en-US"/>
        </w:rPr>
        <w:t>We crew our vessels primarily with Greek officers and Filipino officers and seamen and may also employ seamen from Poland, Romania and Ukraine. DSS and DWM are responsible for identifying the appropriate officers and seamen mainly through crewing agencies. The crewing agencies handle each seaman's training, travel and payroll. The management companies ensure that all our seamen have the qualifications and licenses required to comply with international regulations and shipping conventions. Additionally, our seafaring employees perform most commissioning work and supervise work at shipyards and drydock facilities. We typically man our vessels with more crew members than are required by the country of the vessel's flag in order to allow for the performance of routine maintenance duties.</w:t>
      </w:r>
    </w:p>
    <w:p w14:paraId="71F3E999" w14:textId="77777777" w:rsidR="009365D4" w:rsidRPr="009465A0" w:rsidRDefault="009365D4" w:rsidP="009465A0">
      <w:pPr>
        <w:pStyle w:val="Char1"/>
        <w:pBdr>
          <w:top w:val="nil"/>
          <w:left w:val="nil"/>
          <w:bottom w:val="nil"/>
          <w:right w:val="nil"/>
          <w:between w:val="nil"/>
          <w:bar w:val="nil"/>
        </w:pBdr>
        <w:spacing w:before="0" w:after="0"/>
        <w:rPr>
          <w:rFonts w:ascii="Arial" w:eastAsia="Arial" w:hAnsi="Arial" w:cs="Arial"/>
          <w:bdr w:val="nil"/>
          <w:lang w:bidi="en-US"/>
        </w:rPr>
      </w:pPr>
    </w:p>
    <w:p w14:paraId="71F3E99A" w14:textId="77777777" w:rsidR="009365D4" w:rsidRPr="009465A0" w:rsidRDefault="003A4815" w:rsidP="00AD11AB">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r w:rsidRPr="009465A0">
        <w:rPr>
          <w:rFonts w:ascii="Arial" w:eastAsia="Arial" w:hAnsi="Arial" w:cs="Arial"/>
          <w:lang w:bidi="en-US"/>
        </w:rPr>
        <w:t xml:space="preserve">The following table presents the number of shoreside personnel employed by DSS and the number of seafaring personnel employed by our vessel-owning subsidiaries as of December 31, 2025, 2024 and 2023. </w:t>
      </w:r>
    </w:p>
    <w:p w14:paraId="71F3E99B" w14:textId="77777777" w:rsidR="009365D4" w:rsidRPr="009465A0" w:rsidRDefault="009365D4" w:rsidP="00AD11AB">
      <w:pPr>
        <w:keepNext/>
        <w:keepLines/>
        <w:pBdr>
          <w:top w:val="nil"/>
          <w:left w:val="nil"/>
          <w:bottom w:val="nil"/>
          <w:right w:val="nil"/>
          <w:between w:val="nil"/>
          <w:bar w:val="nil"/>
        </w:pBdr>
        <w:rPr>
          <w:rFonts w:ascii="Arial" w:eastAsia="Arial" w:hAnsi="Arial" w:cs="Arial"/>
          <w:bdr w:val="nil"/>
          <w:lang w:val="en-US"/>
        </w:rPr>
      </w:pPr>
    </w:p>
    <w:tbl>
      <w:tblPr>
        <w:tblW w:w="10289" w:type="dxa"/>
        <w:jc w:val="center"/>
        <w:tblLayout w:type="fixed"/>
        <w:tblCellMar>
          <w:left w:w="0" w:type="dxa"/>
          <w:right w:w="0" w:type="dxa"/>
        </w:tblCellMar>
        <w:tblLook w:val="0000" w:firstRow="0" w:lastRow="0" w:firstColumn="0" w:lastColumn="0" w:noHBand="0" w:noVBand="0"/>
      </w:tblPr>
      <w:tblGrid>
        <w:gridCol w:w="4366"/>
        <w:gridCol w:w="262"/>
        <w:gridCol w:w="1616"/>
        <w:gridCol w:w="256"/>
        <w:gridCol w:w="1728"/>
        <w:gridCol w:w="168"/>
        <w:gridCol w:w="1893"/>
      </w:tblGrid>
      <w:tr w:rsidR="00510CAA" w14:paraId="71F3E99F" w14:textId="77777777" w:rsidTr="001126BD">
        <w:trPr>
          <w:cantSplit/>
          <w:jc w:val="center"/>
        </w:trPr>
        <w:tc>
          <w:tcPr>
            <w:tcW w:w="4366" w:type="dxa"/>
            <w:tcBorders>
              <w:top w:val="nil"/>
              <w:left w:val="nil"/>
              <w:bottom w:val="nil"/>
              <w:right w:val="nil"/>
            </w:tcBorders>
            <w:vAlign w:val="bottom"/>
          </w:tcPr>
          <w:p w14:paraId="71F3E99C" w14:textId="77777777" w:rsidR="009365D4" w:rsidRPr="009465A0" w:rsidRDefault="003A4815" w:rsidP="009465A0">
            <w:pPr>
              <w:keepNext/>
              <w:pBdr>
                <w:top w:val="nil"/>
                <w:left w:val="nil"/>
                <w:bottom w:val="nil"/>
                <w:right w:val="nil"/>
                <w:between w:val="nil"/>
                <w:bar w:val="nil"/>
              </w:pBdr>
              <w:rPr>
                <w:rFonts w:ascii="Arial" w:eastAsia="Arial" w:hAnsi="Arial" w:cs="Arial"/>
                <w:sz w:val="20"/>
                <w:szCs w:val="20"/>
                <w:bdr w:val="nil"/>
                <w:lang w:val="en-US"/>
              </w:rPr>
            </w:pPr>
            <w:r w:rsidRPr="009465A0">
              <w:rPr>
                <w:rFonts w:ascii="Arial" w:eastAsia="Arial" w:hAnsi="Arial" w:cs="Arial"/>
                <w:b/>
                <w:bCs/>
                <w:color w:val="000000"/>
                <w:sz w:val="20"/>
                <w:szCs w:val="20"/>
                <w:lang w:val="en-US" w:bidi="en-US"/>
              </w:rPr>
              <w:t> </w:t>
            </w:r>
          </w:p>
        </w:tc>
        <w:tc>
          <w:tcPr>
            <w:tcW w:w="262" w:type="dxa"/>
            <w:tcBorders>
              <w:top w:val="nil"/>
              <w:left w:val="nil"/>
              <w:bottom w:val="nil"/>
              <w:right w:val="nil"/>
            </w:tcBorders>
            <w:vAlign w:val="bottom"/>
          </w:tcPr>
          <w:p w14:paraId="71F3E99D" w14:textId="77777777" w:rsidR="009365D4" w:rsidRPr="009465A0" w:rsidRDefault="003A4815" w:rsidP="009465A0">
            <w:pPr>
              <w:keepNext/>
              <w:pBdr>
                <w:top w:val="nil"/>
                <w:left w:val="nil"/>
                <w:bottom w:val="nil"/>
                <w:right w:val="nil"/>
                <w:between w:val="nil"/>
                <w:bar w:val="nil"/>
              </w:pBdr>
              <w:jc w:val="center"/>
              <w:rPr>
                <w:rFonts w:ascii="Arial" w:eastAsia="Arial" w:hAnsi="Arial" w:cs="Arial"/>
                <w:b/>
                <w:bCs/>
                <w:color w:val="000000"/>
                <w:sz w:val="20"/>
                <w:szCs w:val="20"/>
                <w:bdr w:val="nil"/>
                <w:lang w:val="en-US"/>
              </w:rPr>
            </w:pPr>
            <w:r w:rsidRPr="009465A0">
              <w:rPr>
                <w:rFonts w:ascii="Arial" w:eastAsia="Arial" w:hAnsi="Arial" w:cs="Arial"/>
                <w:b/>
                <w:bCs/>
                <w:color w:val="000000"/>
                <w:sz w:val="20"/>
                <w:szCs w:val="20"/>
                <w:lang w:val="en-US" w:bidi="en-US"/>
              </w:rPr>
              <w:t> </w:t>
            </w:r>
          </w:p>
        </w:tc>
        <w:tc>
          <w:tcPr>
            <w:tcW w:w="5661" w:type="dxa"/>
            <w:gridSpan w:val="5"/>
            <w:tcBorders>
              <w:top w:val="nil"/>
              <w:left w:val="nil"/>
              <w:bottom w:val="single" w:sz="4" w:space="0" w:color="auto"/>
              <w:right w:val="nil"/>
            </w:tcBorders>
            <w:vAlign w:val="bottom"/>
          </w:tcPr>
          <w:p w14:paraId="71F3E99E" w14:textId="77777777" w:rsidR="009365D4" w:rsidRPr="009465A0" w:rsidRDefault="003A4815" w:rsidP="009465A0">
            <w:pPr>
              <w:keepNext/>
              <w:pBdr>
                <w:top w:val="nil"/>
                <w:left w:val="nil"/>
                <w:bottom w:val="nil"/>
                <w:right w:val="nil"/>
                <w:between w:val="nil"/>
                <w:bar w:val="nil"/>
              </w:pBdr>
              <w:jc w:val="center"/>
              <w:rPr>
                <w:rFonts w:ascii="Arial" w:eastAsia="Arial" w:hAnsi="Arial" w:cs="Arial"/>
                <w:b/>
                <w:bCs/>
                <w:color w:val="000000"/>
                <w:sz w:val="20"/>
                <w:szCs w:val="20"/>
                <w:bdr w:val="nil"/>
                <w:lang w:val="en-US"/>
              </w:rPr>
            </w:pPr>
            <w:r w:rsidRPr="009465A0">
              <w:rPr>
                <w:rFonts w:ascii="Arial" w:eastAsia="Arial" w:hAnsi="Arial" w:cs="Arial"/>
                <w:b/>
                <w:bCs/>
                <w:color w:val="000000"/>
                <w:sz w:val="20"/>
                <w:szCs w:val="20"/>
                <w:lang w:val="en-US" w:bidi="en-US"/>
              </w:rPr>
              <w:t>Year Ended December 31,</w:t>
            </w:r>
          </w:p>
        </w:tc>
      </w:tr>
      <w:tr w:rsidR="00510CAA" w14:paraId="71F3E9A7" w14:textId="77777777" w:rsidTr="001126BD">
        <w:trPr>
          <w:cantSplit/>
          <w:jc w:val="center"/>
        </w:trPr>
        <w:tc>
          <w:tcPr>
            <w:tcW w:w="4366" w:type="dxa"/>
            <w:tcBorders>
              <w:top w:val="nil"/>
              <w:left w:val="nil"/>
              <w:bottom w:val="nil"/>
              <w:right w:val="nil"/>
            </w:tcBorders>
            <w:vAlign w:val="bottom"/>
          </w:tcPr>
          <w:p w14:paraId="71F3E9A0" w14:textId="77777777" w:rsidR="009365D4" w:rsidRPr="009465A0" w:rsidRDefault="003A4815" w:rsidP="009465A0">
            <w:pPr>
              <w:keepNext/>
              <w:pBdr>
                <w:top w:val="nil"/>
                <w:left w:val="nil"/>
                <w:bottom w:val="nil"/>
                <w:right w:val="nil"/>
                <w:between w:val="nil"/>
                <w:bar w:val="nil"/>
              </w:pBdr>
              <w:rPr>
                <w:rFonts w:ascii="Arial" w:eastAsia="Arial" w:hAnsi="Arial" w:cs="Arial"/>
                <w:sz w:val="20"/>
                <w:szCs w:val="20"/>
                <w:bdr w:val="nil"/>
                <w:lang w:val="en-US"/>
              </w:rPr>
            </w:pPr>
            <w:r w:rsidRPr="009465A0">
              <w:rPr>
                <w:rFonts w:ascii="Arial" w:eastAsia="Arial" w:hAnsi="Arial" w:cs="Arial"/>
                <w:b/>
                <w:bCs/>
                <w:color w:val="000000"/>
                <w:sz w:val="20"/>
                <w:szCs w:val="20"/>
                <w:lang w:val="en-US" w:bidi="en-US"/>
              </w:rPr>
              <w:t> </w:t>
            </w:r>
          </w:p>
        </w:tc>
        <w:tc>
          <w:tcPr>
            <w:tcW w:w="262" w:type="dxa"/>
            <w:tcBorders>
              <w:top w:val="nil"/>
              <w:left w:val="nil"/>
              <w:bottom w:val="nil"/>
              <w:right w:val="nil"/>
            </w:tcBorders>
            <w:vAlign w:val="bottom"/>
          </w:tcPr>
          <w:p w14:paraId="71F3E9A1" w14:textId="77777777" w:rsidR="009365D4" w:rsidRPr="009465A0" w:rsidRDefault="003A4815" w:rsidP="009465A0">
            <w:pPr>
              <w:keepNext/>
              <w:pBdr>
                <w:top w:val="nil"/>
                <w:left w:val="nil"/>
                <w:bottom w:val="nil"/>
                <w:right w:val="nil"/>
                <w:between w:val="nil"/>
                <w:bar w:val="nil"/>
              </w:pBdr>
              <w:jc w:val="center"/>
              <w:rPr>
                <w:rFonts w:ascii="Arial" w:eastAsia="Arial" w:hAnsi="Arial" w:cs="Arial"/>
                <w:b/>
                <w:bCs/>
                <w:color w:val="000000"/>
                <w:sz w:val="20"/>
                <w:szCs w:val="20"/>
                <w:bdr w:val="nil"/>
                <w:lang w:val="en-US"/>
              </w:rPr>
            </w:pPr>
            <w:r w:rsidRPr="009465A0">
              <w:rPr>
                <w:rFonts w:ascii="Arial" w:eastAsia="Arial" w:hAnsi="Arial" w:cs="Arial"/>
                <w:b/>
                <w:bCs/>
                <w:color w:val="000000"/>
                <w:sz w:val="20"/>
                <w:szCs w:val="20"/>
                <w:lang w:val="en-US" w:bidi="en-US"/>
              </w:rPr>
              <w:t> </w:t>
            </w:r>
          </w:p>
        </w:tc>
        <w:tc>
          <w:tcPr>
            <w:tcW w:w="1616" w:type="dxa"/>
            <w:tcBorders>
              <w:top w:val="nil"/>
              <w:left w:val="nil"/>
              <w:bottom w:val="nil"/>
              <w:right w:val="nil"/>
            </w:tcBorders>
            <w:vAlign w:val="bottom"/>
          </w:tcPr>
          <w:p w14:paraId="71F3E9A2" w14:textId="77777777" w:rsidR="009365D4" w:rsidRPr="009465A0" w:rsidRDefault="003A4815" w:rsidP="009465A0">
            <w:pPr>
              <w:keepNext/>
              <w:pBdr>
                <w:top w:val="nil"/>
                <w:left w:val="nil"/>
                <w:bottom w:val="single" w:sz="4" w:space="1" w:color="auto"/>
                <w:right w:val="nil"/>
                <w:between w:val="nil"/>
                <w:bar w:val="nil"/>
              </w:pBdr>
              <w:jc w:val="center"/>
              <w:rPr>
                <w:rFonts w:ascii="Arial" w:eastAsia="Arial" w:hAnsi="Arial" w:cs="Arial"/>
                <w:b/>
                <w:bCs/>
                <w:color w:val="000000"/>
                <w:sz w:val="20"/>
                <w:szCs w:val="20"/>
                <w:bdr w:val="nil"/>
                <w:lang w:val="en-US"/>
              </w:rPr>
            </w:pPr>
            <w:r w:rsidRPr="00EC2CC1">
              <w:rPr>
                <w:rFonts w:ascii="Arial" w:eastAsia="Arial" w:hAnsi="Arial" w:cs="Arial"/>
                <w:b/>
                <w:bCs/>
                <w:color w:val="000000"/>
                <w:sz w:val="20"/>
                <w:szCs w:val="20"/>
                <w:lang w:val="en-US" w:bidi="en-US"/>
              </w:rPr>
              <w:t>2025</w:t>
            </w:r>
          </w:p>
        </w:tc>
        <w:tc>
          <w:tcPr>
            <w:tcW w:w="256" w:type="dxa"/>
            <w:tcBorders>
              <w:top w:val="nil"/>
              <w:left w:val="nil"/>
              <w:bottom w:val="nil"/>
              <w:right w:val="nil"/>
            </w:tcBorders>
          </w:tcPr>
          <w:p w14:paraId="71F3E9A3" w14:textId="77777777" w:rsidR="009365D4" w:rsidRPr="009465A0" w:rsidRDefault="009365D4" w:rsidP="009465A0">
            <w:pPr>
              <w:keepNext/>
              <w:rPr>
                <w:rFonts w:ascii="Arial" w:eastAsia="Arial" w:hAnsi="Arial" w:cs="Arial"/>
                <w:b/>
                <w:bCs/>
                <w:color w:val="000000"/>
                <w:sz w:val="20"/>
                <w:szCs w:val="20"/>
                <w:bdr w:val="nil"/>
                <w:lang w:val="en-US"/>
              </w:rPr>
            </w:pPr>
          </w:p>
        </w:tc>
        <w:tc>
          <w:tcPr>
            <w:tcW w:w="1728" w:type="dxa"/>
            <w:tcBorders>
              <w:top w:val="nil"/>
              <w:left w:val="nil"/>
              <w:bottom w:val="nil"/>
              <w:right w:val="nil"/>
            </w:tcBorders>
            <w:vAlign w:val="bottom"/>
          </w:tcPr>
          <w:p w14:paraId="71F3E9A4" w14:textId="77777777" w:rsidR="009365D4" w:rsidRPr="009465A0" w:rsidRDefault="003A4815" w:rsidP="009465A0">
            <w:pPr>
              <w:keepNext/>
              <w:pBdr>
                <w:top w:val="nil"/>
                <w:left w:val="nil"/>
                <w:bottom w:val="single" w:sz="4" w:space="1" w:color="auto"/>
                <w:right w:val="nil"/>
                <w:between w:val="nil"/>
                <w:bar w:val="nil"/>
              </w:pBdr>
              <w:jc w:val="center"/>
              <w:rPr>
                <w:rFonts w:ascii="Arial" w:eastAsia="Arial" w:hAnsi="Arial" w:cs="Arial"/>
                <w:b/>
                <w:bCs/>
                <w:color w:val="000000"/>
                <w:sz w:val="20"/>
                <w:szCs w:val="20"/>
                <w:bdr w:val="nil"/>
                <w:lang w:val="en-US"/>
              </w:rPr>
            </w:pPr>
            <w:r w:rsidRPr="009465A0">
              <w:rPr>
                <w:rFonts w:ascii="Arial" w:eastAsia="Arial" w:hAnsi="Arial" w:cs="Arial"/>
                <w:b/>
                <w:bCs/>
                <w:color w:val="000000"/>
                <w:sz w:val="20"/>
                <w:szCs w:val="20"/>
                <w:lang w:val="en-US" w:bidi="en-US"/>
              </w:rPr>
              <w:t>2024</w:t>
            </w:r>
          </w:p>
        </w:tc>
        <w:tc>
          <w:tcPr>
            <w:tcW w:w="168" w:type="dxa"/>
            <w:tcBorders>
              <w:top w:val="nil"/>
              <w:left w:val="nil"/>
              <w:bottom w:val="nil"/>
              <w:right w:val="nil"/>
            </w:tcBorders>
          </w:tcPr>
          <w:p w14:paraId="71F3E9A5" w14:textId="77777777" w:rsidR="009365D4" w:rsidRPr="009465A0" w:rsidRDefault="009365D4" w:rsidP="009465A0">
            <w:pPr>
              <w:keepNext/>
              <w:rPr>
                <w:rFonts w:ascii="Arial" w:eastAsia="Arial" w:hAnsi="Arial" w:cs="Arial"/>
                <w:b/>
                <w:bCs/>
                <w:color w:val="000000"/>
                <w:sz w:val="20"/>
                <w:szCs w:val="20"/>
                <w:bdr w:val="nil"/>
                <w:lang w:val="en-US"/>
              </w:rPr>
            </w:pPr>
          </w:p>
        </w:tc>
        <w:tc>
          <w:tcPr>
            <w:tcW w:w="1893" w:type="dxa"/>
            <w:tcBorders>
              <w:top w:val="nil"/>
              <w:left w:val="nil"/>
              <w:bottom w:val="nil"/>
              <w:right w:val="nil"/>
            </w:tcBorders>
            <w:vAlign w:val="bottom"/>
          </w:tcPr>
          <w:p w14:paraId="71F3E9A6" w14:textId="77777777" w:rsidR="009365D4" w:rsidRPr="009465A0" w:rsidRDefault="003A4815" w:rsidP="009465A0">
            <w:pPr>
              <w:keepNext/>
              <w:pBdr>
                <w:top w:val="nil"/>
                <w:left w:val="nil"/>
                <w:bottom w:val="single" w:sz="4" w:space="1" w:color="auto"/>
                <w:right w:val="nil"/>
                <w:between w:val="nil"/>
                <w:bar w:val="nil"/>
              </w:pBdr>
              <w:jc w:val="center"/>
              <w:rPr>
                <w:rFonts w:ascii="Arial" w:eastAsia="Arial" w:hAnsi="Arial" w:cs="Arial"/>
                <w:b/>
                <w:bCs/>
                <w:color w:val="000000"/>
                <w:sz w:val="20"/>
                <w:szCs w:val="20"/>
                <w:bdr w:val="nil"/>
                <w:lang w:val="en-US"/>
              </w:rPr>
            </w:pPr>
            <w:r w:rsidRPr="009465A0">
              <w:rPr>
                <w:rFonts w:ascii="Arial" w:eastAsia="Arial" w:hAnsi="Arial" w:cs="Arial"/>
                <w:b/>
                <w:bCs/>
                <w:color w:val="000000"/>
                <w:sz w:val="20"/>
                <w:szCs w:val="20"/>
                <w:lang w:val="en-US" w:bidi="en-US"/>
              </w:rPr>
              <w:t>2023</w:t>
            </w:r>
          </w:p>
        </w:tc>
      </w:tr>
      <w:tr w:rsidR="00510CAA" w14:paraId="71F3E9AF" w14:textId="77777777" w:rsidTr="001126BD">
        <w:trPr>
          <w:cantSplit/>
          <w:jc w:val="center"/>
        </w:trPr>
        <w:tc>
          <w:tcPr>
            <w:tcW w:w="4366" w:type="dxa"/>
            <w:tcBorders>
              <w:top w:val="nil"/>
              <w:left w:val="nil"/>
              <w:bottom w:val="nil"/>
              <w:right w:val="nil"/>
            </w:tcBorders>
            <w:shd w:val="clear" w:color="auto" w:fill="CCEEFF"/>
          </w:tcPr>
          <w:p w14:paraId="71F3E9A8"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Shoreside</w:t>
            </w:r>
          </w:p>
        </w:tc>
        <w:tc>
          <w:tcPr>
            <w:tcW w:w="262" w:type="dxa"/>
            <w:tcBorders>
              <w:top w:val="nil"/>
              <w:left w:val="nil"/>
              <w:bottom w:val="nil"/>
              <w:right w:val="nil"/>
            </w:tcBorders>
            <w:shd w:val="clear" w:color="auto" w:fill="CCEEFF"/>
          </w:tcPr>
          <w:p w14:paraId="71F3E9A9"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 </w:t>
            </w:r>
          </w:p>
        </w:tc>
        <w:tc>
          <w:tcPr>
            <w:tcW w:w="1616" w:type="dxa"/>
            <w:tcBorders>
              <w:top w:val="nil"/>
              <w:left w:val="nil"/>
              <w:bottom w:val="nil"/>
              <w:right w:val="nil"/>
            </w:tcBorders>
            <w:shd w:val="clear" w:color="auto" w:fill="CCEEFF"/>
            <w:vAlign w:val="bottom"/>
          </w:tcPr>
          <w:p w14:paraId="71F3E9AA"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sidRPr="009465A0">
              <w:rPr>
                <w:rFonts w:ascii="Arial" w:eastAsia="Arial" w:hAnsi="Arial" w:cs="Arial"/>
                <w:color w:val="000000"/>
                <w:lang w:val="en-US" w:bidi="en-US"/>
              </w:rPr>
              <w:t>1</w:t>
            </w:r>
            <w:r w:rsidR="00B60692">
              <w:rPr>
                <w:rFonts w:ascii="Arial" w:eastAsia="Arial" w:hAnsi="Arial" w:cs="Arial"/>
                <w:color w:val="000000"/>
                <w:lang w:val="en-US" w:bidi="en-US"/>
              </w:rPr>
              <w:t>26</w:t>
            </w:r>
          </w:p>
        </w:tc>
        <w:tc>
          <w:tcPr>
            <w:tcW w:w="256" w:type="dxa"/>
            <w:tcBorders>
              <w:top w:val="nil"/>
              <w:left w:val="nil"/>
              <w:bottom w:val="nil"/>
              <w:right w:val="nil"/>
            </w:tcBorders>
            <w:shd w:val="clear" w:color="auto" w:fill="CCEEFF"/>
            <w:vAlign w:val="bottom"/>
          </w:tcPr>
          <w:p w14:paraId="71F3E9AB" w14:textId="77777777" w:rsidR="008F254B" w:rsidRPr="009465A0" w:rsidRDefault="008F254B" w:rsidP="008F254B">
            <w:pPr>
              <w:keepNext/>
              <w:ind w:right="91"/>
              <w:jc w:val="right"/>
              <w:rPr>
                <w:rFonts w:ascii="Arial" w:eastAsia="Arial" w:hAnsi="Arial" w:cs="Arial"/>
                <w:color w:val="000000"/>
                <w:bdr w:val="nil"/>
                <w:lang w:val="en-US"/>
              </w:rPr>
            </w:pPr>
          </w:p>
        </w:tc>
        <w:tc>
          <w:tcPr>
            <w:tcW w:w="1728" w:type="dxa"/>
            <w:tcBorders>
              <w:top w:val="nil"/>
              <w:left w:val="nil"/>
              <w:bottom w:val="nil"/>
              <w:right w:val="nil"/>
            </w:tcBorders>
            <w:shd w:val="clear" w:color="auto" w:fill="CCEEFF"/>
            <w:vAlign w:val="bottom"/>
          </w:tcPr>
          <w:p w14:paraId="71F3E9AC"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sidRPr="009465A0">
              <w:rPr>
                <w:rFonts w:ascii="Arial" w:eastAsia="Arial" w:hAnsi="Arial" w:cs="Arial"/>
                <w:color w:val="000000"/>
                <w:lang w:val="en-US" w:bidi="en-US"/>
              </w:rPr>
              <w:t>11</w:t>
            </w:r>
            <w:r w:rsidR="00D51D10">
              <w:rPr>
                <w:rFonts w:ascii="Arial" w:eastAsia="Arial" w:hAnsi="Arial" w:cs="Arial"/>
                <w:color w:val="000000"/>
                <w:lang w:val="en-US" w:bidi="en-US"/>
              </w:rPr>
              <w:t>7</w:t>
            </w:r>
          </w:p>
        </w:tc>
        <w:tc>
          <w:tcPr>
            <w:tcW w:w="168" w:type="dxa"/>
            <w:tcBorders>
              <w:top w:val="nil"/>
              <w:left w:val="nil"/>
              <w:bottom w:val="nil"/>
              <w:right w:val="nil"/>
            </w:tcBorders>
            <w:shd w:val="clear" w:color="auto" w:fill="CCEEFF"/>
            <w:vAlign w:val="bottom"/>
          </w:tcPr>
          <w:p w14:paraId="71F3E9AD" w14:textId="77777777" w:rsidR="008F254B" w:rsidRPr="009465A0" w:rsidRDefault="008F254B" w:rsidP="008F254B">
            <w:pPr>
              <w:keepNext/>
              <w:ind w:right="91"/>
              <w:jc w:val="right"/>
              <w:rPr>
                <w:rFonts w:ascii="Arial" w:eastAsia="Arial" w:hAnsi="Arial" w:cs="Arial"/>
                <w:color w:val="000000"/>
                <w:bdr w:val="nil"/>
                <w:lang w:val="en-US"/>
              </w:rPr>
            </w:pPr>
          </w:p>
        </w:tc>
        <w:tc>
          <w:tcPr>
            <w:tcW w:w="1893" w:type="dxa"/>
            <w:tcBorders>
              <w:top w:val="nil"/>
              <w:left w:val="nil"/>
              <w:bottom w:val="nil"/>
              <w:right w:val="nil"/>
            </w:tcBorders>
            <w:shd w:val="clear" w:color="auto" w:fill="CCEEFF"/>
            <w:vAlign w:val="bottom"/>
          </w:tcPr>
          <w:p w14:paraId="71F3E9AE"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sidRPr="009465A0">
              <w:rPr>
                <w:rFonts w:ascii="Arial" w:eastAsia="Arial" w:hAnsi="Arial" w:cs="Arial"/>
                <w:color w:val="000000"/>
                <w:lang w:val="en-US" w:bidi="en-US"/>
              </w:rPr>
              <w:t>11</w:t>
            </w:r>
            <w:r w:rsidR="00D51D10">
              <w:rPr>
                <w:rFonts w:ascii="Arial" w:eastAsia="Arial" w:hAnsi="Arial" w:cs="Arial"/>
                <w:color w:val="000000"/>
                <w:lang w:val="en-US" w:bidi="en-US"/>
              </w:rPr>
              <w:t>2</w:t>
            </w:r>
          </w:p>
        </w:tc>
      </w:tr>
      <w:tr w:rsidR="00510CAA" w14:paraId="71F3E9B7" w14:textId="77777777" w:rsidTr="001126BD">
        <w:trPr>
          <w:cantSplit/>
          <w:jc w:val="center"/>
        </w:trPr>
        <w:tc>
          <w:tcPr>
            <w:tcW w:w="4366" w:type="dxa"/>
            <w:tcBorders>
              <w:top w:val="nil"/>
              <w:left w:val="nil"/>
              <w:bottom w:val="nil"/>
              <w:right w:val="nil"/>
            </w:tcBorders>
          </w:tcPr>
          <w:p w14:paraId="71F3E9B0"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Seafaring</w:t>
            </w:r>
          </w:p>
        </w:tc>
        <w:tc>
          <w:tcPr>
            <w:tcW w:w="262" w:type="dxa"/>
            <w:tcBorders>
              <w:top w:val="nil"/>
              <w:left w:val="nil"/>
              <w:bottom w:val="nil"/>
              <w:right w:val="nil"/>
            </w:tcBorders>
          </w:tcPr>
          <w:p w14:paraId="71F3E9B1"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 </w:t>
            </w:r>
          </w:p>
        </w:tc>
        <w:tc>
          <w:tcPr>
            <w:tcW w:w="1616" w:type="dxa"/>
            <w:tcBorders>
              <w:top w:val="nil"/>
              <w:left w:val="nil"/>
              <w:bottom w:val="single" w:sz="4" w:space="0" w:color="auto"/>
              <w:right w:val="nil"/>
            </w:tcBorders>
            <w:vAlign w:val="bottom"/>
          </w:tcPr>
          <w:p w14:paraId="71F3E9B2"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Pr>
                <w:rFonts w:ascii="Arial" w:eastAsia="Arial" w:hAnsi="Arial" w:cs="Arial"/>
                <w:color w:val="000000"/>
                <w:lang w:val="en-US" w:bidi="en-US"/>
              </w:rPr>
              <w:t>8</w:t>
            </w:r>
            <w:r w:rsidR="00B60692">
              <w:rPr>
                <w:rFonts w:ascii="Arial" w:eastAsia="Arial" w:hAnsi="Arial" w:cs="Arial"/>
                <w:color w:val="000000"/>
                <w:lang w:val="en-US" w:bidi="en-US"/>
              </w:rPr>
              <w:t>13</w:t>
            </w:r>
          </w:p>
        </w:tc>
        <w:tc>
          <w:tcPr>
            <w:tcW w:w="256" w:type="dxa"/>
            <w:tcBorders>
              <w:top w:val="nil"/>
              <w:left w:val="nil"/>
              <w:bottom w:val="nil"/>
              <w:right w:val="nil"/>
            </w:tcBorders>
            <w:vAlign w:val="bottom"/>
          </w:tcPr>
          <w:p w14:paraId="71F3E9B3" w14:textId="77777777" w:rsidR="008F254B" w:rsidRPr="009465A0" w:rsidRDefault="008F254B" w:rsidP="008F254B">
            <w:pPr>
              <w:keepNext/>
              <w:ind w:right="91"/>
              <w:jc w:val="right"/>
              <w:rPr>
                <w:rFonts w:ascii="Arial" w:eastAsia="Arial" w:hAnsi="Arial" w:cs="Arial"/>
                <w:color w:val="000000"/>
                <w:bdr w:val="nil"/>
                <w:lang w:val="en-US"/>
              </w:rPr>
            </w:pPr>
          </w:p>
        </w:tc>
        <w:tc>
          <w:tcPr>
            <w:tcW w:w="1728" w:type="dxa"/>
            <w:tcBorders>
              <w:top w:val="nil"/>
              <w:left w:val="nil"/>
              <w:bottom w:val="single" w:sz="4" w:space="0" w:color="auto"/>
              <w:right w:val="nil"/>
            </w:tcBorders>
            <w:vAlign w:val="bottom"/>
          </w:tcPr>
          <w:p w14:paraId="71F3E9B4"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Pr>
                <w:rFonts w:ascii="Arial" w:eastAsia="Arial" w:hAnsi="Arial" w:cs="Arial"/>
                <w:color w:val="000000"/>
                <w:lang w:val="en-US" w:bidi="en-US"/>
              </w:rPr>
              <w:t>864</w:t>
            </w:r>
          </w:p>
        </w:tc>
        <w:tc>
          <w:tcPr>
            <w:tcW w:w="168" w:type="dxa"/>
            <w:tcBorders>
              <w:top w:val="nil"/>
              <w:left w:val="nil"/>
              <w:bottom w:val="nil"/>
              <w:right w:val="nil"/>
            </w:tcBorders>
            <w:vAlign w:val="bottom"/>
          </w:tcPr>
          <w:p w14:paraId="71F3E9B5" w14:textId="77777777" w:rsidR="008F254B" w:rsidRPr="009465A0" w:rsidRDefault="008F254B" w:rsidP="008F254B">
            <w:pPr>
              <w:keepNext/>
              <w:ind w:right="91"/>
              <w:jc w:val="right"/>
              <w:rPr>
                <w:rFonts w:ascii="Arial" w:eastAsia="Arial" w:hAnsi="Arial" w:cs="Arial"/>
                <w:color w:val="000000"/>
                <w:bdr w:val="nil"/>
                <w:lang w:val="en-US"/>
              </w:rPr>
            </w:pPr>
          </w:p>
        </w:tc>
        <w:tc>
          <w:tcPr>
            <w:tcW w:w="1893" w:type="dxa"/>
            <w:tcBorders>
              <w:top w:val="nil"/>
              <w:left w:val="nil"/>
              <w:bottom w:val="single" w:sz="4" w:space="0" w:color="auto"/>
              <w:right w:val="nil"/>
            </w:tcBorders>
            <w:vAlign w:val="bottom"/>
          </w:tcPr>
          <w:p w14:paraId="71F3E9B6"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Pr>
                <w:rFonts w:ascii="Arial" w:eastAsia="Arial" w:hAnsi="Arial" w:cs="Arial"/>
                <w:color w:val="000000"/>
                <w:lang w:val="en-US" w:bidi="en-US"/>
              </w:rPr>
              <w:t>906</w:t>
            </w:r>
          </w:p>
        </w:tc>
      </w:tr>
      <w:tr w:rsidR="00510CAA" w14:paraId="71F3E9BF" w14:textId="77777777" w:rsidTr="001126BD">
        <w:trPr>
          <w:cantSplit/>
          <w:jc w:val="center"/>
        </w:trPr>
        <w:tc>
          <w:tcPr>
            <w:tcW w:w="4366" w:type="dxa"/>
            <w:tcBorders>
              <w:top w:val="nil"/>
              <w:left w:val="nil"/>
              <w:bottom w:val="nil"/>
              <w:right w:val="nil"/>
            </w:tcBorders>
            <w:shd w:val="clear" w:color="auto" w:fill="CCEEFF"/>
          </w:tcPr>
          <w:p w14:paraId="71F3E9B8"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Total</w:t>
            </w:r>
          </w:p>
        </w:tc>
        <w:tc>
          <w:tcPr>
            <w:tcW w:w="262" w:type="dxa"/>
            <w:tcBorders>
              <w:top w:val="nil"/>
              <w:left w:val="nil"/>
              <w:bottom w:val="nil"/>
              <w:right w:val="nil"/>
            </w:tcBorders>
            <w:shd w:val="clear" w:color="auto" w:fill="CCEEFF"/>
          </w:tcPr>
          <w:p w14:paraId="71F3E9B9" w14:textId="77777777" w:rsidR="008F254B" w:rsidRPr="009465A0" w:rsidRDefault="003A4815" w:rsidP="008F254B">
            <w:pPr>
              <w:keepNext/>
              <w:pBdr>
                <w:top w:val="nil"/>
                <w:left w:val="nil"/>
                <w:bottom w:val="nil"/>
                <w:right w:val="nil"/>
                <w:between w:val="nil"/>
                <w:bar w:val="nil"/>
              </w:pBdr>
              <w:rPr>
                <w:rFonts w:ascii="Arial" w:eastAsia="Arial" w:hAnsi="Arial" w:cs="Arial"/>
                <w:color w:val="000000"/>
                <w:bdr w:val="nil"/>
                <w:lang w:val="en-US"/>
              </w:rPr>
            </w:pPr>
            <w:r w:rsidRPr="009465A0">
              <w:rPr>
                <w:rFonts w:ascii="Arial" w:eastAsia="Arial" w:hAnsi="Arial" w:cs="Arial"/>
                <w:color w:val="000000"/>
                <w:lang w:val="en-US" w:bidi="en-US"/>
              </w:rPr>
              <w:t> </w:t>
            </w:r>
          </w:p>
        </w:tc>
        <w:tc>
          <w:tcPr>
            <w:tcW w:w="1616" w:type="dxa"/>
            <w:tcBorders>
              <w:top w:val="nil"/>
              <w:left w:val="nil"/>
              <w:bottom w:val="double" w:sz="4" w:space="0" w:color="auto"/>
              <w:right w:val="nil"/>
            </w:tcBorders>
            <w:shd w:val="clear" w:color="auto" w:fill="CCEEFF"/>
            <w:vAlign w:val="bottom"/>
          </w:tcPr>
          <w:p w14:paraId="71F3E9BA"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Pr>
                <w:rFonts w:ascii="Arial" w:eastAsia="Arial" w:hAnsi="Arial" w:cs="Arial"/>
                <w:color w:val="000000"/>
                <w:lang w:val="en-US" w:bidi="en-US"/>
              </w:rPr>
              <w:t>9</w:t>
            </w:r>
            <w:r w:rsidR="00B60692">
              <w:rPr>
                <w:rFonts w:ascii="Arial" w:eastAsia="Arial" w:hAnsi="Arial" w:cs="Arial"/>
                <w:color w:val="000000"/>
                <w:lang w:val="en-US" w:bidi="en-US"/>
              </w:rPr>
              <w:t>39</w:t>
            </w:r>
          </w:p>
        </w:tc>
        <w:tc>
          <w:tcPr>
            <w:tcW w:w="256" w:type="dxa"/>
            <w:tcBorders>
              <w:top w:val="nil"/>
              <w:left w:val="nil"/>
              <w:bottom w:val="nil"/>
              <w:right w:val="nil"/>
            </w:tcBorders>
            <w:shd w:val="clear" w:color="auto" w:fill="CCEEFF"/>
            <w:vAlign w:val="bottom"/>
          </w:tcPr>
          <w:p w14:paraId="71F3E9BB" w14:textId="77777777" w:rsidR="008F254B" w:rsidRPr="009465A0" w:rsidRDefault="008F254B" w:rsidP="008F254B">
            <w:pPr>
              <w:keepNext/>
              <w:ind w:right="91"/>
              <w:jc w:val="right"/>
              <w:rPr>
                <w:rFonts w:ascii="Arial" w:eastAsia="Arial" w:hAnsi="Arial" w:cs="Arial"/>
                <w:color w:val="000000"/>
                <w:bdr w:val="nil"/>
                <w:lang w:val="en-US"/>
              </w:rPr>
            </w:pPr>
          </w:p>
        </w:tc>
        <w:tc>
          <w:tcPr>
            <w:tcW w:w="1728" w:type="dxa"/>
            <w:tcBorders>
              <w:top w:val="nil"/>
              <w:left w:val="nil"/>
              <w:bottom w:val="double" w:sz="4" w:space="0" w:color="auto"/>
              <w:right w:val="nil"/>
            </w:tcBorders>
            <w:shd w:val="clear" w:color="auto" w:fill="CCEEFF"/>
            <w:vAlign w:val="bottom"/>
          </w:tcPr>
          <w:p w14:paraId="71F3E9BC"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Pr>
                <w:rFonts w:ascii="Arial" w:eastAsia="Arial" w:hAnsi="Arial" w:cs="Arial"/>
                <w:color w:val="000000"/>
                <w:lang w:val="en-US" w:bidi="en-US"/>
              </w:rPr>
              <w:t>981</w:t>
            </w:r>
          </w:p>
        </w:tc>
        <w:tc>
          <w:tcPr>
            <w:tcW w:w="168" w:type="dxa"/>
            <w:tcBorders>
              <w:top w:val="nil"/>
              <w:left w:val="nil"/>
              <w:bottom w:val="nil"/>
              <w:right w:val="nil"/>
            </w:tcBorders>
            <w:shd w:val="clear" w:color="auto" w:fill="CCEEFF"/>
            <w:vAlign w:val="bottom"/>
          </w:tcPr>
          <w:p w14:paraId="71F3E9BD" w14:textId="77777777" w:rsidR="008F254B" w:rsidRPr="009465A0" w:rsidRDefault="008F254B" w:rsidP="008F254B">
            <w:pPr>
              <w:keepNext/>
              <w:ind w:right="91"/>
              <w:jc w:val="right"/>
              <w:rPr>
                <w:rFonts w:ascii="Arial" w:eastAsia="Arial" w:hAnsi="Arial" w:cs="Arial"/>
                <w:color w:val="000000"/>
                <w:bdr w:val="nil"/>
                <w:lang w:val="en-US"/>
              </w:rPr>
            </w:pPr>
          </w:p>
        </w:tc>
        <w:tc>
          <w:tcPr>
            <w:tcW w:w="1893" w:type="dxa"/>
            <w:tcBorders>
              <w:top w:val="nil"/>
              <w:left w:val="nil"/>
              <w:bottom w:val="double" w:sz="4" w:space="0" w:color="auto"/>
              <w:right w:val="nil"/>
            </w:tcBorders>
            <w:shd w:val="clear" w:color="auto" w:fill="CCEEFF"/>
            <w:vAlign w:val="bottom"/>
          </w:tcPr>
          <w:p w14:paraId="71F3E9BE" w14:textId="77777777" w:rsidR="008F254B" w:rsidRPr="009465A0" w:rsidRDefault="003A4815" w:rsidP="008F254B">
            <w:pPr>
              <w:keepNext/>
              <w:pBdr>
                <w:top w:val="nil"/>
                <w:left w:val="nil"/>
                <w:bottom w:val="nil"/>
                <w:right w:val="nil"/>
                <w:between w:val="nil"/>
                <w:bar w:val="nil"/>
              </w:pBdr>
              <w:ind w:right="91"/>
              <w:jc w:val="right"/>
              <w:rPr>
                <w:rFonts w:ascii="Arial" w:eastAsia="Arial" w:hAnsi="Arial" w:cs="Arial"/>
                <w:color w:val="000000"/>
                <w:bdr w:val="nil"/>
                <w:lang w:val="en-US"/>
              </w:rPr>
            </w:pPr>
            <w:r w:rsidRPr="009465A0">
              <w:rPr>
                <w:rFonts w:ascii="Arial" w:eastAsia="Arial" w:hAnsi="Arial" w:cs="Arial"/>
                <w:color w:val="000000"/>
                <w:lang w:val="en-US" w:bidi="en-US"/>
              </w:rPr>
              <w:t>1,0</w:t>
            </w:r>
            <w:r w:rsidR="00D51D10">
              <w:rPr>
                <w:rFonts w:ascii="Arial" w:eastAsia="Arial" w:hAnsi="Arial" w:cs="Arial"/>
                <w:color w:val="000000"/>
                <w:lang w:val="en-US" w:bidi="en-US"/>
              </w:rPr>
              <w:t>18</w:t>
            </w:r>
          </w:p>
        </w:tc>
      </w:tr>
    </w:tbl>
    <w:p w14:paraId="71F3E9C0"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9C1" w14:textId="77777777" w:rsidR="00E96135" w:rsidRPr="00FE17F3" w:rsidRDefault="003A4815" w:rsidP="0055695B">
      <w:pPr>
        <w:pStyle w:val="Heading2"/>
        <w:keepLines/>
        <w:pBdr>
          <w:top w:val="nil"/>
          <w:left w:val="nil"/>
          <w:bottom w:val="nil"/>
          <w:right w:val="nil"/>
          <w:between w:val="nil"/>
          <w:bar w:val="nil"/>
        </w:pBdr>
        <w:ind w:left="714"/>
        <w:rPr>
          <w:rFonts w:ascii="Arial" w:eastAsia="Arial" w:hAnsi="Arial" w:cs="Arial"/>
          <w:bCs w:val="0"/>
          <w:iCs w:val="0"/>
          <w:color w:val="auto"/>
          <w:szCs w:val="24"/>
          <w:bdr w:val="nil"/>
          <w:lang w:bidi="en-US"/>
        </w:rPr>
      </w:pPr>
      <w:bookmarkStart w:id="192" w:name="RG_MARKER_23071"/>
      <w:r w:rsidRPr="00FE17F3">
        <w:rPr>
          <w:rFonts w:ascii="Arial" w:eastAsia="Arial" w:hAnsi="Arial" w:cs="Arial"/>
          <w:bCs w:val="0"/>
          <w:iCs w:val="0"/>
          <w:color w:val="auto"/>
          <w:szCs w:val="24"/>
          <w:lang w:bidi="en-US"/>
        </w:rPr>
        <w:t>E.</w:t>
      </w:r>
      <w:bookmarkEnd w:id="192"/>
      <w:r w:rsidRPr="00FE17F3">
        <w:rPr>
          <w:rFonts w:ascii="Arial" w:eastAsia="Arial" w:hAnsi="Arial" w:cs="Arial"/>
          <w:bCs w:val="0"/>
          <w:iCs w:val="0"/>
          <w:color w:val="auto"/>
          <w:szCs w:val="24"/>
          <w:lang w:bidi="en-US"/>
        </w:rPr>
        <w:tab/>
        <w:t>Share Ownership</w:t>
      </w:r>
    </w:p>
    <w:p w14:paraId="71F3E9C2" w14:textId="77777777" w:rsidR="00E96135" w:rsidRPr="00FE17F3" w:rsidRDefault="00E96135" w:rsidP="0055695B">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C3" w14:textId="77777777" w:rsidR="0078371C" w:rsidRPr="00FE17F3" w:rsidRDefault="003A4815" w:rsidP="00FE17F3">
      <w:pPr>
        <w:pStyle w:val="Char110"/>
        <w:widowControl/>
        <w:pBdr>
          <w:top w:val="nil"/>
          <w:left w:val="nil"/>
          <w:bottom w:val="nil"/>
          <w:right w:val="nil"/>
          <w:between w:val="nil"/>
          <w:bar w:val="nil"/>
        </w:pBdr>
        <w:spacing w:before="0" w:after="0"/>
        <w:rPr>
          <w:rFonts w:ascii="Arial" w:eastAsia="Arial" w:hAnsi="Arial" w:cs="Arial"/>
          <w:szCs w:val="22"/>
          <w:bdr w:val="nil"/>
        </w:rPr>
      </w:pPr>
      <w:r w:rsidRPr="00FE17F3">
        <w:rPr>
          <w:rFonts w:ascii="Arial" w:eastAsia="Arial" w:hAnsi="Arial" w:cs="Arial"/>
          <w:szCs w:val="22"/>
        </w:rPr>
        <w:t>With respect to the total amount of common shares, Series B Preferred Shares, Series C Preferred Shares and Series D Preferred Shares owned by our officers and directors, individually and as a group, see “Item 7. Major Shareholders and Related Party Transactions—A. Major Shareholders.”</w:t>
      </w:r>
    </w:p>
    <w:p w14:paraId="71F3E9C4"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9C5" w14:textId="77777777" w:rsidR="00E96135" w:rsidRPr="0004553C" w:rsidRDefault="003A4815" w:rsidP="0055695B">
      <w:pPr>
        <w:pStyle w:val="Heading2"/>
        <w:keepLines/>
        <w:pBdr>
          <w:top w:val="nil"/>
          <w:left w:val="nil"/>
          <w:bottom w:val="nil"/>
          <w:right w:val="nil"/>
          <w:between w:val="nil"/>
          <w:bar w:val="nil"/>
        </w:pBdr>
        <w:ind w:left="714"/>
        <w:rPr>
          <w:rFonts w:ascii="Arial" w:eastAsia="Arial" w:hAnsi="Arial" w:cs="Arial"/>
          <w:bCs w:val="0"/>
          <w:iCs w:val="0"/>
          <w:color w:val="auto"/>
          <w:szCs w:val="24"/>
          <w:bdr w:val="nil"/>
          <w:lang w:bidi="en-US"/>
        </w:rPr>
      </w:pPr>
      <w:bookmarkStart w:id="193" w:name="RG_MARKER_23122"/>
      <w:r w:rsidRPr="0004553C">
        <w:rPr>
          <w:rFonts w:ascii="Arial" w:eastAsia="Arial" w:hAnsi="Arial" w:cs="Arial"/>
          <w:bCs w:val="0"/>
          <w:iCs w:val="0"/>
          <w:color w:val="auto"/>
          <w:szCs w:val="24"/>
          <w:lang w:bidi="en-US"/>
        </w:rPr>
        <w:t>F</w:t>
      </w:r>
      <w:bookmarkEnd w:id="193"/>
      <w:r w:rsidRPr="0004553C">
        <w:rPr>
          <w:rFonts w:ascii="Arial" w:eastAsia="Arial" w:hAnsi="Arial" w:cs="Arial"/>
          <w:bCs w:val="0"/>
          <w:iCs w:val="0"/>
          <w:color w:val="auto"/>
          <w:szCs w:val="24"/>
          <w:lang w:bidi="en-US"/>
        </w:rPr>
        <w:t>.</w:t>
      </w:r>
      <w:r w:rsidRPr="0004553C">
        <w:rPr>
          <w:rFonts w:ascii="Arial" w:eastAsia="Arial" w:hAnsi="Arial" w:cs="Arial"/>
          <w:bCs w:val="0"/>
          <w:iCs w:val="0"/>
          <w:color w:val="auto"/>
          <w:szCs w:val="24"/>
          <w:lang w:bidi="en-US"/>
        </w:rPr>
        <w:tab/>
        <w:t>Disclosure of Registrant's Action to Recover Erroneously Awarded Compensation</w:t>
      </w:r>
    </w:p>
    <w:p w14:paraId="71F3E9C6" w14:textId="77777777" w:rsidR="00E96135" w:rsidRPr="0004553C" w:rsidRDefault="00E96135" w:rsidP="0055695B">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C7" w14:textId="77777777" w:rsidR="0078371C" w:rsidRPr="0004553C" w:rsidRDefault="003A4815" w:rsidP="0078371C">
      <w:pPr>
        <w:pStyle w:val="Char110"/>
        <w:pBdr>
          <w:top w:val="nil"/>
          <w:left w:val="nil"/>
          <w:bottom w:val="nil"/>
          <w:right w:val="nil"/>
          <w:between w:val="nil"/>
          <w:bar w:val="nil"/>
        </w:pBdr>
        <w:spacing w:before="0" w:after="0"/>
        <w:rPr>
          <w:rFonts w:ascii="Arial" w:eastAsia="Arial" w:hAnsi="Arial" w:cs="Arial"/>
          <w:szCs w:val="22"/>
          <w:bdr w:val="nil"/>
        </w:rPr>
      </w:pPr>
      <w:r w:rsidRPr="0004553C">
        <w:rPr>
          <w:rFonts w:ascii="Arial" w:eastAsia="Arial" w:hAnsi="Arial" w:cs="Arial"/>
          <w:szCs w:val="22"/>
        </w:rPr>
        <w:t>Not applicable.</w:t>
      </w:r>
    </w:p>
    <w:p w14:paraId="71F3E9C8"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9C9" w14:textId="77777777" w:rsidR="00E06972" w:rsidRPr="003850AA" w:rsidRDefault="003A4815" w:rsidP="003850AA">
      <w:pPr>
        <w:pStyle w:val="Heading1"/>
        <w:keepLines/>
        <w:pBdr>
          <w:top w:val="nil"/>
          <w:left w:val="nil"/>
          <w:bottom w:val="nil"/>
          <w:right w:val="nil"/>
          <w:between w:val="nil"/>
          <w:bar w:val="nil"/>
        </w:pBdr>
        <w:spacing w:before="0" w:after="0"/>
        <w:rPr>
          <w:rFonts w:ascii="Arial" w:eastAsia="Arial" w:hAnsi="Arial" w:cs="Arial"/>
          <w:color w:val="auto"/>
          <w:kern w:val="0"/>
          <w:szCs w:val="28"/>
          <w:bdr w:val="nil"/>
          <w:lang w:eastAsia="el-GR" w:bidi="en-US"/>
        </w:rPr>
      </w:pPr>
      <w:bookmarkStart w:id="194" w:name="part1_item7"/>
      <w:bookmarkStart w:id="195" w:name="RG_MARKER_23076"/>
      <w:bookmarkStart w:id="196" w:name="RG_MARKER_23168"/>
      <w:bookmarkStart w:id="197" w:name="_Toc103668639"/>
      <w:bookmarkStart w:id="198" w:name="_Toc223262939"/>
      <w:bookmarkStart w:id="199" w:name="_Toc222553125"/>
      <w:bookmarkEnd w:id="194"/>
      <w:r w:rsidRPr="003850AA">
        <w:rPr>
          <w:rFonts w:ascii="Arial" w:eastAsia="Arial" w:hAnsi="Arial" w:cs="Arial"/>
          <w:color w:val="auto"/>
          <w:kern w:val="0"/>
          <w:szCs w:val="28"/>
          <w:lang w:eastAsia="el-GR" w:bidi="en-US"/>
        </w:rPr>
        <w:t>Item 7.</w:t>
      </w:r>
      <w:bookmarkEnd w:id="195"/>
      <w:bookmarkEnd w:id="196"/>
      <w:r w:rsidRPr="003850AA">
        <w:rPr>
          <w:rFonts w:ascii="Arial" w:eastAsia="Arial" w:hAnsi="Arial" w:cs="Arial"/>
          <w:color w:val="auto"/>
          <w:kern w:val="0"/>
          <w:szCs w:val="28"/>
          <w:lang w:eastAsia="el-GR" w:bidi="en-US"/>
        </w:rPr>
        <w:tab/>
        <w:t>Major Shareholders and Related Party Transactions</w:t>
      </w:r>
      <w:bookmarkEnd w:id="197"/>
      <w:bookmarkEnd w:id="198"/>
      <w:bookmarkEnd w:id="199"/>
      <w:r w:rsidRPr="003850AA">
        <w:rPr>
          <w:rFonts w:ascii="Arial" w:eastAsia="Arial" w:hAnsi="Arial" w:cs="Arial"/>
          <w:color w:val="auto"/>
          <w:kern w:val="0"/>
          <w:szCs w:val="28"/>
          <w:lang w:eastAsia="el-GR" w:bidi="en-US"/>
        </w:rPr>
        <w:t xml:space="preserve"> </w:t>
      </w:r>
    </w:p>
    <w:p w14:paraId="71F3E9CA" w14:textId="77777777" w:rsidR="00E06972" w:rsidRPr="003850AA" w:rsidRDefault="00E06972" w:rsidP="003850AA">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9CB" w14:textId="77777777" w:rsidR="00491D66" w:rsidRPr="003850AA" w:rsidRDefault="003A4815" w:rsidP="003850AA">
      <w:pPr>
        <w:pStyle w:val="Heading2"/>
        <w:keepLines/>
        <w:pBdr>
          <w:top w:val="nil"/>
          <w:left w:val="nil"/>
          <w:bottom w:val="nil"/>
          <w:right w:val="nil"/>
          <w:between w:val="nil"/>
          <w:bar w:val="nil"/>
        </w:pBdr>
        <w:ind w:left="714"/>
        <w:rPr>
          <w:rFonts w:ascii="Arial" w:eastAsia="Arial" w:hAnsi="Arial" w:cs="Arial"/>
          <w:color w:val="auto"/>
          <w:szCs w:val="24"/>
          <w:bdr w:val="nil"/>
          <w:lang w:val="en-GB" w:eastAsia="el-GR" w:bidi="en-US"/>
        </w:rPr>
      </w:pPr>
      <w:r w:rsidRPr="003850AA">
        <w:rPr>
          <w:rFonts w:ascii="Arial" w:eastAsia="Arial" w:hAnsi="Arial" w:cs="Arial"/>
          <w:color w:val="auto"/>
          <w:szCs w:val="24"/>
          <w:bdr w:val="none" w:sz="0" w:space="0" w:color="auto" w:frame="1"/>
          <w:lang w:val="en-GB" w:eastAsia="el-GR" w:bidi="en-US"/>
        </w:rPr>
        <w:t>A.</w:t>
      </w:r>
      <w:r w:rsidRPr="003850AA">
        <w:rPr>
          <w:rFonts w:ascii="Arial" w:eastAsia="Arial" w:hAnsi="Arial" w:cs="Arial"/>
          <w:color w:val="auto"/>
          <w:szCs w:val="24"/>
          <w:bdr w:val="none" w:sz="0" w:space="0" w:color="auto" w:frame="1"/>
          <w:lang w:val="en-GB" w:eastAsia="el-GR" w:bidi="en-US"/>
        </w:rPr>
        <w:tab/>
        <w:t>Major Shareholders</w:t>
      </w:r>
    </w:p>
    <w:p w14:paraId="71F3E9CC" w14:textId="77777777" w:rsidR="00E06972" w:rsidRPr="003850AA" w:rsidRDefault="00E06972" w:rsidP="003850AA">
      <w:pPr>
        <w:pStyle w:val="Char1"/>
        <w:keepNext/>
        <w:keepLines/>
        <w:widowControl/>
        <w:pBdr>
          <w:top w:val="nil"/>
          <w:left w:val="nil"/>
          <w:bottom w:val="nil"/>
          <w:right w:val="nil"/>
          <w:between w:val="nil"/>
          <w:bar w:val="nil"/>
        </w:pBdr>
        <w:spacing w:before="0" w:after="0"/>
        <w:rPr>
          <w:rFonts w:ascii="Arial" w:eastAsia="Arial" w:hAnsi="Arial" w:cs="Arial"/>
          <w:bdr w:val="nil"/>
          <w:lang w:val="en-GB" w:bidi="en-US"/>
        </w:rPr>
      </w:pPr>
    </w:p>
    <w:p w14:paraId="71F3E9CD" w14:textId="77777777" w:rsidR="00E06972" w:rsidRPr="003850AA" w:rsidRDefault="003A4815" w:rsidP="00EF5CC6">
      <w:pPr>
        <w:pStyle w:val="Char111"/>
        <w:keepNext/>
        <w:keepLines/>
        <w:widowControl/>
        <w:pBdr>
          <w:top w:val="nil"/>
          <w:left w:val="nil"/>
          <w:bottom w:val="nil"/>
          <w:right w:val="nil"/>
          <w:between w:val="nil"/>
          <w:bar w:val="nil"/>
        </w:pBdr>
        <w:spacing w:before="0" w:after="0"/>
        <w:rPr>
          <w:rFonts w:ascii="Arial" w:eastAsia="Arial" w:hAnsi="Arial" w:cs="Arial"/>
          <w:szCs w:val="22"/>
          <w:bdr w:val="nil"/>
        </w:rPr>
      </w:pPr>
      <w:r w:rsidRPr="003850AA">
        <w:rPr>
          <w:rFonts w:ascii="Arial" w:eastAsia="Arial" w:hAnsi="Arial" w:cs="Arial"/>
          <w:szCs w:val="22"/>
        </w:rPr>
        <w:t>The following table sets forth information regarding ownership of our common stock of which we are aware as of the date of this annual report, for (i) beneficial owners of five percent or more of our common stock and (ii) our officers and directors, individually and as a group. All of our shareholders, including the shareholders listed in this table, are entitled to one vote for each share of common stock held.</w:t>
      </w:r>
    </w:p>
    <w:p w14:paraId="71F3E9CE" w14:textId="77777777" w:rsidR="00510CAA" w:rsidRDefault="00510CAA">
      <w:pPr>
        <w:rPr>
          <w:rFonts w:ascii="Arial" w:eastAsia="Arial" w:hAnsi="Arial" w:cs="Arial"/>
        </w:rPr>
      </w:pPr>
    </w:p>
    <w:tbl>
      <w:tblPr>
        <w:tblStyle w:val="CDMRange2"/>
        <w:tblW w:w="10275" w:type="dxa"/>
        <w:tblLayout w:type="fixed"/>
        <w:tblLook w:val="0600" w:firstRow="0" w:lastRow="0" w:firstColumn="0" w:lastColumn="0" w:noHBand="1" w:noVBand="1"/>
      </w:tblPr>
      <w:tblGrid>
        <w:gridCol w:w="1725"/>
        <w:gridCol w:w="180"/>
        <w:gridCol w:w="4545"/>
        <w:gridCol w:w="180"/>
        <w:gridCol w:w="2010"/>
        <w:gridCol w:w="180"/>
        <w:gridCol w:w="1455"/>
      </w:tblGrid>
      <w:tr w:rsidR="00510CAA" w14:paraId="71F3E9D6" w14:textId="77777777">
        <w:trPr>
          <w:cantSplit/>
          <w:trHeight w:hRule="exact" w:val="300"/>
        </w:trPr>
        <w:tc>
          <w:tcPr>
            <w:tcW w:w="1725" w:type="dxa"/>
            <w:vMerge w:val="restart"/>
            <w:tcBorders>
              <w:top w:val="nil"/>
              <w:left w:val="nil"/>
              <w:bottom w:val="nil"/>
              <w:right w:val="nil"/>
              <w:tl2br w:val="nil"/>
              <w:tr2bl w:val="nil"/>
            </w:tcBorders>
            <w:tcMar>
              <w:left w:w="40" w:type="dxa"/>
              <w:right w:w="40" w:type="dxa"/>
            </w:tcMar>
            <w:vAlign w:val="bottom"/>
          </w:tcPr>
          <w:p w14:paraId="71F3E9CF" w14:textId="77777777" w:rsidR="00510CAA" w:rsidRDefault="003A4815">
            <w:pPr>
              <w:keepNext/>
              <w:jc w:val="center"/>
              <w:rPr>
                <w:rFonts w:ascii="Arial" w:eastAsia="Arial" w:hAnsi="Arial" w:cs="Arial"/>
                <w:b/>
                <w:color w:val="000000"/>
              </w:rPr>
            </w:pPr>
            <w:bookmarkStart w:id="200" w:name="RG_MARKER_23245"/>
            <w:r>
              <w:rPr>
                <w:rFonts w:ascii="Arial" w:eastAsia="Arial" w:hAnsi="Arial" w:cs="Arial"/>
                <w:b/>
                <w:color w:val="000000"/>
              </w:rPr>
              <w:t>Title of Class</w:t>
            </w:r>
            <w:bookmarkEnd w:id="200"/>
          </w:p>
        </w:tc>
        <w:tc>
          <w:tcPr>
            <w:tcW w:w="180" w:type="dxa"/>
            <w:vMerge w:val="restart"/>
            <w:tcBorders>
              <w:top w:val="nil"/>
              <w:left w:val="nil"/>
              <w:bottom w:val="nil"/>
              <w:right w:val="nil"/>
              <w:tl2br w:val="nil"/>
              <w:tr2bl w:val="nil"/>
            </w:tcBorders>
            <w:tcMar>
              <w:left w:w="0" w:type="dxa"/>
              <w:right w:w="0" w:type="dxa"/>
            </w:tcMar>
            <w:vAlign w:val="bottom"/>
          </w:tcPr>
          <w:p w14:paraId="71F3E9D0" w14:textId="77777777" w:rsidR="00510CAA" w:rsidRDefault="00510CAA">
            <w:pPr>
              <w:keepNext/>
              <w:jc w:val="center"/>
              <w:rPr>
                <w:rFonts w:ascii="Arial" w:eastAsia="Arial" w:hAnsi="Arial" w:cs="Arial"/>
                <w:b/>
                <w:color w:val="000000"/>
              </w:rPr>
            </w:pPr>
          </w:p>
        </w:tc>
        <w:tc>
          <w:tcPr>
            <w:tcW w:w="4545" w:type="dxa"/>
            <w:vMerge w:val="restart"/>
            <w:tcBorders>
              <w:top w:val="nil"/>
              <w:left w:val="nil"/>
              <w:bottom w:val="nil"/>
              <w:right w:val="nil"/>
              <w:tl2br w:val="nil"/>
              <w:tr2bl w:val="nil"/>
            </w:tcBorders>
            <w:tcMar>
              <w:left w:w="40" w:type="dxa"/>
              <w:right w:w="40" w:type="dxa"/>
            </w:tcMar>
            <w:vAlign w:val="bottom"/>
          </w:tcPr>
          <w:p w14:paraId="71F3E9D1" w14:textId="77777777" w:rsidR="00510CAA" w:rsidRDefault="003A4815">
            <w:pPr>
              <w:keepNext/>
              <w:jc w:val="center"/>
              <w:rPr>
                <w:rFonts w:ascii="Arial" w:eastAsia="Arial" w:hAnsi="Arial" w:cs="Arial"/>
                <w:b/>
                <w:color w:val="000000"/>
              </w:rPr>
            </w:pPr>
            <w:r>
              <w:rPr>
                <w:rFonts w:ascii="Arial" w:eastAsia="Arial" w:hAnsi="Arial" w:cs="Arial"/>
                <w:b/>
                <w:color w:val="000000"/>
              </w:rPr>
              <w:t>Identity of Person or Group</w:t>
            </w:r>
          </w:p>
        </w:tc>
        <w:tc>
          <w:tcPr>
            <w:tcW w:w="180" w:type="dxa"/>
            <w:vMerge w:val="restart"/>
            <w:tcBorders>
              <w:top w:val="nil"/>
              <w:left w:val="nil"/>
              <w:bottom w:val="nil"/>
              <w:right w:val="nil"/>
              <w:tl2br w:val="nil"/>
              <w:tr2bl w:val="nil"/>
            </w:tcBorders>
            <w:tcMar>
              <w:left w:w="0" w:type="dxa"/>
              <w:right w:w="0" w:type="dxa"/>
            </w:tcMar>
            <w:vAlign w:val="bottom"/>
          </w:tcPr>
          <w:p w14:paraId="71F3E9D2" w14:textId="77777777" w:rsidR="00510CAA" w:rsidRDefault="00510CAA">
            <w:pPr>
              <w:keepNext/>
              <w:jc w:val="center"/>
              <w:rPr>
                <w:rFonts w:ascii="Arial" w:eastAsia="Arial" w:hAnsi="Arial" w:cs="Arial"/>
                <w:b/>
                <w:color w:val="000000"/>
              </w:rPr>
            </w:pPr>
          </w:p>
        </w:tc>
        <w:tc>
          <w:tcPr>
            <w:tcW w:w="2010" w:type="dxa"/>
            <w:tcBorders>
              <w:top w:val="nil"/>
              <w:left w:val="nil"/>
              <w:bottom w:val="nil"/>
              <w:right w:val="nil"/>
              <w:tl2br w:val="nil"/>
              <w:tr2bl w:val="nil"/>
            </w:tcBorders>
            <w:tcMar>
              <w:left w:w="40" w:type="dxa"/>
              <w:right w:w="40" w:type="dxa"/>
            </w:tcMar>
            <w:vAlign w:val="bottom"/>
          </w:tcPr>
          <w:p w14:paraId="71F3E9D3" w14:textId="77777777" w:rsidR="00510CAA" w:rsidRDefault="003A4815">
            <w:pPr>
              <w:keepNext/>
              <w:jc w:val="center"/>
              <w:rPr>
                <w:rFonts w:ascii="Arial" w:eastAsia="Arial" w:hAnsi="Arial" w:cs="Arial"/>
                <w:b/>
                <w:color w:val="000000"/>
              </w:rPr>
            </w:pPr>
            <w:r>
              <w:rPr>
                <w:rFonts w:ascii="Arial" w:eastAsia="Arial" w:hAnsi="Arial" w:cs="Arial"/>
                <w:b/>
                <w:color w:val="000000"/>
              </w:rPr>
              <w:t>Number of</w:t>
            </w:r>
          </w:p>
        </w:tc>
        <w:tc>
          <w:tcPr>
            <w:tcW w:w="180" w:type="dxa"/>
            <w:vMerge w:val="restart"/>
            <w:tcBorders>
              <w:top w:val="nil"/>
              <w:left w:val="nil"/>
              <w:bottom w:val="nil"/>
              <w:right w:val="nil"/>
              <w:tl2br w:val="nil"/>
              <w:tr2bl w:val="nil"/>
            </w:tcBorders>
            <w:tcMar>
              <w:left w:w="0" w:type="dxa"/>
              <w:right w:w="0" w:type="dxa"/>
            </w:tcMar>
            <w:vAlign w:val="bottom"/>
          </w:tcPr>
          <w:p w14:paraId="71F3E9D4" w14:textId="77777777" w:rsidR="00510CAA" w:rsidRDefault="00510CAA">
            <w:pPr>
              <w:keepNext/>
              <w:jc w:val="center"/>
              <w:rPr>
                <w:rFonts w:ascii="Arial" w:eastAsia="Arial" w:hAnsi="Arial" w:cs="Arial"/>
                <w:b/>
                <w:color w:val="000000"/>
              </w:rPr>
            </w:pPr>
          </w:p>
        </w:tc>
        <w:tc>
          <w:tcPr>
            <w:tcW w:w="1455" w:type="dxa"/>
            <w:vMerge w:val="restart"/>
            <w:tcBorders>
              <w:top w:val="nil"/>
              <w:left w:val="nil"/>
              <w:bottom w:val="nil"/>
              <w:right w:val="nil"/>
              <w:tl2br w:val="nil"/>
              <w:tr2bl w:val="nil"/>
            </w:tcBorders>
            <w:tcMar>
              <w:left w:w="40" w:type="dxa"/>
              <w:right w:w="40" w:type="dxa"/>
            </w:tcMar>
            <w:vAlign w:val="bottom"/>
          </w:tcPr>
          <w:p w14:paraId="71F3E9D5" w14:textId="77777777" w:rsidR="00510CAA" w:rsidRDefault="003A4815">
            <w:pPr>
              <w:keepNext/>
              <w:jc w:val="center"/>
              <w:rPr>
                <w:rFonts w:ascii="Arial" w:eastAsia="Arial" w:hAnsi="Arial" w:cs="Arial"/>
                <w:b/>
                <w:color w:val="000000"/>
              </w:rPr>
            </w:pPr>
            <w:r>
              <w:rPr>
                <w:rFonts w:ascii="Arial" w:eastAsia="Arial" w:hAnsi="Arial" w:cs="Arial"/>
                <w:b/>
                <w:color w:val="000000"/>
              </w:rPr>
              <w:t>Percent of Class*</w:t>
            </w:r>
          </w:p>
        </w:tc>
      </w:tr>
      <w:tr w:rsidR="00510CAA" w14:paraId="71F3E9D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1725" w:type="dxa"/>
            <w:vMerge/>
            <w:tcBorders>
              <w:top w:val="nil"/>
              <w:left w:val="nil"/>
              <w:bottom w:val="single" w:sz="4" w:space="0" w:color="000000"/>
              <w:right w:val="nil"/>
              <w:tl2br w:val="nil"/>
              <w:tr2bl w:val="nil"/>
            </w:tcBorders>
            <w:tcMar>
              <w:left w:w="0" w:type="dxa"/>
              <w:right w:w="0" w:type="dxa"/>
            </w:tcMar>
            <w:vAlign w:val="bottom"/>
          </w:tcPr>
          <w:p w14:paraId="71F3E9D7" w14:textId="77777777" w:rsidR="00510CAA" w:rsidRDefault="00510CAA">
            <w:pPr>
              <w:keepNext/>
              <w:jc w:val="center"/>
              <w:rPr>
                <w:rFonts w:ascii="Arial" w:eastAsia="Arial" w:hAnsi="Arial" w:cs="Arial"/>
                <w:b/>
                <w:color w:val="000000"/>
              </w:rPr>
            </w:pPr>
          </w:p>
        </w:tc>
        <w:tc>
          <w:tcPr>
            <w:tcW w:w="180" w:type="dxa"/>
            <w:vMerge/>
            <w:tcBorders>
              <w:top w:val="nil"/>
              <w:left w:val="nil"/>
              <w:bottom w:val="nil"/>
              <w:right w:val="nil"/>
              <w:tl2br w:val="nil"/>
              <w:tr2bl w:val="nil"/>
            </w:tcBorders>
            <w:tcMar>
              <w:left w:w="0" w:type="dxa"/>
              <w:right w:w="0" w:type="dxa"/>
            </w:tcMar>
            <w:vAlign w:val="bottom"/>
          </w:tcPr>
          <w:p w14:paraId="71F3E9D8" w14:textId="77777777" w:rsidR="00510CAA" w:rsidRDefault="00510CAA">
            <w:pPr>
              <w:keepNext/>
              <w:jc w:val="center"/>
              <w:rPr>
                <w:rFonts w:ascii="Arial" w:eastAsia="Arial" w:hAnsi="Arial" w:cs="Arial"/>
                <w:b/>
                <w:color w:val="000000"/>
              </w:rPr>
            </w:pPr>
          </w:p>
        </w:tc>
        <w:tc>
          <w:tcPr>
            <w:tcW w:w="4545" w:type="dxa"/>
            <w:vMerge/>
            <w:tcBorders>
              <w:top w:val="nil"/>
              <w:left w:val="nil"/>
              <w:bottom w:val="single" w:sz="4" w:space="0" w:color="000000"/>
              <w:right w:val="nil"/>
              <w:tl2br w:val="nil"/>
              <w:tr2bl w:val="nil"/>
            </w:tcBorders>
            <w:tcMar>
              <w:left w:w="0" w:type="dxa"/>
              <w:right w:w="0" w:type="dxa"/>
            </w:tcMar>
            <w:vAlign w:val="bottom"/>
          </w:tcPr>
          <w:p w14:paraId="71F3E9D9" w14:textId="77777777" w:rsidR="00510CAA" w:rsidRDefault="00510CAA">
            <w:pPr>
              <w:keepNext/>
              <w:jc w:val="center"/>
              <w:rPr>
                <w:rFonts w:ascii="Arial" w:eastAsia="Arial" w:hAnsi="Arial" w:cs="Arial"/>
                <w:b/>
                <w:color w:val="000000"/>
              </w:rPr>
            </w:pPr>
          </w:p>
        </w:tc>
        <w:tc>
          <w:tcPr>
            <w:tcW w:w="180" w:type="dxa"/>
            <w:vMerge/>
            <w:tcBorders>
              <w:top w:val="nil"/>
              <w:left w:val="nil"/>
              <w:bottom w:val="nil"/>
              <w:right w:val="nil"/>
              <w:tl2br w:val="nil"/>
              <w:tr2bl w:val="nil"/>
            </w:tcBorders>
            <w:tcMar>
              <w:left w:w="0" w:type="dxa"/>
              <w:right w:w="0" w:type="dxa"/>
            </w:tcMar>
            <w:vAlign w:val="bottom"/>
          </w:tcPr>
          <w:p w14:paraId="71F3E9DA" w14:textId="77777777" w:rsidR="00510CAA" w:rsidRDefault="00510CAA">
            <w:pPr>
              <w:keepNext/>
              <w:jc w:val="center"/>
              <w:rPr>
                <w:rFonts w:ascii="Arial" w:eastAsia="Arial" w:hAnsi="Arial" w:cs="Arial"/>
                <w:b/>
                <w:color w:val="000000"/>
              </w:rPr>
            </w:pPr>
          </w:p>
        </w:tc>
        <w:tc>
          <w:tcPr>
            <w:tcW w:w="2010" w:type="dxa"/>
            <w:tcBorders>
              <w:top w:val="nil"/>
              <w:left w:val="nil"/>
              <w:bottom w:val="single" w:sz="4" w:space="0" w:color="000000"/>
              <w:right w:val="nil"/>
              <w:tl2br w:val="nil"/>
              <w:tr2bl w:val="nil"/>
            </w:tcBorders>
            <w:noWrap/>
            <w:tcMar>
              <w:left w:w="40" w:type="dxa"/>
              <w:right w:w="40" w:type="dxa"/>
            </w:tcMar>
            <w:vAlign w:val="bottom"/>
          </w:tcPr>
          <w:p w14:paraId="71F3E9DB" w14:textId="77777777" w:rsidR="00510CAA" w:rsidRDefault="003A4815">
            <w:pPr>
              <w:keepNext/>
              <w:jc w:val="center"/>
              <w:rPr>
                <w:rFonts w:ascii="Arial" w:eastAsia="Arial" w:hAnsi="Arial" w:cs="Arial"/>
                <w:b/>
                <w:color w:val="000000"/>
              </w:rPr>
            </w:pPr>
            <w:r>
              <w:rPr>
                <w:rFonts w:ascii="Arial" w:eastAsia="Arial" w:hAnsi="Arial" w:cs="Arial"/>
                <w:b/>
                <w:color w:val="000000"/>
              </w:rPr>
              <w:t>Shares Owned</w:t>
            </w:r>
          </w:p>
        </w:tc>
        <w:tc>
          <w:tcPr>
            <w:tcW w:w="180" w:type="dxa"/>
            <w:vMerge/>
            <w:tcBorders>
              <w:top w:val="nil"/>
              <w:left w:val="nil"/>
              <w:bottom w:val="nil"/>
              <w:right w:val="nil"/>
              <w:tl2br w:val="nil"/>
              <w:tr2bl w:val="nil"/>
            </w:tcBorders>
            <w:tcMar>
              <w:left w:w="0" w:type="dxa"/>
              <w:right w:w="0" w:type="dxa"/>
            </w:tcMar>
            <w:vAlign w:val="bottom"/>
          </w:tcPr>
          <w:p w14:paraId="71F3E9DC" w14:textId="77777777" w:rsidR="00510CAA" w:rsidRDefault="00510CAA">
            <w:pPr>
              <w:keepNext/>
              <w:jc w:val="center"/>
              <w:rPr>
                <w:rFonts w:ascii="Arial" w:eastAsia="Arial" w:hAnsi="Arial" w:cs="Arial"/>
                <w:b/>
                <w:color w:val="000000"/>
              </w:rPr>
            </w:pPr>
          </w:p>
        </w:tc>
        <w:tc>
          <w:tcPr>
            <w:tcW w:w="1455" w:type="dxa"/>
            <w:vMerge/>
            <w:tcBorders>
              <w:top w:val="nil"/>
              <w:left w:val="nil"/>
              <w:bottom w:val="single" w:sz="4" w:space="0" w:color="000000"/>
              <w:right w:val="nil"/>
              <w:tl2br w:val="nil"/>
              <w:tr2bl w:val="nil"/>
            </w:tcBorders>
            <w:tcMar>
              <w:left w:w="0" w:type="dxa"/>
              <w:right w:w="0" w:type="dxa"/>
            </w:tcMar>
            <w:vAlign w:val="bottom"/>
          </w:tcPr>
          <w:p w14:paraId="71F3E9DD" w14:textId="77777777" w:rsidR="00510CAA" w:rsidRDefault="00510CAA">
            <w:pPr>
              <w:keepNext/>
              <w:jc w:val="center"/>
              <w:rPr>
                <w:rFonts w:ascii="Arial" w:eastAsia="Arial" w:hAnsi="Arial" w:cs="Arial"/>
                <w:b/>
                <w:color w:val="000000"/>
              </w:rPr>
            </w:pPr>
          </w:p>
        </w:tc>
      </w:tr>
      <w:tr w:rsidR="00510CAA" w14:paraId="71F3E9E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1725" w:type="dxa"/>
            <w:tcBorders>
              <w:top w:val="single" w:sz="4" w:space="0" w:color="000000"/>
              <w:left w:val="nil"/>
              <w:bottom w:val="nil"/>
              <w:right w:val="nil"/>
              <w:tl2br w:val="nil"/>
              <w:tr2bl w:val="nil"/>
            </w:tcBorders>
            <w:tcMar>
              <w:left w:w="40" w:type="dxa"/>
              <w:right w:w="40" w:type="dxa"/>
            </w:tcMar>
            <w:vAlign w:val="center"/>
          </w:tcPr>
          <w:p w14:paraId="71F3E9DF" w14:textId="77777777" w:rsidR="00510CAA" w:rsidRDefault="003A4815">
            <w:pPr>
              <w:keepNext/>
              <w:rPr>
                <w:rFonts w:ascii="Arial" w:eastAsia="Arial" w:hAnsi="Arial" w:cs="Arial"/>
                <w:color w:val="000000"/>
              </w:rPr>
            </w:pPr>
            <w:r>
              <w:rPr>
                <w:rFonts w:ascii="Arial" w:eastAsia="Arial" w:hAnsi="Arial" w:cs="Arial"/>
                <w:color w:val="000000"/>
              </w:rPr>
              <w:t xml:space="preserve">Common Stock, </w:t>
            </w:r>
          </w:p>
        </w:tc>
        <w:tc>
          <w:tcPr>
            <w:tcW w:w="180" w:type="dxa"/>
            <w:tcBorders>
              <w:top w:val="nil"/>
              <w:left w:val="nil"/>
              <w:bottom w:val="nil"/>
              <w:right w:val="nil"/>
              <w:tl2br w:val="nil"/>
              <w:tr2bl w:val="nil"/>
            </w:tcBorders>
            <w:tcMar>
              <w:left w:w="0" w:type="dxa"/>
              <w:right w:w="0" w:type="dxa"/>
            </w:tcMar>
            <w:vAlign w:val="center"/>
          </w:tcPr>
          <w:p w14:paraId="71F3E9E0" w14:textId="77777777" w:rsidR="00510CAA" w:rsidRDefault="00510CAA">
            <w:pPr>
              <w:keepNext/>
              <w:rPr>
                <w:rFonts w:ascii="Arial" w:eastAsia="Arial" w:hAnsi="Arial" w:cs="Arial"/>
                <w:color w:val="000000"/>
              </w:rPr>
            </w:pPr>
          </w:p>
        </w:tc>
        <w:tc>
          <w:tcPr>
            <w:tcW w:w="4545" w:type="dxa"/>
            <w:tcBorders>
              <w:top w:val="single" w:sz="4" w:space="0" w:color="000000"/>
              <w:left w:val="nil"/>
              <w:bottom w:val="nil"/>
              <w:right w:val="nil"/>
              <w:tl2br w:val="nil"/>
              <w:tr2bl w:val="nil"/>
            </w:tcBorders>
            <w:tcMar>
              <w:left w:w="40" w:type="dxa"/>
              <w:right w:w="40" w:type="dxa"/>
            </w:tcMar>
            <w:vAlign w:val="center"/>
          </w:tcPr>
          <w:p w14:paraId="71F3E9E1" w14:textId="77777777" w:rsidR="00510CAA" w:rsidRDefault="003A4815">
            <w:pPr>
              <w:keepNext/>
              <w:rPr>
                <w:rFonts w:ascii="Arial" w:eastAsia="Arial" w:hAnsi="Arial" w:cs="Arial"/>
                <w:color w:val="000000"/>
              </w:rPr>
            </w:pPr>
            <w:r>
              <w:rPr>
                <w:rFonts w:ascii="Arial" w:eastAsia="Arial" w:hAnsi="Arial" w:cs="Arial"/>
                <w:color w:val="000000"/>
              </w:rPr>
              <w:t>Semiramis Paliou (1)</w:t>
            </w:r>
          </w:p>
        </w:tc>
        <w:tc>
          <w:tcPr>
            <w:tcW w:w="180" w:type="dxa"/>
            <w:tcBorders>
              <w:top w:val="nil"/>
              <w:left w:val="nil"/>
              <w:bottom w:val="nil"/>
              <w:right w:val="nil"/>
              <w:tl2br w:val="nil"/>
              <w:tr2bl w:val="nil"/>
            </w:tcBorders>
            <w:tcMar>
              <w:left w:w="0" w:type="dxa"/>
              <w:right w:w="0" w:type="dxa"/>
            </w:tcMar>
            <w:vAlign w:val="center"/>
          </w:tcPr>
          <w:p w14:paraId="71F3E9E2" w14:textId="77777777" w:rsidR="00510CAA" w:rsidRDefault="00510CAA">
            <w:pPr>
              <w:keepNext/>
              <w:rPr>
                <w:rFonts w:ascii="Arial" w:eastAsia="Arial" w:hAnsi="Arial" w:cs="Arial"/>
                <w:color w:val="000000"/>
              </w:rPr>
            </w:pPr>
          </w:p>
        </w:tc>
        <w:tc>
          <w:tcPr>
            <w:tcW w:w="2010" w:type="dxa"/>
            <w:tcBorders>
              <w:top w:val="single" w:sz="4" w:space="0" w:color="000000"/>
              <w:left w:val="nil"/>
              <w:bottom w:val="nil"/>
              <w:right w:val="nil"/>
              <w:tl2br w:val="nil"/>
              <w:tr2bl w:val="nil"/>
            </w:tcBorders>
            <w:tcMar>
              <w:left w:w="40" w:type="dxa"/>
              <w:right w:w="40" w:type="dxa"/>
            </w:tcMar>
            <w:vAlign w:val="center"/>
          </w:tcPr>
          <w:p w14:paraId="71F3E9E3" w14:textId="77777777" w:rsidR="00510CAA" w:rsidRDefault="003A4815">
            <w:pPr>
              <w:keepNext/>
              <w:jc w:val="right"/>
              <w:rPr>
                <w:rFonts w:ascii="Arial" w:eastAsia="Arial" w:hAnsi="Arial" w:cs="Arial"/>
                <w:color w:val="000000"/>
              </w:rPr>
            </w:pPr>
            <w:r>
              <w:rPr>
                <w:rFonts w:ascii="Arial" w:eastAsia="Arial" w:hAnsi="Arial" w:cs="Arial"/>
                <w:color w:val="000000"/>
              </w:rPr>
              <w:t>27,809,560</w:t>
            </w:r>
          </w:p>
        </w:tc>
        <w:tc>
          <w:tcPr>
            <w:tcW w:w="180" w:type="dxa"/>
            <w:tcBorders>
              <w:top w:val="nil"/>
              <w:left w:val="nil"/>
              <w:bottom w:val="nil"/>
              <w:right w:val="nil"/>
              <w:tl2br w:val="nil"/>
              <w:tr2bl w:val="nil"/>
            </w:tcBorders>
            <w:tcMar>
              <w:left w:w="0" w:type="dxa"/>
              <w:right w:w="0" w:type="dxa"/>
            </w:tcMar>
            <w:vAlign w:val="center"/>
          </w:tcPr>
          <w:p w14:paraId="71F3E9E4" w14:textId="77777777" w:rsidR="00510CAA" w:rsidRDefault="00510CAA">
            <w:pPr>
              <w:keepNext/>
              <w:jc w:val="right"/>
              <w:rPr>
                <w:rFonts w:ascii="Arial" w:eastAsia="Arial" w:hAnsi="Arial" w:cs="Arial"/>
                <w:color w:val="000000"/>
              </w:rPr>
            </w:pPr>
          </w:p>
        </w:tc>
        <w:tc>
          <w:tcPr>
            <w:tcW w:w="1455" w:type="dxa"/>
            <w:tcBorders>
              <w:top w:val="single" w:sz="4" w:space="0" w:color="000000"/>
              <w:left w:val="nil"/>
              <w:bottom w:val="nil"/>
              <w:right w:val="nil"/>
              <w:tl2br w:val="nil"/>
              <w:tr2bl w:val="nil"/>
            </w:tcBorders>
            <w:tcMar>
              <w:left w:w="40" w:type="dxa"/>
              <w:right w:w="40" w:type="dxa"/>
            </w:tcMar>
            <w:vAlign w:val="center"/>
          </w:tcPr>
          <w:p w14:paraId="71F3E9E5" w14:textId="77777777" w:rsidR="00510CAA" w:rsidRDefault="003A4815">
            <w:pPr>
              <w:keepNext/>
              <w:jc w:val="right"/>
              <w:rPr>
                <w:rFonts w:ascii="Arial" w:eastAsia="Arial" w:hAnsi="Arial" w:cs="Arial"/>
                <w:color w:val="000000"/>
              </w:rPr>
            </w:pPr>
            <w:r>
              <w:rPr>
                <w:rFonts w:ascii="Arial" w:eastAsia="Arial" w:hAnsi="Arial" w:cs="Arial"/>
                <w:color w:val="000000"/>
              </w:rPr>
              <w:t>21.5%</w:t>
            </w:r>
          </w:p>
        </w:tc>
      </w:tr>
      <w:tr w:rsidR="00510CAA" w14:paraId="71F3E9E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1725" w:type="dxa"/>
            <w:tcBorders>
              <w:top w:val="nil"/>
              <w:left w:val="nil"/>
              <w:bottom w:val="nil"/>
              <w:right w:val="nil"/>
              <w:tl2br w:val="nil"/>
              <w:tr2bl w:val="nil"/>
            </w:tcBorders>
            <w:tcMar>
              <w:left w:w="40" w:type="dxa"/>
              <w:right w:w="40" w:type="dxa"/>
            </w:tcMar>
            <w:vAlign w:val="center"/>
          </w:tcPr>
          <w:p w14:paraId="71F3E9E7" w14:textId="77777777" w:rsidR="00510CAA" w:rsidRDefault="003A4815">
            <w:pPr>
              <w:keepNext/>
              <w:rPr>
                <w:rFonts w:ascii="Arial" w:eastAsia="Arial" w:hAnsi="Arial" w:cs="Arial"/>
                <w:color w:val="000000"/>
              </w:rPr>
            </w:pPr>
            <w:r>
              <w:rPr>
                <w:rFonts w:ascii="Arial" w:eastAsia="Arial" w:hAnsi="Arial" w:cs="Arial"/>
                <w:color w:val="000000"/>
              </w:rPr>
              <w:t>par value $0.01</w:t>
            </w:r>
          </w:p>
        </w:tc>
        <w:tc>
          <w:tcPr>
            <w:tcW w:w="180" w:type="dxa"/>
            <w:tcBorders>
              <w:top w:val="nil"/>
              <w:left w:val="nil"/>
              <w:bottom w:val="nil"/>
              <w:right w:val="nil"/>
              <w:tl2br w:val="nil"/>
              <w:tr2bl w:val="nil"/>
            </w:tcBorders>
            <w:tcMar>
              <w:left w:w="0" w:type="dxa"/>
              <w:right w:w="0" w:type="dxa"/>
            </w:tcMar>
            <w:vAlign w:val="center"/>
          </w:tcPr>
          <w:p w14:paraId="71F3E9E8" w14:textId="77777777" w:rsidR="00510CAA" w:rsidRDefault="00510CAA">
            <w:pPr>
              <w:keepNext/>
              <w:rPr>
                <w:rFonts w:ascii="Arial" w:eastAsia="Arial" w:hAnsi="Arial" w:cs="Arial"/>
                <w:color w:val="000000"/>
              </w:rPr>
            </w:pPr>
          </w:p>
        </w:tc>
        <w:tc>
          <w:tcPr>
            <w:tcW w:w="4545" w:type="dxa"/>
            <w:tcBorders>
              <w:top w:val="nil"/>
              <w:left w:val="nil"/>
              <w:bottom w:val="nil"/>
              <w:right w:val="nil"/>
              <w:tl2br w:val="nil"/>
              <w:tr2bl w:val="nil"/>
            </w:tcBorders>
            <w:tcMar>
              <w:left w:w="40" w:type="dxa"/>
              <w:right w:w="40" w:type="dxa"/>
            </w:tcMar>
            <w:vAlign w:val="center"/>
          </w:tcPr>
          <w:p w14:paraId="71F3E9E9" w14:textId="77777777" w:rsidR="00510CAA" w:rsidRDefault="003A4815">
            <w:pPr>
              <w:keepNext/>
              <w:rPr>
                <w:rFonts w:ascii="Arial" w:eastAsia="Arial" w:hAnsi="Arial" w:cs="Arial"/>
                <w:color w:val="000000"/>
              </w:rPr>
            </w:pPr>
            <w:r>
              <w:rPr>
                <w:rFonts w:ascii="Arial" w:eastAsia="Arial" w:hAnsi="Arial" w:cs="Arial"/>
                <w:color w:val="000000"/>
              </w:rPr>
              <w:t>Anastasios Margaronis (2)</w:t>
            </w:r>
          </w:p>
        </w:tc>
        <w:tc>
          <w:tcPr>
            <w:tcW w:w="180" w:type="dxa"/>
            <w:tcBorders>
              <w:top w:val="nil"/>
              <w:left w:val="nil"/>
              <w:bottom w:val="nil"/>
              <w:right w:val="nil"/>
              <w:tl2br w:val="nil"/>
              <w:tr2bl w:val="nil"/>
            </w:tcBorders>
            <w:tcMar>
              <w:left w:w="0" w:type="dxa"/>
              <w:right w:w="0" w:type="dxa"/>
            </w:tcMar>
            <w:vAlign w:val="center"/>
          </w:tcPr>
          <w:p w14:paraId="71F3E9EA" w14:textId="77777777" w:rsidR="00510CAA" w:rsidRDefault="00510CAA">
            <w:pPr>
              <w:keepNext/>
              <w:rPr>
                <w:rFonts w:ascii="Arial" w:eastAsia="Arial" w:hAnsi="Arial" w:cs="Arial"/>
                <w:color w:val="000000"/>
              </w:rPr>
            </w:pPr>
          </w:p>
        </w:tc>
        <w:tc>
          <w:tcPr>
            <w:tcW w:w="2010" w:type="dxa"/>
            <w:tcBorders>
              <w:top w:val="nil"/>
              <w:left w:val="nil"/>
              <w:bottom w:val="nil"/>
              <w:right w:val="nil"/>
              <w:tl2br w:val="nil"/>
              <w:tr2bl w:val="nil"/>
            </w:tcBorders>
            <w:tcMar>
              <w:left w:w="40" w:type="dxa"/>
              <w:right w:w="40" w:type="dxa"/>
            </w:tcMar>
            <w:vAlign w:val="center"/>
          </w:tcPr>
          <w:p w14:paraId="71F3E9EB" w14:textId="77777777" w:rsidR="00510CAA" w:rsidRDefault="003A4815">
            <w:pPr>
              <w:keepNext/>
              <w:jc w:val="right"/>
              <w:rPr>
                <w:rFonts w:ascii="Arial" w:eastAsia="Arial" w:hAnsi="Arial" w:cs="Arial"/>
                <w:color w:val="000000"/>
              </w:rPr>
            </w:pPr>
            <w:r>
              <w:rPr>
                <w:rFonts w:ascii="Arial" w:eastAsia="Arial" w:hAnsi="Arial" w:cs="Arial"/>
                <w:color w:val="000000"/>
              </w:rPr>
              <w:t>10,061,227</w:t>
            </w:r>
          </w:p>
        </w:tc>
        <w:tc>
          <w:tcPr>
            <w:tcW w:w="180" w:type="dxa"/>
            <w:tcBorders>
              <w:top w:val="nil"/>
              <w:left w:val="nil"/>
              <w:bottom w:val="nil"/>
              <w:right w:val="nil"/>
              <w:tl2br w:val="nil"/>
              <w:tr2bl w:val="nil"/>
            </w:tcBorders>
            <w:tcMar>
              <w:left w:w="0" w:type="dxa"/>
              <w:right w:w="0" w:type="dxa"/>
            </w:tcMar>
            <w:vAlign w:val="center"/>
          </w:tcPr>
          <w:p w14:paraId="71F3E9EC" w14:textId="77777777" w:rsidR="00510CAA" w:rsidRDefault="00510CAA">
            <w:pPr>
              <w:keepNext/>
              <w:rPr>
                <w:rFonts w:ascii="Arial" w:eastAsia="Arial" w:hAnsi="Arial" w:cs="Arial"/>
                <w:color w:val="000000"/>
              </w:rPr>
            </w:pPr>
          </w:p>
        </w:tc>
        <w:tc>
          <w:tcPr>
            <w:tcW w:w="1455" w:type="dxa"/>
            <w:tcBorders>
              <w:top w:val="nil"/>
              <w:left w:val="nil"/>
              <w:bottom w:val="nil"/>
              <w:right w:val="nil"/>
              <w:tl2br w:val="nil"/>
              <w:tr2bl w:val="nil"/>
            </w:tcBorders>
            <w:tcMar>
              <w:left w:w="40" w:type="dxa"/>
              <w:right w:w="40" w:type="dxa"/>
            </w:tcMar>
            <w:vAlign w:val="center"/>
          </w:tcPr>
          <w:p w14:paraId="71F3E9ED" w14:textId="77777777" w:rsidR="00510CAA" w:rsidRDefault="003A4815">
            <w:pPr>
              <w:keepNext/>
              <w:jc w:val="right"/>
              <w:rPr>
                <w:rFonts w:ascii="Arial" w:eastAsia="Arial" w:hAnsi="Arial" w:cs="Arial"/>
                <w:color w:val="000000"/>
              </w:rPr>
            </w:pPr>
            <w:r>
              <w:rPr>
                <w:rFonts w:ascii="Arial" w:eastAsia="Arial" w:hAnsi="Arial" w:cs="Arial"/>
                <w:color w:val="000000"/>
              </w:rPr>
              <w:t>8.0%</w:t>
            </w:r>
          </w:p>
        </w:tc>
      </w:tr>
      <w:tr w:rsidR="00510CAA" w14:paraId="71F3E9F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1725" w:type="dxa"/>
            <w:tcBorders>
              <w:top w:val="nil"/>
              <w:left w:val="nil"/>
              <w:bottom w:val="nil"/>
              <w:right w:val="nil"/>
              <w:tl2br w:val="nil"/>
              <w:tr2bl w:val="nil"/>
            </w:tcBorders>
            <w:tcMar>
              <w:left w:w="0" w:type="dxa"/>
              <w:right w:w="0" w:type="dxa"/>
            </w:tcMar>
            <w:vAlign w:val="center"/>
          </w:tcPr>
          <w:p w14:paraId="71F3E9EF" w14:textId="77777777" w:rsidR="00510CAA" w:rsidRDefault="00510CAA">
            <w:pPr>
              <w:keepNext/>
              <w:rPr>
                <w:rFonts w:ascii="Arial" w:eastAsia="Arial" w:hAnsi="Arial" w:cs="Arial"/>
                <w:color w:val="000000"/>
              </w:rPr>
            </w:pPr>
          </w:p>
        </w:tc>
        <w:tc>
          <w:tcPr>
            <w:tcW w:w="180" w:type="dxa"/>
            <w:tcBorders>
              <w:top w:val="nil"/>
              <w:left w:val="nil"/>
              <w:bottom w:val="nil"/>
              <w:right w:val="nil"/>
              <w:tl2br w:val="nil"/>
              <w:tr2bl w:val="nil"/>
            </w:tcBorders>
            <w:tcMar>
              <w:left w:w="0" w:type="dxa"/>
              <w:right w:w="0" w:type="dxa"/>
            </w:tcMar>
            <w:vAlign w:val="center"/>
          </w:tcPr>
          <w:p w14:paraId="71F3E9F0" w14:textId="77777777" w:rsidR="00510CAA" w:rsidRDefault="00510CAA">
            <w:pPr>
              <w:keepNext/>
              <w:rPr>
                <w:rFonts w:ascii="Arial" w:eastAsia="Arial" w:hAnsi="Arial" w:cs="Arial"/>
                <w:color w:val="000000"/>
              </w:rPr>
            </w:pPr>
          </w:p>
        </w:tc>
        <w:tc>
          <w:tcPr>
            <w:tcW w:w="4545" w:type="dxa"/>
            <w:tcBorders>
              <w:top w:val="nil"/>
              <w:left w:val="nil"/>
              <w:bottom w:val="nil"/>
              <w:right w:val="nil"/>
              <w:tl2br w:val="nil"/>
              <w:tr2bl w:val="nil"/>
            </w:tcBorders>
            <w:tcMar>
              <w:left w:w="40" w:type="dxa"/>
              <w:right w:w="40" w:type="dxa"/>
            </w:tcMar>
            <w:vAlign w:val="center"/>
          </w:tcPr>
          <w:p w14:paraId="71F3E9F1" w14:textId="77777777" w:rsidR="00510CAA" w:rsidRDefault="003A4815">
            <w:pPr>
              <w:keepNext/>
              <w:rPr>
                <w:rFonts w:ascii="Arial" w:eastAsia="Arial" w:hAnsi="Arial" w:cs="Arial"/>
                <w:color w:val="000000"/>
              </w:rPr>
            </w:pPr>
            <w:r>
              <w:rPr>
                <w:rFonts w:ascii="Arial" w:eastAsia="Arial" w:hAnsi="Arial" w:cs="Arial"/>
                <w:color w:val="000000"/>
              </w:rPr>
              <w:t>Simeon Palios (3)</w:t>
            </w:r>
          </w:p>
        </w:tc>
        <w:tc>
          <w:tcPr>
            <w:tcW w:w="180" w:type="dxa"/>
            <w:tcBorders>
              <w:top w:val="nil"/>
              <w:left w:val="nil"/>
              <w:bottom w:val="nil"/>
              <w:right w:val="nil"/>
              <w:tl2br w:val="nil"/>
              <w:tr2bl w:val="nil"/>
            </w:tcBorders>
            <w:tcMar>
              <w:left w:w="0" w:type="dxa"/>
              <w:right w:w="0" w:type="dxa"/>
            </w:tcMar>
            <w:vAlign w:val="center"/>
          </w:tcPr>
          <w:p w14:paraId="71F3E9F2" w14:textId="77777777" w:rsidR="00510CAA" w:rsidRDefault="00510CAA">
            <w:pPr>
              <w:keepNext/>
              <w:rPr>
                <w:rFonts w:ascii="Arial" w:eastAsia="Arial" w:hAnsi="Arial" w:cs="Arial"/>
                <w:color w:val="000000"/>
              </w:rPr>
            </w:pPr>
          </w:p>
        </w:tc>
        <w:tc>
          <w:tcPr>
            <w:tcW w:w="2010" w:type="dxa"/>
            <w:tcBorders>
              <w:top w:val="nil"/>
              <w:left w:val="nil"/>
              <w:bottom w:val="nil"/>
              <w:right w:val="nil"/>
              <w:tl2br w:val="nil"/>
              <w:tr2bl w:val="nil"/>
            </w:tcBorders>
            <w:tcMar>
              <w:left w:w="40" w:type="dxa"/>
              <w:right w:w="40" w:type="dxa"/>
            </w:tcMar>
            <w:vAlign w:val="center"/>
          </w:tcPr>
          <w:p w14:paraId="71F3E9F3" w14:textId="77777777" w:rsidR="00510CAA" w:rsidRDefault="003A4815">
            <w:pPr>
              <w:keepNext/>
              <w:jc w:val="right"/>
              <w:rPr>
                <w:rFonts w:ascii="Arial" w:eastAsia="Arial" w:hAnsi="Arial" w:cs="Arial"/>
                <w:color w:val="000000"/>
              </w:rPr>
            </w:pPr>
            <w:r>
              <w:rPr>
                <w:rFonts w:ascii="Arial" w:eastAsia="Arial" w:hAnsi="Arial" w:cs="Arial"/>
                <w:color w:val="000000"/>
              </w:rPr>
              <w:t>7,153,374</w:t>
            </w:r>
          </w:p>
        </w:tc>
        <w:tc>
          <w:tcPr>
            <w:tcW w:w="180" w:type="dxa"/>
            <w:tcBorders>
              <w:top w:val="nil"/>
              <w:left w:val="nil"/>
              <w:bottom w:val="nil"/>
              <w:right w:val="nil"/>
              <w:tl2br w:val="nil"/>
              <w:tr2bl w:val="nil"/>
            </w:tcBorders>
            <w:tcMar>
              <w:left w:w="0" w:type="dxa"/>
              <w:right w:w="0" w:type="dxa"/>
            </w:tcMar>
            <w:vAlign w:val="center"/>
          </w:tcPr>
          <w:p w14:paraId="71F3E9F4" w14:textId="77777777" w:rsidR="00510CAA" w:rsidRDefault="00510CAA">
            <w:pPr>
              <w:keepNext/>
              <w:rPr>
                <w:rFonts w:ascii="Arial" w:eastAsia="Arial" w:hAnsi="Arial" w:cs="Arial"/>
                <w:color w:val="000000"/>
              </w:rPr>
            </w:pPr>
          </w:p>
        </w:tc>
        <w:tc>
          <w:tcPr>
            <w:tcW w:w="1455" w:type="dxa"/>
            <w:tcBorders>
              <w:top w:val="nil"/>
              <w:left w:val="nil"/>
              <w:bottom w:val="nil"/>
              <w:right w:val="nil"/>
              <w:tl2br w:val="nil"/>
              <w:tr2bl w:val="nil"/>
            </w:tcBorders>
            <w:tcMar>
              <w:left w:w="40" w:type="dxa"/>
              <w:right w:w="40" w:type="dxa"/>
            </w:tcMar>
            <w:vAlign w:val="center"/>
          </w:tcPr>
          <w:p w14:paraId="71F3E9F5" w14:textId="77777777" w:rsidR="00510CAA" w:rsidRDefault="003A4815">
            <w:pPr>
              <w:keepNext/>
              <w:jc w:val="right"/>
              <w:rPr>
                <w:rFonts w:ascii="Arial" w:eastAsia="Arial" w:hAnsi="Arial" w:cs="Arial"/>
                <w:color w:val="000000"/>
              </w:rPr>
            </w:pPr>
            <w:r>
              <w:rPr>
                <w:rFonts w:ascii="Arial" w:eastAsia="Arial" w:hAnsi="Arial" w:cs="Arial"/>
                <w:color w:val="000000"/>
              </w:rPr>
              <w:t>5.7%</w:t>
            </w:r>
          </w:p>
        </w:tc>
      </w:tr>
      <w:tr w:rsidR="00510CAA" w14:paraId="71F3E9F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1725" w:type="dxa"/>
            <w:tcBorders>
              <w:top w:val="nil"/>
              <w:left w:val="nil"/>
              <w:bottom w:val="nil"/>
              <w:right w:val="nil"/>
              <w:tl2br w:val="nil"/>
              <w:tr2bl w:val="nil"/>
            </w:tcBorders>
            <w:tcMar>
              <w:left w:w="0" w:type="dxa"/>
              <w:right w:w="0" w:type="dxa"/>
            </w:tcMar>
            <w:vAlign w:val="center"/>
          </w:tcPr>
          <w:p w14:paraId="71F3E9F7" w14:textId="77777777" w:rsidR="00510CAA" w:rsidRDefault="00510CAA">
            <w:pPr>
              <w:keepNext/>
              <w:rPr>
                <w:rFonts w:ascii="Arial" w:eastAsia="Arial" w:hAnsi="Arial" w:cs="Arial"/>
                <w:color w:val="000000"/>
              </w:rPr>
            </w:pPr>
          </w:p>
        </w:tc>
        <w:tc>
          <w:tcPr>
            <w:tcW w:w="180" w:type="dxa"/>
            <w:tcBorders>
              <w:top w:val="nil"/>
              <w:left w:val="nil"/>
              <w:bottom w:val="nil"/>
              <w:right w:val="nil"/>
              <w:tl2br w:val="nil"/>
              <w:tr2bl w:val="nil"/>
            </w:tcBorders>
            <w:tcMar>
              <w:left w:w="0" w:type="dxa"/>
              <w:right w:w="0" w:type="dxa"/>
            </w:tcMar>
            <w:vAlign w:val="center"/>
          </w:tcPr>
          <w:p w14:paraId="71F3E9F8" w14:textId="77777777" w:rsidR="00510CAA" w:rsidRDefault="00510CAA">
            <w:pPr>
              <w:keepNext/>
              <w:rPr>
                <w:rFonts w:ascii="Arial" w:eastAsia="Arial" w:hAnsi="Arial" w:cs="Arial"/>
                <w:color w:val="000000"/>
              </w:rPr>
            </w:pPr>
          </w:p>
        </w:tc>
        <w:tc>
          <w:tcPr>
            <w:tcW w:w="4545" w:type="dxa"/>
            <w:tcBorders>
              <w:top w:val="nil"/>
              <w:left w:val="nil"/>
              <w:bottom w:val="nil"/>
              <w:right w:val="nil"/>
              <w:tl2br w:val="nil"/>
              <w:tr2bl w:val="nil"/>
            </w:tcBorders>
            <w:tcMar>
              <w:left w:w="40" w:type="dxa"/>
              <w:right w:w="40" w:type="dxa"/>
            </w:tcMar>
            <w:vAlign w:val="center"/>
          </w:tcPr>
          <w:p w14:paraId="71F3E9F9" w14:textId="77777777" w:rsidR="00510CAA" w:rsidRDefault="003A4815">
            <w:pPr>
              <w:keepNext/>
              <w:rPr>
                <w:rFonts w:ascii="Arial" w:eastAsia="Arial" w:hAnsi="Arial" w:cs="Arial"/>
                <w:color w:val="000000"/>
              </w:rPr>
            </w:pPr>
            <w:r>
              <w:rPr>
                <w:rFonts w:ascii="Arial" w:eastAsia="Arial" w:hAnsi="Arial" w:cs="Arial"/>
                <w:color w:val="000000"/>
              </w:rPr>
              <w:t>F. Laeisz GmbH (4)</w:t>
            </w:r>
          </w:p>
        </w:tc>
        <w:tc>
          <w:tcPr>
            <w:tcW w:w="180" w:type="dxa"/>
            <w:tcBorders>
              <w:top w:val="nil"/>
              <w:left w:val="nil"/>
              <w:bottom w:val="nil"/>
              <w:right w:val="nil"/>
              <w:tl2br w:val="nil"/>
              <w:tr2bl w:val="nil"/>
            </w:tcBorders>
            <w:tcMar>
              <w:left w:w="0" w:type="dxa"/>
              <w:right w:w="0" w:type="dxa"/>
            </w:tcMar>
            <w:vAlign w:val="center"/>
          </w:tcPr>
          <w:p w14:paraId="71F3E9FA" w14:textId="77777777" w:rsidR="00510CAA" w:rsidRDefault="00510CAA">
            <w:pPr>
              <w:keepNext/>
              <w:rPr>
                <w:rFonts w:ascii="Arial" w:eastAsia="Arial" w:hAnsi="Arial" w:cs="Arial"/>
                <w:color w:val="000000"/>
              </w:rPr>
            </w:pPr>
          </w:p>
        </w:tc>
        <w:tc>
          <w:tcPr>
            <w:tcW w:w="2010" w:type="dxa"/>
            <w:tcBorders>
              <w:top w:val="nil"/>
              <w:left w:val="nil"/>
              <w:bottom w:val="nil"/>
              <w:right w:val="nil"/>
              <w:tl2br w:val="nil"/>
              <w:tr2bl w:val="nil"/>
            </w:tcBorders>
            <w:tcMar>
              <w:left w:w="40" w:type="dxa"/>
              <w:right w:w="40" w:type="dxa"/>
            </w:tcMar>
            <w:vAlign w:val="center"/>
          </w:tcPr>
          <w:p w14:paraId="71F3E9FB" w14:textId="77777777" w:rsidR="00510CAA" w:rsidRDefault="003A4815">
            <w:pPr>
              <w:keepNext/>
              <w:jc w:val="right"/>
              <w:rPr>
                <w:rFonts w:ascii="Arial" w:eastAsia="Arial" w:hAnsi="Arial" w:cs="Arial"/>
                <w:color w:val="000000"/>
              </w:rPr>
            </w:pPr>
            <w:r>
              <w:rPr>
                <w:rFonts w:ascii="Arial" w:eastAsia="Arial" w:hAnsi="Arial" w:cs="Arial"/>
                <w:color w:val="000000"/>
              </w:rPr>
              <w:t>7,716,757</w:t>
            </w:r>
          </w:p>
        </w:tc>
        <w:tc>
          <w:tcPr>
            <w:tcW w:w="180" w:type="dxa"/>
            <w:tcBorders>
              <w:top w:val="nil"/>
              <w:left w:val="nil"/>
              <w:bottom w:val="nil"/>
              <w:right w:val="nil"/>
              <w:tl2br w:val="nil"/>
              <w:tr2bl w:val="nil"/>
            </w:tcBorders>
            <w:tcMar>
              <w:left w:w="0" w:type="dxa"/>
              <w:right w:w="0" w:type="dxa"/>
            </w:tcMar>
            <w:vAlign w:val="center"/>
          </w:tcPr>
          <w:p w14:paraId="71F3E9FC" w14:textId="77777777" w:rsidR="00510CAA" w:rsidRDefault="00510CAA">
            <w:pPr>
              <w:keepNext/>
              <w:rPr>
                <w:rFonts w:ascii="Arial" w:eastAsia="Arial" w:hAnsi="Arial" w:cs="Arial"/>
                <w:color w:val="000000"/>
              </w:rPr>
            </w:pPr>
          </w:p>
        </w:tc>
        <w:tc>
          <w:tcPr>
            <w:tcW w:w="1455" w:type="dxa"/>
            <w:tcBorders>
              <w:top w:val="nil"/>
              <w:left w:val="nil"/>
              <w:bottom w:val="nil"/>
              <w:right w:val="nil"/>
              <w:tl2br w:val="nil"/>
              <w:tr2bl w:val="nil"/>
            </w:tcBorders>
            <w:tcMar>
              <w:left w:w="40" w:type="dxa"/>
              <w:right w:w="40" w:type="dxa"/>
            </w:tcMar>
            <w:vAlign w:val="center"/>
          </w:tcPr>
          <w:p w14:paraId="71F3E9FD" w14:textId="77777777" w:rsidR="00510CAA" w:rsidRDefault="003A4815">
            <w:pPr>
              <w:keepNext/>
              <w:jc w:val="right"/>
              <w:rPr>
                <w:rFonts w:ascii="Arial" w:eastAsia="Arial" w:hAnsi="Arial" w:cs="Arial"/>
                <w:color w:val="000000"/>
              </w:rPr>
            </w:pPr>
            <w:r>
              <w:rPr>
                <w:rFonts w:ascii="Arial" w:eastAsia="Arial" w:hAnsi="Arial" w:cs="Arial"/>
                <w:color w:val="000000"/>
              </w:rPr>
              <w:t>6.2%</w:t>
            </w:r>
          </w:p>
        </w:tc>
      </w:tr>
      <w:tr w:rsidR="00510CAA" w14:paraId="71F3EA0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1725" w:type="dxa"/>
            <w:tcBorders>
              <w:top w:val="nil"/>
              <w:left w:val="nil"/>
              <w:bottom w:val="nil"/>
              <w:right w:val="nil"/>
              <w:tl2br w:val="nil"/>
              <w:tr2bl w:val="nil"/>
            </w:tcBorders>
            <w:tcMar>
              <w:left w:w="0" w:type="dxa"/>
              <w:right w:w="0" w:type="dxa"/>
            </w:tcMar>
            <w:vAlign w:val="center"/>
          </w:tcPr>
          <w:p w14:paraId="71F3E9FF" w14:textId="77777777" w:rsidR="00510CAA" w:rsidRDefault="00510CAA">
            <w:pPr>
              <w:keepNext/>
              <w:rPr>
                <w:rFonts w:ascii="Arial" w:eastAsia="Arial" w:hAnsi="Arial" w:cs="Arial"/>
                <w:color w:val="000000"/>
              </w:rPr>
            </w:pPr>
          </w:p>
        </w:tc>
        <w:tc>
          <w:tcPr>
            <w:tcW w:w="180" w:type="dxa"/>
            <w:tcBorders>
              <w:top w:val="nil"/>
              <w:left w:val="nil"/>
              <w:bottom w:val="nil"/>
              <w:right w:val="nil"/>
              <w:tl2br w:val="nil"/>
              <w:tr2bl w:val="nil"/>
            </w:tcBorders>
            <w:tcMar>
              <w:left w:w="0" w:type="dxa"/>
              <w:right w:w="0" w:type="dxa"/>
            </w:tcMar>
            <w:vAlign w:val="center"/>
          </w:tcPr>
          <w:p w14:paraId="71F3EA00" w14:textId="77777777" w:rsidR="00510CAA" w:rsidRDefault="00510CAA">
            <w:pPr>
              <w:keepNext/>
              <w:rPr>
                <w:rFonts w:ascii="Arial" w:eastAsia="Arial" w:hAnsi="Arial" w:cs="Arial"/>
                <w:color w:val="000000"/>
              </w:rPr>
            </w:pPr>
          </w:p>
        </w:tc>
        <w:tc>
          <w:tcPr>
            <w:tcW w:w="4545" w:type="dxa"/>
            <w:tcBorders>
              <w:top w:val="nil"/>
              <w:left w:val="nil"/>
              <w:bottom w:val="nil"/>
              <w:right w:val="nil"/>
              <w:tl2br w:val="nil"/>
              <w:tr2bl w:val="nil"/>
            </w:tcBorders>
            <w:noWrap/>
            <w:tcMar>
              <w:left w:w="40" w:type="dxa"/>
              <w:right w:w="40" w:type="dxa"/>
            </w:tcMar>
            <w:vAlign w:val="center"/>
          </w:tcPr>
          <w:p w14:paraId="71F3EA01" w14:textId="77777777" w:rsidR="00510CAA" w:rsidRDefault="003A4815">
            <w:pPr>
              <w:keepNext/>
              <w:rPr>
                <w:rFonts w:ascii="Arial" w:eastAsia="Arial" w:hAnsi="Arial" w:cs="Arial"/>
                <w:color w:val="000000"/>
              </w:rPr>
            </w:pPr>
            <w:r>
              <w:rPr>
                <w:rFonts w:ascii="Arial" w:eastAsia="Arial" w:hAnsi="Arial" w:cs="Arial"/>
                <w:color w:val="000000"/>
              </w:rPr>
              <w:t>All other officers and directors as a group (5)</w:t>
            </w:r>
          </w:p>
        </w:tc>
        <w:tc>
          <w:tcPr>
            <w:tcW w:w="180" w:type="dxa"/>
            <w:tcBorders>
              <w:top w:val="nil"/>
              <w:left w:val="nil"/>
              <w:bottom w:val="nil"/>
              <w:right w:val="nil"/>
              <w:tl2br w:val="nil"/>
              <w:tr2bl w:val="nil"/>
            </w:tcBorders>
            <w:tcMar>
              <w:left w:w="0" w:type="dxa"/>
              <w:right w:w="0" w:type="dxa"/>
            </w:tcMar>
            <w:vAlign w:val="center"/>
          </w:tcPr>
          <w:p w14:paraId="71F3EA02" w14:textId="77777777" w:rsidR="00510CAA" w:rsidRDefault="00510CAA">
            <w:pPr>
              <w:keepNext/>
              <w:rPr>
                <w:rFonts w:ascii="Arial" w:eastAsia="Arial" w:hAnsi="Arial" w:cs="Arial"/>
                <w:color w:val="000000"/>
              </w:rPr>
            </w:pPr>
          </w:p>
        </w:tc>
        <w:tc>
          <w:tcPr>
            <w:tcW w:w="2010" w:type="dxa"/>
            <w:tcBorders>
              <w:top w:val="nil"/>
              <w:left w:val="nil"/>
              <w:bottom w:val="nil"/>
              <w:right w:val="nil"/>
              <w:tl2br w:val="nil"/>
              <w:tr2bl w:val="nil"/>
            </w:tcBorders>
            <w:tcMar>
              <w:left w:w="40" w:type="dxa"/>
              <w:right w:w="40" w:type="dxa"/>
            </w:tcMar>
            <w:vAlign w:val="center"/>
          </w:tcPr>
          <w:p w14:paraId="71F3EA03" w14:textId="77777777" w:rsidR="00510CAA" w:rsidRDefault="003A4815">
            <w:pPr>
              <w:keepNext/>
              <w:jc w:val="right"/>
              <w:rPr>
                <w:rFonts w:ascii="Arial" w:eastAsia="Arial" w:hAnsi="Arial" w:cs="Arial"/>
                <w:color w:val="000000"/>
              </w:rPr>
            </w:pPr>
            <w:r>
              <w:rPr>
                <w:rFonts w:ascii="Arial" w:eastAsia="Arial" w:hAnsi="Arial" w:cs="Arial"/>
                <w:color w:val="000000"/>
              </w:rPr>
              <w:t>9,668,908</w:t>
            </w:r>
          </w:p>
        </w:tc>
        <w:tc>
          <w:tcPr>
            <w:tcW w:w="180" w:type="dxa"/>
            <w:tcBorders>
              <w:top w:val="nil"/>
              <w:left w:val="nil"/>
              <w:bottom w:val="nil"/>
              <w:right w:val="nil"/>
              <w:tl2br w:val="nil"/>
              <w:tr2bl w:val="nil"/>
            </w:tcBorders>
            <w:tcMar>
              <w:left w:w="0" w:type="dxa"/>
              <w:right w:w="0" w:type="dxa"/>
            </w:tcMar>
            <w:vAlign w:val="center"/>
          </w:tcPr>
          <w:p w14:paraId="71F3EA04" w14:textId="77777777" w:rsidR="00510CAA" w:rsidRDefault="00510CAA">
            <w:pPr>
              <w:keepNext/>
              <w:rPr>
                <w:rFonts w:ascii="Arial" w:eastAsia="Arial" w:hAnsi="Arial" w:cs="Arial"/>
                <w:color w:val="000000"/>
              </w:rPr>
            </w:pPr>
          </w:p>
        </w:tc>
        <w:tc>
          <w:tcPr>
            <w:tcW w:w="1455" w:type="dxa"/>
            <w:tcBorders>
              <w:top w:val="nil"/>
              <w:left w:val="nil"/>
              <w:bottom w:val="nil"/>
              <w:right w:val="nil"/>
              <w:tl2br w:val="nil"/>
              <w:tr2bl w:val="nil"/>
            </w:tcBorders>
            <w:tcMar>
              <w:left w:w="40" w:type="dxa"/>
              <w:right w:w="40" w:type="dxa"/>
            </w:tcMar>
            <w:vAlign w:val="center"/>
          </w:tcPr>
          <w:p w14:paraId="71F3EA05" w14:textId="77777777" w:rsidR="00510CAA" w:rsidRDefault="003A4815">
            <w:pPr>
              <w:keepNext/>
              <w:jc w:val="right"/>
              <w:rPr>
                <w:rFonts w:ascii="Arial" w:eastAsia="Arial" w:hAnsi="Arial" w:cs="Arial"/>
                <w:color w:val="000000"/>
              </w:rPr>
            </w:pPr>
            <w:r>
              <w:rPr>
                <w:rFonts w:ascii="Arial" w:eastAsia="Arial" w:hAnsi="Arial" w:cs="Arial"/>
                <w:color w:val="000000"/>
              </w:rPr>
              <w:t>7.8%</w:t>
            </w:r>
          </w:p>
        </w:tc>
      </w:tr>
    </w:tbl>
    <w:p w14:paraId="71F3EA07"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08" w14:textId="77777777" w:rsidR="002D45EC" w:rsidRPr="003850AA" w:rsidRDefault="002D45EC" w:rsidP="003850AA">
      <w:pPr>
        <w:pStyle w:val="Char111"/>
        <w:pBdr>
          <w:top w:val="nil"/>
          <w:left w:val="nil"/>
          <w:bottom w:val="nil"/>
          <w:right w:val="nil"/>
          <w:between w:val="nil"/>
          <w:bar w:val="nil"/>
        </w:pBdr>
        <w:spacing w:before="0" w:after="0"/>
        <w:rPr>
          <w:rFonts w:ascii="Arial" w:eastAsia="Arial" w:hAnsi="Arial" w:cs="Arial"/>
          <w:szCs w:val="22"/>
          <w:bdr w:val="nil"/>
        </w:rPr>
      </w:pPr>
      <w:bookmarkStart w:id="201" w:name="RG_MARKER_23373"/>
      <w:bookmarkEnd w:id="201"/>
    </w:p>
    <w:p w14:paraId="71F3EA09" w14:textId="77777777" w:rsidR="004C3642" w:rsidRPr="003850AA" w:rsidRDefault="003A4815" w:rsidP="003850AA">
      <w:pPr>
        <w:pStyle w:val="Char111"/>
        <w:pBdr>
          <w:top w:val="nil"/>
          <w:left w:val="nil"/>
          <w:bottom w:val="nil"/>
          <w:right w:val="nil"/>
          <w:between w:val="nil"/>
          <w:bar w:val="nil"/>
        </w:pBdr>
        <w:spacing w:before="0" w:after="0"/>
        <w:rPr>
          <w:rFonts w:ascii="Arial" w:eastAsia="Arial" w:hAnsi="Arial" w:cs="Arial"/>
          <w:szCs w:val="22"/>
          <w:bdr w:val="nil"/>
        </w:rPr>
      </w:pPr>
      <w:r w:rsidRPr="003850AA">
        <w:rPr>
          <w:rFonts w:ascii="Arial" w:eastAsia="Arial" w:hAnsi="Arial" w:cs="Arial"/>
          <w:szCs w:val="22"/>
        </w:rPr>
        <w:t xml:space="preserve">* Based on 123,539,757 common shares outstanding as of March 12, 2026. </w:t>
      </w:r>
    </w:p>
    <w:p w14:paraId="71F3EA0A" w14:textId="77777777" w:rsidR="00E06972" w:rsidRPr="003850AA" w:rsidRDefault="00E06972" w:rsidP="003850AA">
      <w:pPr>
        <w:pBdr>
          <w:top w:val="nil"/>
          <w:left w:val="nil"/>
          <w:bottom w:val="nil"/>
          <w:right w:val="nil"/>
          <w:between w:val="nil"/>
          <w:bar w:val="nil"/>
        </w:pBdr>
        <w:rPr>
          <w:rFonts w:ascii="Arial" w:eastAsia="Arial" w:hAnsi="Arial" w:cs="Arial"/>
          <w:bdr w:val="nil"/>
          <w:lang w:val="en-US"/>
        </w:rPr>
      </w:pPr>
    </w:p>
    <w:p w14:paraId="71F3EA0B" w14:textId="77777777" w:rsidR="00E06972" w:rsidRPr="003850AA" w:rsidRDefault="00E06972" w:rsidP="003850AA">
      <w:pPr>
        <w:pBdr>
          <w:top w:val="single" w:sz="6" w:space="0" w:color="800000"/>
          <w:left w:val="nil"/>
          <w:bottom w:val="nil"/>
          <w:right w:val="nil"/>
          <w:between w:val="nil"/>
          <w:bar w:val="nil"/>
        </w:pBdr>
        <w:rPr>
          <w:rFonts w:ascii="Arial" w:eastAsia="Arial" w:hAnsi="Arial" w:cs="Arial"/>
          <w:bdr w:val="nil"/>
          <w:lang w:val="en-US"/>
        </w:rPr>
      </w:pPr>
    </w:p>
    <w:p w14:paraId="71F3EA0C" w14:textId="77777777" w:rsidR="00A901AC" w:rsidRPr="00A93D5B" w:rsidRDefault="003A4815" w:rsidP="003850AA">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color w:val="000000"/>
          <w:sz w:val="22"/>
          <w:szCs w:val="22"/>
          <w:bdr w:val="nil"/>
        </w:rPr>
      </w:pPr>
      <w:r w:rsidRPr="003850AA">
        <w:rPr>
          <w:rFonts w:ascii="Arial" w:eastAsia="Arial" w:hAnsi="Arial" w:cs="Arial"/>
          <w:iCs/>
          <w:color w:val="000000"/>
          <w:sz w:val="22"/>
          <w:szCs w:val="22"/>
        </w:rPr>
        <w:t>(1)</w:t>
      </w:r>
      <w:r w:rsidRPr="003850AA">
        <w:rPr>
          <w:rFonts w:ascii="Arial" w:eastAsia="Arial" w:hAnsi="Arial" w:cs="Arial"/>
          <w:iCs/>
          <w:color w:val="000000"/>
          <w:sz w:val="22"/>
          <w:szCs w:val="22"/>
        </w:rPr>
        <w:tab/>
      </w:r>
      <w:r w:rsidRPr="003850AA">
        <w:rPr>
          <w:rFonts w:ascii="Arial" w:eastAsia="Arial" w:hAnsi="Arial" w:cs="Arial"/>
          <w:color w:val="000000"/>
          <w:sz w:val="22"/>
          <w:szCs w:val="22"/>
        </w:rPr>
        <w:t>M</w:t>
      </w:r>
      <w:r w:rsidR="009D3469" w:rsidRPr="003850AA">
        <w:rPr>
          <w:rFonts w:ascii="Arial" w:eastAsia="Arial" w:hAnsi="Arial" w:cs="Arial"/>
          <w:color w:val="000000"/>
          <w:sz w:val="22"/>
          <w:szCs w:val="22"/>
        </w:rPr>
        <w:t>s. Se</w:t>
      </w:r>
      <w:r w:rsidRPr="003850AA">
        <w:rPr>
          <w:rFonts w:ascii="Arial" w:eastAsia="Arial" w:hAnsi="Arial" w:cs="Arial"/>
          <w:color w:val="000000"/>
          <w:sz w:val="22"/>
          <w:szCs w:val="22"/>
        </w:rPr>
        <w:t>m</w:t>
      </w:r>
      <w:r w:rsidR="009D3469" w:rsidRPr="003850AA">
        <w:rPr>
          <w:rFonts w:ascii="Arial" w:eastAsia="Arial" w:hAnsi="Arial" w:cs="Arial"/>
          <w:color w:val="000000"/>
          <w:sz w:val="22"/>
          <w:szCs w:val="22"/>
        </w:rPr>
        <w:t>iramis</w:t>
      </w:r>
      <w:r w:rsidRPr="003850AA">
        <w:rPr>
          <w:rFonts w:ascii="Arial" w:eastAsia="Arial" w:hAnsi="Arial" w:cs="Arial"/>
          <w:color w:val="000000"/>
          <w:sz w:val="22"/>
          <w:szCs w:val="22"/>
        </w:rPr>
        <w:t xml:space="preserve"> Pali</w:t>
      </w:r>
      <w:r w:rsidR="009D3469" w:rsidRPr="003850AA">
        <w:rPr>
          <w:rFonts w:ascii="Arial" w:eastAsia="Arial" w:hAnsi="Arial" w:cs="Arial"/>
          <w:color w:val="000000"/>
          <w:sz w:val="22"/>
          <w:szCs w:val="22"/>
        </w:rPr>
        <w:t>ou</w:t>
      </w:r>
      <w:r w:rsidRPr="003850AA">
        <w:rPr>
          <w:rFonts w:ascii="Arial" w:eastAsia="Arial" w:hAnsi="Arial" w:cs="Arial"/>
          <w:color w:val="000000"/>
          <w:sz w:val="22"/>
          <w:szCs w:val="22"/>
        </w:rPr>
        <w:t xml:space="preserve"> indirectly may be deemed to beneficially own 21.5%</w:t>
      </w:r>
      <w:r w:rsidR="009D3469" w:rsidRPr="003850AA">
        <w:rPr>
          <w:rFonts w:ascii="Arial" w:eastAsia="Arial" w:hAnsi="Arial" w:cs="Arial"/>
          <w:color w:val="000000"/>
          <w:sz w:val="22"/>
          <w:szCs w:val="22"/>
        </w:rPr>
        <w:t xml:space="preserve"> </w:t>
      </w:r>
      <w:r w:rsidR="00BE0A06">
        <w:rPr>
          <w:rFonts w:ascii="Arial" w:eastAsia="Arial" w:hAnsi="Arial" w:cs="Arial"/>
          <w:color w:val="000000"/>
          <w:sz w:val="22"/>
          <w:szCs w:val="22"/>
        </w:rPr>
        <w:t>of our outstanding common stock</w:t>
      </w:r>
      <w:r w:rsidRPr="003850AA">
        <w:rPr>
          <w:rFonts w:ascii="Arial" w:eastAsia="Arial" w:hAnsi="Arial" w:cs="Arial"/>
          <w:color w:val="000000"/>
          <w:sz w:val="22"/>
          <w:szCs w:val="22"/>
        </w:rPr>
        <w:t xml:space="preserve"> through </w:t>
      </w:r>
      <w:r w:rsidR="009D3469" w:rsidRPr="003850AA">
        <w:rPr>
          <w:rFonts w:ascii="Arial" w:eastAsia="Arial" w:hAnsi="Arial" w:cs="Arial"/>
          <w:color w:val="000000"/>
          <w:sz w:val="22"/>
          <w:szCs w:val="22"/>
        </w:rPr>
        <w:t>Tuscany Shipping Corp.</w:t>
      </w:r>
      <w:r w:rsidRPr="003850AA">
        <w:rPr>
          <w:rFonts w:ascii="Arial" w:eastAsia="Arial" w:hAnsi="Arial" w:cs="Arial"/>
          <w:color w:val="000000"/>
          <w:sz w:val="22"/>
          <w:szCs w:val="22"/>
        </w:rPr>
        <w:t xml:space="preserve">, or Tuscany, and through </w:t>
      </w:r>
      <w:r w:rsidR="009D3469" w:rsidRPr="003850AA">
        <w:rPr>
          <w:rFonts w:ascii="Arial" w:eastAsia="Arial" w:hAnsi="Arial" w:cs="Arial"/>
          <w:color w:val="000000"/>
          <w:sz w:val="22"/>
          <w:szCs w:val="22"/>
        </w:rPr>
        <w:t>4 Sweet Dreams S.A.</w:t>
      </w:r>
      <w:r w:rsidRPr="003850AA">
        <w:rPr>
          <w:rFonts w:ascii="Arial" w:eastAsia="Arial" w:hAnsi="Arial" w:cs="Arial"/>
          <w:color w:val="000000"/>
          <w:sz w:val="22"/>
          <w:szCs w:val="22"/>
        </w:rPr>
        <w:t xml:space="preserve">, as the result of </w:t>
      </w:r>
      <w:r w:rsidR="009D3469" w:rsidRPr="003850AA">
        <w:rPr>
          <w:rFonts w:ascii="Arial" w:eastAsia="Arial" w:hAnsi="Arial" w:cs="Arial"/>
          <w:color w:val="000000"/>
          <w:sz w:val="22"/>
          <w:szCs w:val="22"/>
        </w:rPr>
        <w:t xml:space="preserve">her </w:t>
      </w:r>
      <w:r w:rsidRPr="003850AA">
        <w:rPr>
          <w:rFonts w:ascii="Arial" w:eastAsia="Arial" w:hAnsi="Arial" w:cs="Arial"/>
          <w:color w:val="000000"/>
          <w:sz w:val="22"/>
          <w:szCs w:val="22"/>
        </w:rPr>
        <w:t xml:space="preserve">ability to control the vote and disposition of such entities. </w:t>
      </w:r>
      <w:r w:rsidR="00A44E64">
        <w:rPr>
          <w:rFonts w:ascii="Arial" w:eastAsia="Arial" w:hAnsi="Arial" w:cs="Arial"/>
          <w:color w:val="000000"/>
          <w:sz w:val="22"/>
          <w:szCs w:val="22"/>
        </w:rPr>
        <w:t>The shares include 5,</w:t>
      </w:r>
      <w:r w:rsidR="00CC7DD3">
        <w:rPr>
          <w:rFonts w:ascii="Arial" w:eastAsia="Arial" w:hAnsi="Arial" w:cs="Arial"/>
          <w:color w:val="000000"/>
          <w:sz w:val="22"/>
          <w:szCs w:val="22"/>
        </w:rPr>
        <w:t>931</w:t>
      </w:r>
      <w:r w:rsidR="00A44E64">
        <w:rPr>
          <w:rFonts w:ascii="Arial" w:eastAsia="Arial" w:hAnsi="Arial" w:cs="Arial"/>
          <w:color w:val="000000"/>
          <w:sz w:val="22"/>
          <w:szCs w:val="22"/>
        </w:rPr>
        <w:t>,</w:t>
      </w:r>
      <w:r w:rsidR="00CC7DD3">
        <w:rPr>
          <w:rFonts w:ascii="Arial" w:eastAsia="Arial" w:hAnsi="Arial" w:cs="Arial"/>
          <w:color w:val="000000"/>
          <w:sz w:val="22"/>
          <w:szCs w:val="22"/>
        </w:rPr>
        <w:t>386</w:t>
      </w:r>
      <w:r w:rsidR="00A44E64">
        <w:rPr>
          <w:rFonts w:ascii="Arial" w:eastAsia="Arial" w:hAnsi="Arial" w:cs="Arial"/>
          <w:color w:val="000000"/>
          <w:sz w:val="22"/>
          <w:szCs w:val="22"/>
        </w:rPr>
        <w:t xml:space="preserve"> </w:t>
      </w:r>
      <w:r>
        <w:rPr>
          <w:rFonts w:ascii="Arial" w:eastAsia="Arial" w:hAnsi="Arial" w:cs="Arial"/>
          <w:color w:val="000000"/>
          <w:sz w:val="22"/>
          <w:szCs w:val="22"/>
        </w:rPr>
        <w:t xml:space="preserve">shares of </w:t>
      </w:r>
      <w:r w:rsidR="00A44E64">
        <w:rPr>
          <w:rFonts w:ascii="Arial" w:eastAsia="Arial" w:hAnsi="Arial" w:cs="Arial"/>
          <w:color w:val="000000"/>
          <w:sz w:val="22"/>
          <w:szCs w:val="22"/>
        </w:rPr>
        <w:t xml:space="preserve">common </w:t>
      </w:r>
      <w:r>
        <w:rPr>
          <w:rFonts w:ascii="Arial" w:eastAsia="Arial" w:hAnsi="Arial" w:cs="Arial"/>
          <w:color w:val="000000"/>
          <w:sz w:val="22"/>
          <w:szCs w:val="22"/>
        </w:rPr>
        <w:t>stock</w:t>
      </w:r>
      <w:r w:rsidR="00A44E64">
        <w:rPr>
          <w:rFonts w:ascii="Arial" w:eastAsia="Arial" w:hAnsi="Arial" w:cs="Arial"/>
          <w:color w:val="000000"/>
          <w:sz w:val="22"/>
          <w:szCs w:val="22"/>
        </w:rPr>
        <w:t xml:space="preserve"> issuable to Semiramis Paliou upon exercise of 3,527,501 warrants</w:t>
      </w:r>
      <w:r w:rsidRPr="00C0086E">
        <w:rPr>
          <w:rFonts w:ascii="Arial" w:eastAsia="Arial" w:hAnsi="Arial" w:cs="Arial"/>
          <w:color w:val="000000"/>
          <w:sz w:val="22"/>
          <w:szCs w:val="22"/>
        </w:rPr>
        <w:t xml:space="preserve"> </w:t>
      </w:r>
      <w:r>
        <w:rPr>
          <w:rFonts w:ascii="Arial" w:eastAsia="Arial" w:hAnsi="Arial" w:cs="Arial"/>
          <w:color w:val="000000"/>
          <w:sz w:val="22"/>
          <w:szCs w:val="22"/>
        </w:rPr>
        <w:t>distributed on December 14, 2023</w:t>
      </w:r>
      <w:r w:rsidR="00A44E64">
        <w:rPr>
          <w:rFonts w:ascii="Arial" w:eastAsia="Arial" w:hAnsi="Arial" w:cs="Arial"/>
          <w:color w:val="000000"/>
          <w:sz w:val="22"/>
          <w:szCs w:val="22"/>
        </w:rPr>
        <w:t xml:space="preserve">. </w:t>
      </w:r>
      <w:r w:rsidRPr="003850AA">
        <w:rPr>
          <w:rFonts w:ascii="Arial" w:eastAsia="Arial" w:hAnsi="Arial" w:cs="Arial"/>
          <w:color w:val="000000"/>
          <w:sz w:val="22"/>
          <w:szCs w:val="22"/>
        </w:rPr>
        <w:t>As of December 31, 2023, 2024 and 2025, M</w:t>
      </w:r>
      <w:r w:rsidR="009D3469" w:rsidRPr="003850AA">
        <w:rPr>
          <w:rFonts w:ascii="Arial" w:eastAsia="Arial" w:hAnsi="Arial" w:cs="Arial"/>
          <w:color w:val="000000"/>
          <w:sz w:val="22"/>
          <w:szCs w:val="22"/>
        </w:rPr>
        <w:t>s</w:t>
      </w:r>
      <w:r w:rsidRPr="003850AA">
        <w:rPr>
          <w:rFonts w:ascii="Arial" w:eastAsia="Arial" w:hAnsi="Arial" w:cs="Arial"/>
          <w:color w:val="000000"/>
          <w:sz w:val="22"/>
          <w:szCs w:val="22"/>
        </w:rPr>
        <w:t xml:space="preserve">. </w:t>
      </w:r>
      <w:r w:rsidR="009D3469" w:rsidRPr="003850AA">
        <w:rPr>
          <w:rFonts w:ascii="Arial" w:eastAsia="Arial" w:hAnsi="Arial" w:cs="Arial"/>
          <w:color w:val="000000"/>
          <w:sz w:val="22"/>
          <w:szCs w:val="22"/>
        </w:rPr>
        <w:t xml:space="preserve">Semiramis Paliou owned indirectly </w:t>
      </w:r>
      <w:r w:rsidR="005C000C">
        <w:rPr>
          <w:rFonts w:ascii="Arial" w:eastAsia="Arial" w:hAnsi="Arial" w:cs="Arial"/>
          <w:color w:val="000000"/>
          <w:sz w:val="22"/>
          <w:szCs w:val="22"/>
        </w:rPr>
        <w:t>20</w:t>
      </w:r>
      <w:r>
        <w:rPr>
          <w:rFonts w:ascii="Arial" w:eastAsia="Arial" w:hAnsi="Arial" w:cs="Arial"/>
          <w:color w:val="000000"/>
          <w:sz w:val="22"/>
          <w:szCs w:val="22"/>
        </w:rPr>
        <w:t>.</w:t>
      </w:r>
      <w:r w:rsidR="005C000C">
        <w:rPr>
          <w:rFonts w:ascii="Arial" w:eastAsia="Arial" w:hAnsi="Arial" w:cs="Arial"/>
          <w:color w:val="000000"/>
          <w:sz w:val="22"/>
          <w:szCs w:val="22"/>
        </w:rPr>
        <w:t>3</w:t>
      </w:r>
      <w:r w:rsidRPr="003850AA">
        <w:rPr>
          <w:rFonts w:ascii="Arial" w:eastAsia="Arial" w:hAnsi="Arial" w:cs="Arial"/>
          <w:color w:val="000000"/>
          <w:sz w:val="22"/>
          <w:szCs w:val="22"/>
        </w:rPr>
        <w:t>%</w:t>
      </w:r>
      <w:r w:rsidR="00F52809">
        <w:rPr>
          <w:rFonts w:ascii="Arial" w:eastAsia="Arial" w:hAnsi="Arial" w:cs="Arial"/>
          <w:color w:val="000000"/>
          <w:sz w:val="22"/>
          <w:szCs w:val="22"/>
        </w:rPr>
        <w:t xml:space="preserve">, </w:t>
      </w:r>
      <w:r w:rsidR="005C000C">
        <w:rPr>
          <w:rFonts w:ascii="Arial" w:eastAsia="Arial" w:hAnsi="Arial" w:cs="Arial"/>
          <w:color w:val="000000"/>
          <w:sz w:val="22"/>
          <w:szCs w:val="22"/>
        </w:rPr>
        <w:t>18</w:t>
      </w:r>
      <w:r>
        <w:rPr>
          <w:rFonts w:ascii="Arial" w:eastAsia="Arial" w:hAnsi="Arial" w:cs="Arial"/>
          <w:color w:val="000000"/>
          <w:sz w:val="22"/>
          <w:szCs w:val="22"/>
        </w:rPr>
        <w:t>.</w:t>
      </w:r>
      <w:r w:rsidR="005C000C">
        <w:rPr>
          <w:rFonts w:ascii="Arial" w:eastAsia="Arial" w:hAnsi="Arial" w:cs="Arial"/>
          <w:color w:val="000000"/>
          <w:sz w:val="22"/>
          <w:szCs w:val="22"/>
        </w:rPr>
        <w:t>4</w:t>
      </w:r>
      <w:r w:rsidR="00F52809">
        <w:rPr>
          <w:rFonts w:ascii="Arial" w:eastAsia="Arial" w:hAnsi="Arial" w:cs="Arial"/>
          <w:color w:val="000000"/>
          <w:sz w:val="22"/>
          <w:szCs w:val="22"/>
        </w:rPr>
        <w:t>%</w:t>
      </w:r>
      <w:r w:rsidRPr="003850AA">
        <w:rPr>
          <w:rFonts w:ascii="Arial" w:eastAsia="Arial" w:hAnsi="Arial" w:cs="Arial"/>
          <w:color w:val="000000"/>
          <w:sz w:val="22"/>
          <w:szCs w:val="22"/>
        </w:rPr>
        <w:t xml:space="preserve"> and </w:t>
      </w:r>
      <w:r>
        <w:rPr>
          <w:rFonts w:ascii="Arial" w:eastAsia="Arial" w:hAnsi="Arial" w:cs="Arial"/>
          <w:color w:val="000000"/>
          <w:sz w:val="22"/>
          <w:szCs w:val="22"/>
        </w:rPr>
        <w:t>20.4%</w:t>
      </w:r>
      <w:r w:rsidRPr="003850AA">
        <w:rPr>
          <w:rFonts w:ascii="Arial" w:eastAsia="Arial" w:hAnsi="Arial" w:cs="Arial"/>
          <w:color w:val="000000"/>
          <w:sz w:val="22"/>
          <w:szCs w:val="22"/>
        </w:rPr>
        <w:t xml:space="preserve">, respectively, of our outstanding common stock. </w:t>
      </w:r>
      <w:r w:rsidRPr="00A93D5B">
        <w:rPr>
          <w:rFonts w:ascii="Arial" w:eastAsia="Arial" w:hAnsi="Arial" w:cs="Arial"/>
          <w:color w:val="000000"/>
          <w:sz w:val="22"/>
          <w:szCs w:val="22"/>
        </w:rPr>
        <w:t>Additionally, Ms. Paliou owns, through Tuscany, 10,675 shares of Series C Preferred Stock, par value $0.01 per share, and 400 shares of Series D Preferred Stock, par value $0.01 per share. The Series C Preferred Stock vote with our common shares and each share of the Series C Preferred Stock entitle the holder thereof to 1,000 votes on all matters submitted to a vote of the common stockholders of the Company.</w:t>
      </w:r>
      <w:r>
        <w:rPr>
          <w:rFonts w:ascii="Arial" w:eastAsia="Arial" w:hAnsi="Arial" w:cs="Arial"/>
          <w:color w:val="000000"/>
          <w:sz w:val="22"/>
          <w:szCs w:val="22"/>
        </w:rPr>
        <w:t xml:space="preserve"> </w:t>
      </w:r>
      <w:r w:rsidRPr="00A93D5B">
        <w:rPr>
          <w:rFonts w:ascii="Arial" w:eastAsia="Arial" w:hAnsi="Arial" w:cs="Arial"/>
          <w:color w:val="000000"/>
          <w:sz w:val="22"/>
          <w:szCs w:val="22"/>
        </w:rPr>
        <w:t>Each share of Series D Preferred Stock shall entitle the holder thereof to two hundred thousand (200,000) votes on all matters submitted to a vote of the stockholders of the Company, provided however, that, notwithstanding any other provision of the Series D Preferred Stock statement of designation, to the extent that the total number of votes one or more holders of Series D Preferred Stock is entitled to vote (including any voting power of such holders derived from Series D Preferred Stock, shares of Common Stock or any other voting security of the Company issued and outstanding as of the date hereof or that may be issued in the future) on any matter submitted to a vote of stockholders of the Company would exceed 36.0% of the total number of votes eligible to be cast on such matter, the total number of votes that holders of Series D Preferred Stock may exercise derived from the Series D Preferred Stock together with Common Shares and any other voting securities of the Company beneficially owned by such holder, shall be reduced to 36% of the total number of votes that may be cast on such matter submitted to a vote of stockholders.</w:t>
      </w:r>
    </w:p>
    <w:p w14:paraId="71F3EA0D" w14:textId="77777777" w:rsidR="00E06972" w:rsidRPr="00A93D5B" w:rsidRDefault="00E06972" w:rsidP="003850AA">
      <w:pPr>
        <w:widowControl w:val="0"/>
        <w:pBdr>
          <w:top w:val="nil"/>
          <w:left w:val="nil"/>
          <w:bottom w:val="nil"/>
          <w:right w:val="nil"/>
          <w:between w:val="nil"/>
          <w:bar w:val="nil"/>
        </w:pBdr>
        <w:autoSpaceDE w:val="0"/>
        <w:autoSpaceDN w:val="0"/>
        <w:ind w:left="1080"/>
        <w:jc w:val="both"/>
        <w:rPr>
          <w:rFonts w:ascii="Arial" w:eastAsia="Arial" w:hAnsi="Arial" w:cs="Arial"/>
          <w:color w:val="000000"/>
          <w:bdr w:val="nil"/>
          <w:lang w:val="en-US"/>
        </w:rPr>
      </w:pPr>
    </w:p>
    <w:p w14:paraId="71F3EA0E" w14:textId="77777777" w:rsidR="00B22D2E" w:rsidRDefault="003A4815" w:rsidP="00B22D2E">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color w:val="000000"/>
          <w:sz w:val="22"/>
          <w:szCs w:val="22"/>
          <w:bdr w:val="nil"/>
        </w:rPr>
      </w:pPr>
      <w:r w:rsidRPr="003850AA">
        <w:rPr>
          <w:rFonts w:ascii="Arial" w:eastAsia="Arial" w:hAnsi="Arial" w:cs="Arial"/>
          <w:iCs/>
          <w:color w:val="000000"/>
          <w:sz w:val="22"/>
          <w:szCs w:val="22"/>
        </w:rPr>
        <w:t>(2)</w:t>
      </w:r>
      <w:r w:rsidRPr="003850AA">
        <w:rPr>
          <w:rFonts w:ascii="Arial" w:eastAsia="Arial" w:hAnsi="Arial" w:cs="Arial"/>
          <w:iCs/>
          <w:color w:val="000000"/>
          <w:sz w:val="22"/>
          <w:szCs w:val="22"/>
        </w:rPr>
        <w:tab/>
      </w:r>
      <w:r w:rsidRPr="003850AA">
        <w:rPr>
          <w:rFonts w:ascii="Arial" w:eastAsia="Arial" w:hAnsi="Arial" w:cs="Arial"/>
          <w:color w:val="000000"/>
          <w:sz w:val="22"/>
          <w:szCs w:val="22"/>
        </w:rPr>
        <w:t xml:space="preserve">Mr. Anastasios Margaronis may be deemed to beneficially own </w:t>
      </w:r>
      <w:r w:rsidR="00BE0A06">
        <w:rPr>
          <w:rFonts w:ascii="Arial" w:eastAsia="Arial" w:hAnsi="Arial" w:cs="Arial"/>
          <w:color w:val="000000"/>
          <w:sz w:val="22"/>
          <w:szCs w:val="22"/>
        </w:rPr>
        <w:t xml:space="preserve">8.0% of our outstanding common stock through </w:t>
      </w:r>
      <w:r w:rsidRPr="003850AA">
        <w:rPr>
          <w:rFonts w:ascii="Arial" w:eastAsia="Arial" w:hAnsi="Arial" w:cs="Arial"/>
          <w:color w:val="000000"/>
          <w:sz w:val="22"/>
          <w:szCs w:val="22"/>
        </w:rPr>
        <w:t xml:space="preserve">Anamar Investments Inc. and </w:t>
      </w:r>
      <w:r>
        <w:rPr>
          <w:rFonts w:ascii="Arial" w:eastAsia="Arial" w:hAnsi="Arial" w:cs="Arial"/>
          <w:color w:val="000000"/>
          <w:sz w:val="22"/>
          <w:szCs w:val="22"/>
        </w:rPr>
        <w:t>ESX</w:t>
      </w:r>
      <w:r w:rsidRPr="003850AA">
        <w:rPr>
          <w:rFonts w:ascii="Arial" w:eastAsia="Arial" w:hAnsi="Arial" w:cs="Arial"/>
          <w:color w:val="000000"/>
          <w:sz w:val="22"/>
          <w:szCs w:val="22"/>
        </w:rPr>
        <w:t xml:space="preserve"> Investments Inc. as the result of his </w:t>
      </w:r>
      <w:r>
        <w:rPr>
          <w:rFonts w:ascii="Arial" w:eastAsia="Arial" w:hAnsi="Arial" w:cs="Arial"/>
          <w:color w:val="000000"/>
          <w:sz w:val="22"/>
          <w:szCs w:val="22"/>
        </w:rPr>
        <w:t>a</w:t>
      </w:r>
      <w:r w:rsidRPr="003850AA">
        <w:rPr>
          <w:rFonts w:ascii="Arial" w:eastAsia="Arial" w:hAnsi="Arial" w:cs="Arial"/>
          <w:color w:val="000000"/>
          <w:sz w:val="22"/>
          <w:szCs w:val="22"/>
        </w:rPr>
        <w:t>bility to control the vote and disposition of such entities.</w:t>
      </w:r>
      <w:r>
        <w:rPr>
          <w:rFonts w:ascii="Arial" w:eastAsia="Arial" w:hAnsi="Arial" w:cs="Arial"/>
          <w:color w:val="000000"/>
          <w:sz w:val="22"/>
          <w:szCs w:val="22"/>
        </w:rPr>
        <w:t xml:space="preserve"> These shares include </w:t>
      </w:r>
      <w:r w:rsidR="00BE1C84">
        <w:rPr>
          <w:rFonts w:ascii="Arial" w:eastAsia="Arial" w:hAnsi="Arial" w:cs="Arial"/>
          <w:color w:val="000000"/>
          <w:sz w:val="22"/>
          <w:szCs w:val="22"/>
        </w:rPr>
        <w:t>3,014,529</w:t>
      </w:r>
      <w:r>
        <w:rPr>
          <w:rFonts w:ascii="Arial" w:eastAsia="Arial" w:hAnsi="Arial" w:cs="Arial"/>
          <w:color w:val="000000"/>
          <w:sz w:val="22"/>
          <w:szCs w:val="22"/>
        </w:rPr>
        <w:t xml:space="preserve"> shares of common stock issuable to Anastasios Margaronis upon exercise of 1,792,</w:t>
      </w:r>
      <w:r w:rsidR="0062480E">
        <w:rPr>
          <w:rFonts w:ascii="Arial" w:eastAsia="Arial" w:hAnsi="Arial" w:cs="Arial"/>
          <w:color w:val="000000"/>
          <w:sz w:val="22"/>
          <w:szCs w:val="22"/>
        </w:rPr>
        <w:t>794</w:t>
      </w:r>
      <w:r>
        <w:rPr>
          <w:rFonts w:ascii="Arial" w:eastAsia="Arial" w:hAnsi="Arial" w:cs="Arial"/>
          <w:color w:val="000000"/>
          <w:sz w:val="22"/>
          <w:szCs w:val="22"/>
        </w:rPr>
        <w:t xml:space="preserve"> warrants</w:t>
      </w:r>
      <w:r w:rsidRPr="00C0086E">
        <w:rPr>
          <w:rFonts w:ascii="Arial" w:eastAsia="Arial" w:hAnsi="Arial" w:cs="Arial"/>
          <w:color w:val="000000"/>
          <w:sz w:val="22"/>
          <w:szCs w:val="22"/>
        </w:rPr>
        <w:t xml:space="preserve"> </w:t>
      </w:r>
      <w:r>
        <w:rPr>
          <w:rFonts w:ascii="Arial" w:eastAsia="Arial" w:hAnsi="Arial" w:cs="Arial"/>
          <w:color w:val="000000"/>
          <w:sz w:val="22"/>
          <w:szCs w:val="22"/>
        </w:rPr>
        <w:t xml:space="preserve">distributed on December 14, 2023. </w:t>
      </w:r>
    </w:p>
    <w:p w14:paraId="71F3EA0F" w14:textId="77777777" w:rsidR="00F52809" w:rsidRDefault="00F52809" w:rsidP="00F52809">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color w:val="000000"/>
          <w:sz w:val="22"/>
          <w:szCs w:val="22"/>
          <w:bdr w:val="nil"/>
        </w:rPr>
      </w:pPr>
    </w:p>
    <w:p w14:paraId="71F3EA10" w14:textId="77777777" w:rsidR="00B22D2E" w:rsidRDefault="003A4815" w:rsidP="00B22D2E">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color w:val="000000"/>
          <w:sz w:val="22"/>
          <w:szCs w:val="22"/>
          <w:bdr w:val="nil"/>
        </w:rPr>
      </w:pPr>
      <w:r w:rsidRPr="003850AA">
        <w:rPr>
          <w:rFonts w:ascii="Arial" w:eastAsia="Arial" w:hAnsi="Arial" w:cs="Arial"/>
          <w:iCs/>
          <w:color w:val="000000"/>
          <w:sz w:val="22"/>
          <w:szCs w:val="22"/>
        </w:rPr>
        <w:t>(</w:t>
      </w:r>
      <w:r>
        <w:rPr>
          <w:rFonts w:ascii="Arial" w:eastAsia="Arial" w:hAnsi="Arial" w:cs="Arial"/>
          <w:iCs/>
          <w:color w:val="000000"/>
          <w:sz w:val="22"/>
          <w:szCs w:val="22"/>
        </w:rPr>
        <w:t>3</w:t>
      </w:r>
      <w:r w:rsidRPr="003850AA">
        <w:rPr>
          <w:rFonts w:ascii="Arial" w:eastAsia="Arial" w:hAnsi="Arial" w:cs="Arial"/>
          <w:iCs/>
          <w:color w:val="000000"/>
          <w:sz w:val="22"/>
          <w:szCs w:val="22"/>
        </w:rPr>
        <w:t>)</w:t>
      </w:r>
      <w:r w:rsidRPr="003850AA">
        <w:rPr>
          <w:rFonts w:ascii="Arial" w:eastAsia="Arial" w:hAnsi="Arial" w:cs="Arial"/>
          <w:iCs/>
          <w:color w:val="000000"/>
          <w:sz w:val="22"/>
          <w:szCs w:val="22"/>
        </w:rPr>
        <w:tab/>
      </w:r>
      <w:r w:rsidRPr="003850AA">
        <w:rPr>
          <w:rFonts w:ascii="Arial" w:eastAsia="Arial" w:hAnsi="Arial" w:cs="Arial"/>
          <w:color w:val="000000"/>
          <w:sz w:val="22"/>
          <w:szCs w:val="22"/>
        </w:rPr>
        <w:t>Mr. </w:t>
      </w:r>
      <w:r>
        <w:rPr>
          <w:rFonts w:ascii="Arial" w:eastAsia="Arial" w:hAnsi="Arial" w:cs="Arial"/>
          <w:color w:val="000000"/>
          <w:sz w:val="22"/>
          <w:szCs w:val="22"/>
        </w:rPr>
        <w:t>S</w:t>
      </w:r>
      <w:r w:rsidR="008F0B2B">
        <w:rPr>
          <w:rFonts w:ascii="Arial" w:eastAsia="Arial" w:hAnsi="Arial" w:cs="Arial"/>
          <w:color w:val="000000"/>
          <w:sz w:val="22"/>
          <w:szCs w:val="22"/>
        </w:rPr>
        <w:t>i</w:t>
      </w:r>
      <w:r>
        <w:rPr>
          <w:rFonts w:ascii="Arial" w:eastAsia="Arial" w:hAnsi="Arial" w:cs="Arial"/>
          <w:color w:val="000000"/>
          <w:sz w:val="22"/>
          <w:szCs w:val="22"/>
        </w:rPr>
        <w:t>meon Palios</w:t>
      </w:r>
      <w:r w:rsidRPr="003850AA">
        <w:rPr>
          <w:rFonts w:ascii="Arial" w:eastAsia="Arial" w:hAnsi="Arial" w:cs="Arial"/>
          <w:color w:val="000000"/>
          <w:sz w:val="22"/>
          <w:szCs w:val="22"/>
        </w:rPr>
        <w:t xml:space="preserve"> may be deemed to beneficially own</w:t>
      </w:r>
      <w:r w:rsidR="00BE0A06">
        <w:rPr>
          <w:rFonts w:ascii="Arial" w:eastAsia="Arial" w:hAnsi="Arial" w:cs="Arial"/>
          <w:color w:val="000000"/>
          <w:sz w:val="22"/>
          <w:szCs w:val="22"/>
        </w:rPr>
        <w:t xml:space="preserve"> 5.7% of our outstanding common stock</w:t>
      </w:r>
      <w:r w:rsidR="00BE0A06" w:rsidRPr="003850AA">
        <w:rPr>
          <w:rFonts w:ascii="Arial" w:eastAsia="Arial" w:hAnsi="Arial" w:cs="Arial"/>
          <w:color w:val="000000"/>
          <w:sz w:val="22"/>
          <w:szCs w:val="22"/>
        </w:rPr>
        <w:t xml:space="preserve"> </w:t>
      </w:r>
      <w:r w:rsidR="00BE0A06">
        <w:rPr>
          <w:rFonts w:ascii="Arial" w:eastAsia="Arial" w:hAnsi="Arial" w:cs="Arial"/>
          <w:color w:val="000000"/>
          <w:sz w:val="22"/>
          <w:szCs w:val="22"/>
        </w:rPr>
        <w:t>through</w:t>
      </w:r>
      <w:r w:rsidR="005E1C8B">
        <w:rPr>
          <w:rFonts w:ascii="Arial" w:eastAsia="Arial" w:hAnsi="Arial" w:cs="Arial"/>
          <w:color w:val="000000"/>
          <w:sz w:val="22"/>
          <w:szCs w:val="22"/>
        </w:rPr>
        <w:t xml:space="preserve"> Taracan Investments S.A and </w:t>
      </w:r>
      <w:r w:rsidR="00BE0A06">
        <w:rPr>
          <w:rFonts w:ascii="Arial" w:eastAsia="Arial" w:hAnsi="Arial" w:cs="Arial"/>
          <w:color w:val="000000"/>
          <w:sz w:val="22"/>
          <w:szCs w:val="22"/>
        </w:rPr>
        <w:t xml:space="preserve">Limon Compania Financiera S.A. </w:t>
      </w:r>
      <w:r w:rsidRPr="003850AA">
        <w:rPr>
          <w:rFonts w:ascii="Arial" w:eastAsia="Arial" w:hAnsi="Arial" w:cs="Arial"/>
          <w:color w:val="000000"/>
          <w:sz w:val="22"/>
          <w:szCs w:val="22"/>
        </w:rPr>
        <w:t xml:space="preserve">as the result of his </w:t>
      </w:r>
      <w:r>
        <w:rPr>
          <w:rFonts w:ascii="Arial" w:eastAsia="Arial" w:hAnsi="Arial" w:cs="Arial"/>
          <w:color w:val="000000"/>
          <w:sz w:val="22"/>
          <w:szCs w:val="22"/>
        </w:rPr>
        <w:t>a</w:t>
      </w:r>
      <w:r w:rsidRPr="003850AA">
        <w:rPr>
          <w:rFonts w:ascii="Arial" w:eastAsia="Arial" w:hAnsi="Arial" w:cs="Arial"/>
          <w:color w:val="000000"/>
          <w:sz w:val="22"/>
          <w:szCs w:val="22"/>
        </w:rPr>
        <w:t>bility to control the vote and disposition of such entities.</w:t>
      </w:r>
      <w:r>
        <w:rPr>
          <w:rFonts w:ascii="Arial" w:eastAsia="Arial" w:hAnsi="Arial" w:cs="Arial"/>
          <w:color w:val="000000"/>
          <w:sz w:val="22"/>
          <w:szCs w:val="22"/>
        </w:rPr>
        <w:t xml:space="preserve"> These shares include </w:t>
      </w:r>
      <w:r w:rsidR="00BE1C84">
        <w:rPr>
          <w:rFonts w:ascii="Arial" w:eastAsia="Arial" w:hAnsi="Arial" w:cs="Arial"/>
          <w:color w:val="000000"/>
          <w:sz w:val="22"/>
          <w:szCs w:val="22"/>
        </w:rPr>
        <w:t>1,189,537</w:t>
      </w:r>
      <w:r>
        <w:rPr>
          <w:rFonts w:ascii="Arial" w:eastAsia="Arial" w:hAnsi="Arial" w:cs="Arial"/>
          <w:color w:val="000000"/>
          <w:sz w:val="22"/>
          <w:szCs w:val="22"/>
        </w:rPr>
        <w:t xml:space="preserve"> shares of common stock issuable to </w:t>
      </w:r>
      <w:r w:rsidR="00BE0A06">
        <w:rPr>
          <w:rFonts w:ascii="Arial" w:eastAsia="Arial" w:hAnsi="Arial" w:cs="Arial"/>
          <w:color w:val="000000"/>
          <w:sz w:val="22"/>
          <w:szCs w:val="22"/>
        </w:rPr>
        <w:t>Symeon Palios</w:t>
      </w:r>
      <w:r>
        <w:rPr>
          <w:rFonts w:ascii="Arial" w:eastAsia="Arial" w:hAnsi="Arial" w:cs="Arial"/>
          <w:color w:val="000000"/>
          <w:sz w:val="22"/>
          <w:szCs w:val="22"/>
        </w:rPr>
        <w:t xml:space="preserve"> upon exercise of </w:t>
      </w:r>
      <w:r w:rsidR="00BE0A06">
        <w:rPr>
          <w:rFonts w:ascii="Arial" w:eastAsia="Arial" w:hAnsi="Arial" w:cs="Arial"/>
          <w:color w:val="000000"/>
          <w:sz w:val="22"/>
          <w:szCs w:val="22"/>
        </w:rPr>
        <w:t>707,439</w:t>
      </w:r>
      <w:r>
        <w:rPr>
          <w:rFonts w:ascii="Arial" w:eastAsia="Arial" w:hAnsi="Arial" w:cs="Arial"/>
          <w:color w:val="000000"/>
          <w:sz w:val="22"/>
          <w:szCs w:val="22"/>
        </w:rPr>
        <w:t xml:space="preserve"> warrants</w:t>
      </w:r>
      <w:r w:rsidRPr="00C0086E">
        <w:rPr>
          <w:rFonts w:ascii="Arial" w:eastAsia="Arial" w:hAnsi="Arial" w:cs="Arial"/>
          <w:color w:val="000000"/>
          <w:sz w:val="22"/>
          <w:szCs w:val="22"/>
        </w:rPr>
        <w:t xml:space="preserve"> </w:t>
      </w:r>
      <w:r>
        <w:rPr>
          <w:rFonts w:ascii="Arial" w:eastAsia="Arial" w:hAnsi="Arial" w:cs="Arial"/>
          <w:color w:val="000000"/>
          <w:sz w:val="22"/>
          <w:szCs w:val="22"/>
        </w:rPr>
        <w:t xml:space="preserve">distributed on December 14, 2023. </w:t>
      </w:r>
    </w:p>
    <w:p w14:paraId="71F3EA11" w14:textId="77777777" w:rsidR="00B22D2E" w:rsidRDefault="00B22D2E" w:rsidP="00F52809">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iCs/>
          <w:color w:val="000000"/>
          <w:sz w:val="22"/>
          <w:szCs w:val="22"/>
          <w:bdr w:val="nil"/>
        </w:rPr>
      </w:pPr>
    </w:p>
    <w:p w14:paraId="71F3EA12" w14:textId="77777777" w:rsidR="00F52809" w:rsidRDefault="003A4815" w:rsidP="00F52809">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color w:val="000000"/>
          <w:sz w:val="22"/>
          <w:szCs w:val="22"/>
          <w:bdr w:val="nil"/>
        </w:rPr>
      </w:pPr>
      <w:r w:rsidRPr="003850AA">
        <w:rPr>
          <w:rFonts w:ascii="Arial" w:eastAsia="Arial" w:hAnsi="Arial" w:cs="Arial"/>
          <w:iCs/>
          <w:color w:val="000000"/>
          <w:sz w:val="22"/>
          <w:szCs w:val="22"/>
        </w:rPr>
        <w:t>(</w:t>
      </w:r>
      <w:r w:rsidR="00B22D2E">
        <w:rPr>
          <w:rFonts w:ascii="Arial" w:eastAsia="Arial" w:hAnsi="Arial" w:cs="Arial"/>
          <w:iCs/>
          <w:color w:val="000000"/>
          <w:sz w:val="22"/>
          <w:szCs w:val="22"/>
        </w:rPr>
        <w:t>4</w:t>
      </w:r>
      <w:r w:rsidRPr="003850AA">
        <w:rPr>
          <w:rFonts w:ascii="Arial" w:eastAsia="Arial" w:hAnsi="Arial" w:cs="Arial"/>
          <w:iCs/>
          <w:color w:val="000000"/>
          <w:sz w:val="22"/>
          <w:szCs w:val="22"/>
        </w:rPr>
        <w:t>)</w:t>
      </w:r>
      <w:r w:rsidRPr="003850AA">
        <w:rPr>
          <w:rFonts w:ascii="Arial" w:eastAsia="Arial" w:hAnsi="Arial" w:cs="Arial"/>
          <w:iCs/>
          <w:color w:val="000000"/>
          <w:sz w:val="22"/>
          <w:szCs w:val="22"/>
        </w:rPr>
        <w:tab/>
      </w:r>
      <w:r w:rsidRPr="003850AA">
        <w:rPr>
          <w:rFonts w:ascii="Arial" w:eastAsia="Arial" w:hAnsi="Arial" w:cs="Arial"/>
          <w:color w:val="000000"/>
          <w:sz w:val="22"/>
          <w:szCs w:val="22"/>
        </w:rPr>
        <w:t>This information is derived from a Schedule 13</w:t>
      </w:r>
      <w:r w:rsidR="00EC283D">
        <w:rPr>
          <w:rFonts w:ascii="Arial" w:eastAsia="Arial" w:hAnsi="Arial" w:cs="Arial"/>
          <w:color w:val="000000"/>
          <w:sz w:val="22"/>
          <w:szCs w:val="22"/>
        </w:rPr>
        <w:t>D</w:t>
      </w:r>
      <w:r>
        <w:rPr>
          <w:rFonts w:ascii="Arial" w:eastAsia="Arial" w:hAnsi="Arial" w:cs="Arial"/>
          <w:color w:val="000000"/>
          <w:sz w:val="22"/>
          <w:szCs w:val="22"/>
        </w:rPr>
        <w:t xml:space="preserve"> </w:t>
      </w:r>
      <w:r w:rsidRPr="003850AA">
        <w:rPr>
          <w:rFonts w:ascii="Arial" w:eastAsia="Arial" w:hAnsi="Arial" w:cs="Arial"/>
          <w:color w:val="000000"/>
          <w:sz w:val="22"/>
          <w:szCs w:val="22"/>
        </w:rPr>
        <w:t xml:space="preserve">filed with the SEC on </w:t>
      </w:r>
      <w:r w:rsidR="00EC283D">
        <w:rPr>
          <w:rFonts w:ascii="Arial" w:eastAsia="Arial" w:hAnsi="Arial" w:cs="Arial"/>
          <w:color w:val="000000"/>
          <w:sz w:val="22"/>
          <w:szCs w:val="22"/>
        </w:rPr>
        <w:t>June</w:t>
      </w:r>
      <w:r w:rsidRPr="003850AA">
        <w:rPr>
          <w:rFonts w:ascii="Arial" w:eastAsia="Arial" w:hAnsi="Arial" w:cs="Arial"/>
          <w:color w:val="000000"/>
          <w:sz w:val="22"/>
          <w:szCs w:val="22"/>
        </w:rPr>
        <w:t xml:space="preserve"> 1</w:t>
      </w:r>
      <w:r w:rsidR="00EC283D">
        <w:rPr>
          <w:rFonts w:ascii="Arial" w:eastAsia="Arial" w:hAnsi="Arial" w:cs="Arial"/>
          <w:color w:val="000000"/>
          <w:sz w:val="22"/>
          <w:szCs w:val="22"/>
        </w:rPr>
        <w:t>2</w:t>
      </w:r>
      <w:r w:rsidRPr="003850AA">
        <w:rPr>
          <w:rFonts w:ascii="Arial" w:eastAsia="Arial" w:hAnsi="Arial" w:cs="Arial"/>
          <w:color w:val="000000"/>
          <w:sz w:val="22"/>
          <w:szCs w:val="22"/>
        </w:rPr>
        <w:t>, 202</w:t>
      </w:r>
      <w:r w:rsidR="00EC283D">
        <w:rPr>
          <w:rFonts w:ascii="Arial" w:eastAsia="Arial" w:hAnsi="Arial" w:cs="Arial"/>
          <w:color w:val="000000"/>
          <w:sz w:val="22"/>
          <w:szCs w:val="22"/>
        </w:rPr>
        <w:t>5</w:t>
      </w:r>
      <w:r w:rsidRPr="003850AA">
        <w:rPr>
          <w:rFonts w:ascii="Arial" w:eastAsia="Arial" w:hAnsi="Arial" w:cs="Arial"/>
          <w:color w:val="000000"/>
          <w:sz w:val="22"/>
          <w:szCs w:val="22"/>
        </w:rPr>
        <w:t>, adjusting the percentage figure based on the common shares issued and outstanding as of the date of this report.</w:t>
      </w:r>
      <w:r>
        <w:rPr>
          <w:rFonts w:ascii="Arial" w:eastAsia="Arial" w:hAnsi="Arial" w:cs="Arial"/>
          <w:color w:val="000000"/>
          <w:sz w:val="22"/>
          <w:szCs w:val="22"/>
        </w:rPr>
        <w:t xml:space="preserve"> </w:t>
      </w:r>
    </w:p>
    <w:p w14:paraId="71F3EA13" w14:textId="77777777" w:rsidR="00B15AF7" w:rsidRPr="00B15AF7" w:rsidRDefault="00B15AF7" w:rsidP="003850AA">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iCs/>
          <w:color w:val="000000"/>
          <w:sz w:val="22"/>
          <w:szCs w:val="22"/>
          <w:bdr w:val="nil"/>
        </w:rPr>
      </w:pPr>
    </w:p>
    <w:p w14:paraId="71F3EA14" w14:textId="77777777" w:rsidR="00B15AF7" w:rsidRPr="00B15AF7" w:rsidRDefault="003A4815" w:rsidP="00B15AF7">
      <w:pPr>
        <w:pStyle w:val="Normal460"/>
        <w:pBdr>
          <w:top w:val="nil"/>
          <w:left w:val="nil"/>
          <w:bottom w:val="nil"/>
          <w:right w:val="nil"/>
          <w:between w:val="nil"/>
          <w:bar w:val="nil"/>
        </w:pBdr>
        <w:tabs>
          <w:tab w:val="left" w:pos="1080"/>
        </w:tabs>
        <w:autoSpaceDE w:val="0"/>
        <w:autoSpaceDN w:val="0"/>
        <w:ind w:left="1077" w:hanging="720"/>
        <w:jc w:val="both"/>
        <w:rPr>
          <w:rFonts w:ascii="Arial" w:eastAsia="Arial" w:hAnsi="Arial" w:cs="Arial"/>
          <w:iCs/>
          <w:color w:val="000000"/>
          <w:sz w:val="22"/>
          <w:szCs w:val="22"/>
          <w:bdr w:val="nil"/>
        </w:rPr>
      </w:pPr>
      <w:r w:rsidRPr="003850AA">
        <w:rPr>
          <w:rFonts w:ascii="Arial" w:eastAsia="Arial" w:hAnsi="Arial" w:cs="Arial"/>
          <w:iCs/>
          <w:color w:val="000000"/>
          <w:sz w:val="22"/>
          <w:szCs w:val="22"/>
        </w:rPr>
        <w:t>(</w:t>
      </w:r>
      <w:r w:rsidR="00EC283D">
        <w:rPr>
          <w:rFonts w:ascii="Arial" w:eastAsia="Arial" w:hAnsi="Arial" w:cs="Arial"/>
          <w:iCs/>
          <w:color w:val="000000"/>
          <w:sz w:val="22"/>
          <w:szCs w:val="22"/>
        </w:rPr>
        <w:t>4</w:t>
      </w:r>
      <w:r w:rsidRPr="003850AA">
        <w:rPr>
          <w:rFonts w:ascii="Arial" w:eastAsia="Arial" w:hAnsi="Arial" w:cs="Arial"/>
          <w:iCs/>
          <w:color w:val="000000"/>
          <w:sz w:val="22"/>
          <w:szCs w:val="22"/>
        </w:rPr>
        <w:t>)</w:t>
      </w:r>
      <w:r w:rsidRPr="003850AA">
        <w:rPr>
          <w:rFonts w:ascii="Arial" w:eastAsia="Arial" w:hAnsi="Arial" w:cs="Arial"/>
          <w:iCs/>
          <w:color w:val="000000"/>
          <w:sz w:val="22"/>
          <w:szCs w:val="22"/>
        </w:rPr>
        <w:tab/>
      </w:r>
      <w:r w:rsidRPr="00B15AF7">
        <w:rPr>
          <w:rFonts w:ascii="Arial" w:eastAsia="Arial" w:hAnsi="Arial" w:cs="Arial"/>
          <w:iCs/>
          <w:color w:val="000000"/>
          <w:sz w:val="22"/>
          <w:szCs w:val="22"/>
        </w:rPr>
        <w:t xml:space="preserve">Mr. Ioannis Zafirakis may be deemed to beneficially own </w:t>
      </w:r>
      <w:r>
        <w:rPr>
          <w:rFonts w:ascii="Arial" w:eastAsia="Arial" w:hAnsi="Arial" w:cs="Arial"/>
          <w:iCs/>
          <w:color w:val="000000"/>
          <w:sz w:val="22"/>
          <w:szCs w:val="22"/>
        </w:rPr>
        <w:t>4,934,878</w:t>
      </w:r>
      <w:r w:rsidRPr="00B15AF7">
        <w:rPr>
          <w:rFonts w:ascii="Arial" w:eastAsia="Arial" w:hAnsi="Arial" w:cs="Arial"/>
          <w:iCs/>
          <w:color w:val="000000"/>
          <w:sz w:val="22"/>
          <w:szCs w:val="22"/>
        </w:rPr>
        <w:t xml:space="preserve"> shares, or </w:t>
      </w:r>
      <w:r>
        <w:rPr>
          <w:rFonts w:ascii="Arial" w:eastAsia="Arial" w:hAnsi="Arial" w:cs="Arial"/>
          <w:iCs/>
          <w:color w:val="000000"/>
          <w:sz w:val="22"/>
          <w:szCs w:val="22"/>
        </w:rPr>
        <w:t>3.9%</w:t>
      </w:r>
      <w:r w:rsidRPr="00B15AF7">
        <w:rPr>
          <w:rFonts w:ascii="Arial" w:eastAsia="Arial" w:hAnsi="Arial" w:cs="Arial"/>
          <w:iCs/>
          <w:color w:val="000000"/>
          <w:sz w:val="22"/>
          <w:szCs w:val="22"/>
        </w:rPr>
        <w:t xml:space="preserve"> of our outstanding common stock, beneficially owned through Abra Marinvest Inc</w:t>
      </w:r>
      <w:r w:rsidR="00F06780">
        <w:rPr>
          <w:rFonts w:ascii="Arial" w:eastAsia="Arial" w:hAnsi="Arial" w:cs="Arial"/>
          <w:iCs/>
          <w:color w:val="000000"/>
          <w:sz w:val="22"/>
          <w:szCs w:val="22"/>
        </w:rPr>
        <w:t xml:space="preserve">. </w:t>
      </w:r>
      <w:r w:rsidR="00F06780">
        <w:rPr>
          <w:rFonts w:ascii="Arial" w:eastAsia="Arial" w:hAnsi="Arial" w:cs="Arial"/>
          <w:color w:val="000000"/>
          <w:sz w:val="22"/>
          <w:szCs w:val="22"/>
        </w:rPr>
        <w:t>The shares include shares of common stock issuable upon exercise of his warrants</w:t>
      </w:r>
      <w:r w:rsidR="00F06780">
        <w:rPr>
          <w:rFonts w:ascii="Arial" w:eastAsia="Arial" w:hAnsi="Arial" w:cs="Arial"/>
          <w:iCs/>
          <w:color w:val="000000"/>
          <w:sz w:val="22"/>
          <w:szCs w:val="22"/>
        </w:rPr>
        <w:t>.</w:t>
      </w:r>
      <w:r>
        <w:rPr>
          <w:rFonts w:ascii="Arial" w:eastAsia="Arial" w:hAnsi="Arial" w:cs="Arial"/>
          <w:iCs/>
          <w:color w:val="000000"/>
          <w:sz w:val="22"/>
          <w:szCs w:val="22"/>
        </w:rPr>
        <w:t xml:space="preserve"> </w:t>
      </w:r>
      <w:r w:rsidRPr="00B15AF7">
        <w:rPr>
          <w:rFonts w:ascii="Arial" w:eastAsia="Arial" w:hAnsi="Arial" w:cs="Arial"/>
          <w:iCs/>
          <w:color w:val="000000"/>
          <w:sz w:val="22"/>
          <w:szCs w:val="22"/>
        </w:rPr>
        <w:t xml:space="preserve">Mr. </w:t>
      </w:r>
      <w:r>
        <w:rPr>
          <w:rFonts w:ascii="Arial" w:eastAsia="Arial" w:hAnsi="Arial" w:cs="Arial"/>
          <w:iCs/>
          <w:color w:val="000000"/>
          <w:sz w:val="22"/>
          <w:szCs w:val="22"/>
        </w:rPr>
        <w:t>Eleftherios</w:t>
      </w:r>
      <w:r w:rsidRPr="00B15AF7">
        <w:rPr>
          <w:rFonts w:ascii="Arial" w:eastAsia="Arial" w:hAnsi="Arial" w:cs="Arial"/>
          <w:iCs/>
          <w:color w:val="000000"/>
          <w:sz w:val="22"/>
          <w:szCs w:val="22"/>
        </w:rPr>
        <w:t xml:space="preserve"> </w:t>
      </w:r>
      <w:r>
        <w:rPr>
          <w:rFonts w:ascii="Arial" w:eastAsia="Arial" w:hAnsi="Arial" w:cs="Arial"/>
          <w:iCs/>
          <w:color w:val="000000"/>
          <w:sz w:val="22"/>
          <w:szCs w:val="22"/>
        </w:rPr>
        <w:t>Papatrifon</w:t>
      </w:r>
      <w:r w:rsidRPr="00B15AF7">
        <w:rPr>
          <w:rFonts w:ascii="Arial" w:eastAsia="Arial" w:hAnsi="Arial" w:cs="Arial"/>
          <w:iCs/>
          <w:color w:val="000000"/>
          <w:sz w:val="22"/>
          <w:szCs w:val="22"/>
        </w:rPr>
        <w:t xml:space="preserve"> may be deemed to beneficially own </w:t>
      </w:r>
      <w:r>
        <w:rPr>
          <w:rFonts w:ascii="Arial" w:eastAsia="Arial" w:hAnsi="Arial" w:cs="Arial"/>
          <w:iCs/>
          <w:color w:val="000000"/>
          <w:sz w:val="22"/>
          <w:szCs w:val="22"/>
        </w:rPr>
        <w:t>1,800,772</w:t>
      </w:r>
      <w:r w:rsidRPr="00B15AF7">
        <w:rPr>
          <w:rFonts w:ascii="Arial" w:eastAsia="Arial" w:hAnsi="Arial" w:cs="Arial"/>
          <w:iCs/>
          <w:color w:val="000000"/>
          <w:sz w:val="22"/>
          <w:szCs w:val="22"/>
        </w:rPr>
        <w:t xml:space="preserve"> shares, or </w:t>
      </w:r>
      <w:r>
        <w:rPr>
          <w:rFonts w:ascii="Arial" w:eastAsia="Arial" w:hAnsi="Arial" w:cs="Arial"/>
          <w:iCs/>
          <w:color w:val="000000"/>
          <w:sz w:val="22"/>
          <w:szCs w:val="22"/>
        </w:rPr>
        <w:t>1.5%</w:t>
      </w:r>
      <w:r w:rsidRPr="00B15AF7">
        <w:rPr>
          <w:rFonts w:ascii="Arial" w:eastAsia="Arial" w:hAnsi="Arial" w:cs="Arial"/>
          <w:iCs/>
          <w:color w:val="000000"/>
          <w:sz w:val="22"/>
          <w:szCs w:val="22"/>
        </w:rPr>
        <w:t xml:space="preserve"> of our outstanding common stock</w:t>
      </w:r>
      <w:r w:rsidR="00F06780">
        <w:rPr>
          <w:rFonts w:ascii="Arial" w:eastAsia="Arial" w:hAnsi="Arial" w:cs="Arial"/>
          <w:iCs/>
          <w:color w:val="000000"/>
          <w:sz w:val="22"/>
          <w:szCs w:val="22"/>
        </w:rPr>
        <w:t xml:space="preserve">. </w:t>
      </w:r>
      <w:r w:rsidR="00F06780">
        <w:rPr>
          <w:rFonts w:ascii="Arial" w:eastAsia="Arial" w:hAnsi="Arial" w:cs="Arial"/>
          <w:color w:val="000000"/>
          <w:sz w:val="22"/>
          <w:szCs w:val="22"/>
        </w:rPr>
        <w:t>The shares include shares of common stock issuable upon exercise of his warrants</w:t>
      </w:r>
      <w:r w:rsidR="00F06780">
        <w:rPr>
          <w:rFonts w:ascii="Arial" w:eastAsia="Arial" w:hAnsi="Arial" w:cs="Arial"/>
          <w:iCs/>
          <w:color w:val="000000"/>
          <w:sz w:val="22"/>
          <w:szCs w:val="22"/>
        </w:rPr>
        <w:t xml:space="preserve">. </w:t>
      </w:r>
      <w:r w:rsidR="00BE0A06">
        <w:rPr>
          <w:rFonts w:ascii="Arial" w:eastAsia="Arial" w:hAnsi="Arial" w:cs="Arial"/>
          <w:iCs/>
          <w:color w:val="000000"/>
          <w:sz w:val="22"/>
          <w:szCs w:val="22"/>
        </w:rPr>
        <w:t xml:space="preserve"> Mr. Apostolos Kontoyannis </w:t>
      </w:r>
      <w:r w:rsidR="00BE0A06" w:rsidRPr="00B15AF7">
        <w:rPr>
          <w:rFonts w:ascii="Arial" w:eastAsia="Arial" w:hAnsi="Arial" w:cs="Arial"/>
          <w:iCs/>
          <w:color w:val="000000"/>
          <w:sz w:val="22"/>
          <w:szCs w:val="22"/>
        </w:rPr>
        <w:t xml:space="preserve">may be deemed to beneficially own </w:t>
      </w:r>
      <w:r w:rsidR="00BE0A06">
        <w:rPr>
          <w:rFonts w:ascii="Arial" w:eastAsia="Arial" w:hAnsi="Arial" w:cs="Arial"/>
          <w:iCs/>
          <w:color w:val="000000"/>
          <w:sz w:val="22"/>
          <w:szCs w:val="22"/>
        </w:rPr>
        <w:t>1,314,941</w:t>
      </w:r>
      <w:r w:rsidR="00BE0A06" w:rsidRPr="00B15AF7">
        <w:rPr>
          <w:rFonts w:ascii="Arial" w:eastAsia="Arial" w:hAnsi="Arial" w:cs="Arial"/>
          <w:iCs/>
          <w:color w:val="000000"/>
          <w:sz w:val="22"/>
          <w:szCs w:val="22"/>
        </w:rPr>
        <w:t xml:space="preserve"> shares, or </w:t>
      </w:r>
      <w:r w:rsidR="00BE0A06">
        <w:rPr>
          <w:rFonts w:ascii="Arial" w:eastAsia="Arial" w:hAnsi="Arial" w:cs="Arial"/>
          <w:iCs/>
          <w:color w:val="000000"/>
          <w:sz w:val="22"/>
          <w:szCs w:val="22"/>
        </w:rPr>
        <w:t>1.1%</w:t>
      </w:r>
      <w:r w:rsidR="00BE0A06" w:rsidRPr="00B15AF7">
        <w:rPr>
          <w:rFonts w:ascii="Arial" w:eastAsia="Arial" w:hAnsi="Arial" w:cs="Arial"/>
          <w:iCs/>
          <w:color w:val="000000"/>
          <w:sz w:val="22"/>
          <w:szCs w:val="22"/>
        </w:rPr>
        <w:t xml:space="preserve"> of our outstanding common stock</w:t>
      </w:r>
      <w:r>
        <w:rPr>
          <w:rFonts w:ascii="Arial" w:eastAsia="Arial" w:hAnsi="Arial" w:cs="Arial"/>
          <w:iCs/>
          <w:color w:val="000000"/>
          <w:sz w:val="22"/>
          <w:szCs w:val="22"/>
        </w:rPr>
        <w:t xml:space="preserve">. </w:t>
      </w:r>
      <w:r w:rsidRPr="00B15AF7">
        <w:rPr>
          <w:rFonts w:ascii="Arial" w:eastAsia="Arial" w:hAnsi="Arial" w:cs="Arial"/>
          <w:iCs/>
          <w:color w:val="000000"/>
          <w:sz w:val="22"/>
          <w:szCs w:val="22"/>
        </w:rPr>
        <w:t xml:space="preserve">All other officers and directors each own less than 1% of our outstanding common stock. </w:t>
      </w:r>
    </w:p>
    <w:p w14:paraId="71F3EA15" w14:textId="77777777" w:rsidR="00EA3DC7" w:rsidRPr="003850AA" w:rsidRDefault="00EA3DC7" w:rsidP="003850AA">
      <w:pPr>
        <w:pBdr>
          <w:top w:val="nil"/>
          <w:left w:val="nil"/>
          <w:bottom w:val="nil"/>
          <w:right w:val="nil"/>
          <w:between w:val="nil"/>
          <w:bar w:val="nil"/>
        </w:pBdr>
        <w:tabs>
          <w:tab w:val="left" w:pos="3180"/>
        </w:tabs>
        <w:rPr>
          <w:rFonts w:ascii="Arial" w:eastAsia="Arial" w:hAnsi="Arial" w:cs="Arial"/>
          <w:color w:val="000000"/>
          <w:bdr w:val="nil"/>
          <w:lang w:val="en-US"/>
        </w:rPr>
      </w:pPr>
    </w:p>
    <w:p w14:paraId="71F3EA16" w14:textId="77777777" w:rsidR="008057FA" w:rsidRPr="003850AA" w:rsidRDefault="003A4815" w:rsidP="003850AA">
      <w:pPr>
        <w:pStyle w:val="Char111"/>
        <w:pBdr>
          <w:top w:val="nil"/>
          <w:left w:val="nil"/>
          <w:bottom w:val="nil"/>
          <w:right w:val="nil"/>
          <w:between w:val="nil"/>
          <w:bar w:val="nil"/>
        </w:pBdr>
        <w:spacing w:before="0" w:after="0"/>
        <w:rPr>
          <w:rFonts w:ascii="Arial" w:eastAsia="Arial" w:hAnsi="Arial" w:cs="Arial"/>
          <w:szCs w:val="22"/>
          <w:bdr w:val="nil"/>
        </w:rPr>
      </w:pPr>
      <w:r w:rsidRPr="003850AA">
        <w:rPr>
          <w:rFonts w:ascii="Arial" w:eastAsia="Arial" w:hAnsi="Arial" w:cs="Arial"/>
          <w:szCs w:val="22"/>
        </w:rPr>
        <w:t xml:space="preserve">As of </w:t>
      </w:r>
      <w:r>
        <w:rPr>
          <w:rFonts w:ascii="Arial" w:eastAsia="Arial" w:hAnsi="Arial" w:cs="Arial"/>
          <w:szCs w:val="22"/>
        </w:rPr>
        <w:t>March 12, 2026</w:t>
      </w:r>
      <w:r w:rsidR="003A3087" w:rsidRPr="003850AA">
        <w:rPr>
          <w:rFonts w:ascii="Arial" w:eastAsia="Arial" w:hAnsi="Arial" w:cs="Arial"/>
          <w:szCs w:val="22"/>
        </w:rPr>
        <w:t xml:space="preserve">, </w:t>
      </w:r>
      <w:r w:rsidRPr="003850AA">
        <w:rPr>
          <w:rFonts w:ascii="Arial" w:eastAsia="Arial" w:hAnsi="Arial" w:cs="Arial"/>
          <w:szCs w:val="22"/>
        </w:rPr>
        <w:t xml:space="preserve">we had </w:t>
      </w:r>
      <w:r>
        <w:rPr>
          <w:rFonts w:ascii="Arial" w:eastAsia="Arial" w:hAnsi="Arial" w:cs="Arial"/>
          <w:szCs w:val="22"/>
        </w:rPr>
        <w:t>79</w:t>
      </w:r>
      <w:r w:rsidR="003A3087" w:rsidRPr="003850AA">
        <w:rPr>
          <w:rFonts w:ascii="Arial" w:eastAsia="Arial" w:hAnsi="Arial" w:cs="Arial"/>
          <w:szCs w:val="22"/>
        </w:rPr>
        <w:t xml:space="preserve"> </w:t>
      </w:r>
      <w:r w:rsidRPr="003850AA">
        <w:rPr>
          <w:rFonts w:ascii="Arial" w:eastAsia="Arial" w:hAnsi="Arial" w:cs="Arial"/>
          <w:szCs w:val="22"/>
        </w:rPr>
        <w:t xml:space="preserve">shareholders of record, </w:t>
      </w:r>
      <w:r>
        <w:rPr>
          <w:rFonts w:ascii="Arial" w:eastAsia="Arial" w:hAnsi="Arial" w:cs="Arial"/>
          <w:szCs w:val="22"/>
        </w:rPr>
        <w:t>65</w:t>
      </w:r>
      <w:r w:rsidRPr="003850AA">
        <w:rPr>
          <w:rFonts w:ascii="Arial" w:eastAsia="Arial" w:hAnsi="Arial" w:cs="Arial"/>
          <w:szCs w:val="22"/>
        </w:rPr>
        <w:t xml:space="preserve"> of which were located in the United States and held an aggregate of </w:t>
      </w:r>
      <w:r>
        <w:rPr>
          <w:rFonts w:ascii="Arial" w:eastAsia="Arial" w:hAnsi="Arial" w:cs="Arial"/>
          <w:szCs w:val="22"/>
        </w:rPr>
        <w:t>103,357,639</w:t>
      </w:r>
      <w:r w:rsidRPr="003850AA">
        <w:rPr>
          <w:rFonts w:ascii="Arial" w:eastAsia="Arial" w:hAnsi="Arial" w:cs="Arial"/>
          <w:szCs w:val="22"/>
        </w:rPr>
        <w:t xml:space="preserve"> of our common shares, representing </w:t>
      </w:r>
      <w:r>
        <w:rPr>
          <w:rFonts w:ascii="Arial" w:eastAsia="Arial" w:hAnsi="Arial" w:cs="Arial"/>
          <w:szCs w:val="22"/>
        </w:rPr>
        <w:t>82.3%</w:t>
      </w:r>
      <w:r w:rsidRPr="003850AA">
        <w:rPr>
          <w:rFonts w:ascii="Arial" w:eastAsia="Arial" w:hAnsi="Arial" w:cs="Arial"/>
          <w:szCs w:val="22"/>
        </w:rPr>
        <w:t xml:space="preserve"> of our outstanding common shares. However, one of the U.S. shareholders of record is CEDE &amp; CO., a nominee of The Depository Trust Company, which held</w:t>
      </w:r>
      <w:r>
        <w:rPr>
          <w:rFonts w:ascii="Arial" w:eastAsia="Arial" w:hAnsi="Arial" w:cs="Arial"/>
          <w:szCs w:val="22"/>
        </w:rPr>
        <w:t xml:space="preserve"> 101,864,543</w:t>
      </w:r>
      <w:r w:rsidRPr="003850AA">
        <w:rPr>
          <w:rFonts w:ascii="Arial" w:eastAsia="Arial" w:hAnsi="Arial" w:cs="Arial"/>
          <w:szCs w:val="22"/>
        </w:rPr>
        <w:t xml:space="preserve"> of our common shares as of that date. Accordingly, we believe that the shares held by CEDE &amp; CO. include common shares beneficially owned by both holders in the United States and non-U.S. beneficial owners. We are not aware of any arrangements, the operation of which may at a subsequent date result in our change of control.</w:t>
      </w:r>
    </w:p>
    <w:p w14:paraId="71F3EA17" w14:textId="77777777" w:rsidR="00A10201" w:rsidRPr="003850AA" w:rsidRDefault="00A10201" w:rsidP="003850AA">
      <w:pPr>
        <w:pStyle w:val="Char111"/>
        <w:pBdr>
          <w:top w:val="nil"/>
          <w:left w:val="nil"/>
          <w:bottom w:val="nil"/>
          <w:right w:val="nil"/>
          <w:between w:val="nil"/>
          <w:bar w:val="nil"/>
        </w:pBdr>
        <w:spacing w:before="0" w:after="0"/>
        <w:rPr>
          <w:rFonts w:ascii="Arial" w:eastAsia="Arial" w:hAnsi="Arial" w:cs="Arial"/>
          <w:szCs w:val="22"/>
          <w:bdr w:val="nil"/>
        </w:rPr>
      </w:pPr>
    </w:p>
    <w:p w14:paraId="71F3EA18" w14:textId="77777777" w:rsidR="00A10201" w:rsidRPr="003850AA" w:rsidRDefault="003A4815" w:rsidP="003850AA">
      <w:pPr>
        <w:pStyle w:val="Char111"/>
        <w:pBdr>
          <w:top w:val="nil"/>
          <w:left w:val="nil"/>
          <w:bottom w:val="nil"/>
          <w:right w:val="nil"/>
          <w:between w:val="nil"/>
          <w:bar w:val="nil"/>
        </w:pBdr>
        <w:spacing w:before="0" w:after="0"/>
        <w:rPr>
          <w:rFonts w:ascii="Arial" w:eastAsia="Arial" w:hAnsi="Arial" w:cs="Arial"/>
          <w:szCs w:val="22"/>
          <w:bdr w:val="nil"/>
        </w:rPr>
      </w:pPr>
      <w:r w:rsidRPr="003850AA">
        <w:rPr>
          <w:rFonts w:ascii="Arial" w:eastAsia="Arial" w:hAnsi="Arial" w:cs="Arial"/>
          <w:szCs w:val="22"/>
        </w:rPr>
        <w:t>Holders of the Series B Preferred Shares generally have no voting rights except (1) in respect of amendments to the Articles of Incorporation which would adversely alter the preferences, powers or rights of the Series B Preferred Shares or (2) in the event that we propose to issue any parity stock if the cumulative dividends payable on outstanding Preferred Stock are in arrears or any senior stock.  However, if and whenever dividends payable on the Series B Preferred Shares are in arrears for six or more quarterly periods, whether or not consecutive, holders of Series B Preferred Shares (voting together as a class with all other classes or series of parity stock upon which like voting rights have been conferred and are exercisable) will be entitled to elect one additional director to serve on our board of directors until such time as all accumulated and unpaid dividends on the Series B Preferred Shares have been paid in full.</w:t>
      </w:r>
    </w:p>
    <w:p w14:paraId="71F3EA19"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1A" w14:textId="77777777" w:rsidR="00A22A92" w:rsidRPr="00333EEF" w:rsidRDefault="003A4815" w:rsidP="00333EEF">
      <w:pPr>
        <w:pStyle w:val="Heading2"/>
        <w:keepLines/>
        <w:pBdr>
          <w:top w:val="nil"/>
          <w:left w:val="nil"/>
          <w:bottom w:val="nil"/>
          <w:right w:val="nil"/>
          <w:between w:val="nil"/>
          <w:bar w:val="nil"/>
        </w:pBdr>
        <w:ind w:left="714"/>
        <w:rPr>
          <w:rFonts w:ascii="Arial" w:eastAsia="Arial" w:hAnsi="Arial" w:cs="Arial"/>
          <w:color w:val="auto"/>
          <w:szCs w:val="24"/>
          <w:bdr w:val="nil"/>
          <w:lang w:eastAsia="el-GR" w:bidi="en-US"/>
        </w:rPr>
      </w:pPr>
      <w:bookmarkStart w:id="202" w:name="RG_MARKER_23077"/>
      <w:r w:rsidRPr="00333EEF">
        <w:rPr>
          <w:rFonts w:ascii="Arial" w:eastAsia="Arial" w:hAnsi="Arial" w:cs="Arial"/>
          <w:color w:val="auto"/>
          <w:szCs w:val="24"/>
          <w:lang w:eastAsia="el-GR" w:bidi="en-US"/>
        </w:rPr>
        <w:t>B.</w:t>
      </w:r>
      <w:bookmarkEnd w:id="202"/>
      <w:r w:rsidRPr="00333EEF">
        <w:rPr>
          <w:rFonts w:ascii="Arial" w:eastAsia="Arial" w:hAnsi="Arial" w:cs="Arial"/>
          <w:color w:val="auto"/>
          <w:szCs w:val="24"/>
          <w:lang w:eastAsia="el-GR" w:bidi="en-US"/>
        </w:rPr>
        <w:tab/>
        <w:t>Related Party Transactions</w:t>
      </w:r>
    </w:p>
    <w:p w14:paraId="71F3EA1B" w14:textId="77777777" w:rsidR="00A22A92" w:rsidRPr="00333EEF" w:rsidRDefault="00A22A92" w:rsidP="00333EEF">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1C" w14:textId="77777777" w:rsidR="00C61CCD" w:rsidRPr="00333EEF" w:rsidRDefault="003A4815" w:rsidP="00333EEF">
      <w:pPr>
        <w:keepNext/>
        <w:keepLines/>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r w:rsidRPr="00333EEF">
        <w:rPr>
          <w:rFonts w:ascii="Arial" w:eastAsia="Arial" w:hAnsi="Arial" w:cs="Arial"/>
          <w:b/>
          <w:color w:val="000000"/>
          <w:lang w:val="en-US" w:eastAsia="el-GR" w:bidi="en-US"/>
        </w:rPr>
        <w:t>OceanPal Inc.</w:t>
      </w:r>
      <w:r w:rsidR="00B831AA" w:rsidRPr="00333EEF">
        <w:rPr>
          <w:rFonts w:ascii="Arial" w:eastAsia="Arial" w:hAnsi="Arial" w:cs="Arial"/>
          <w:b/>
          <w:color w:val="000000"/>
          <w:lang w:val="en-US" w:eastAsia="el-GR" w:bidi="en-US"/>
        </w:rPr>
        <w:t>, or OceanPal</w:t>
      </w:r>
    </w:p>
    <w:p w14:paraId="71F3EA1D" w14:textId="77777777" w:rsidR="00C61CCD" w:rsidRPr="00333EEF" w:rsidRDefault="00C61CCD" w:rsidP="00333EEF">
      <w:pPr>
        <w:keepNext/>
        <w:keepLines/>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p>
    <w:p w14:paraId="71F3EA1E" w14:textId="77777777" w:rsidR="006D126A" w:rsidRDefault="003A4815" w:rsidP="00333EEF">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dr w:val="none" w:sz="0" w:space="0" w:color="auto" w:frame="1"/>
          <w:lang w:val="en-US" w:bidi="en-US"/>
        </w:rPr>
        <w:t>We</w:t>
      </w:r>
      <w:r w:rsidR="00DF4F49" w:rsidRPr="00333EEF">
        <w:rPr>
          <w:rFonts w:ascii="Arial" w:eastAsia="Arial" w:hAnsi="Arial" w:cs="Arial"/>
          <w:bdr w:val="none" w:sz="0" w:space="0" w:color="auto" w:frame="1"/>
          <w:lang w:val="en-US" w:bidi="en-US"/>
        </w:rPr>
        <w:t xml:space="preserve"> </w:t>
      </w:r>
      <w:r w:rsidR="003165BA" w:rsidRPr="00333EEF">
        <w:rPr>
          <w:rFonts w:ascii="Arial" w:eastAsia="Arial" w:hAnsi="Arial" w:cs="Arial"/>
          <w:bdr w:val="none" w:sz="0" w:space="0" w:color="auto" w:frame="1"/>
          <w:lang w:val="en-US" w:bidi="en-US"/>
        </w:rPr>
        <w:t>own</w:t>
      </w:r>
      <w:r w:rsidR="00DF4F49" w:rsidRPr="00333EEF">
        <w:rPr>
          <w:rFonts w:ascii="Arial" w:eastAsia="Arial" w:hAnsi="Arial" w:cs="Arial"/>
          <w:bdr w:val="none" w:sz="0" w:space="0" w:color="auto" w:frame="1"/>
          <w:lang w:val="en-US" w:bidi="en-US"/>
        </w:rPr>
        <w:t xml:space="preserve"> </w:t>
      </w:r>
      <w:r w:rsidR="003B257C">
        <w:rPr>
          <w:rFonts w:ascii="Arial" w:eastAsia="Arial" w:hAnsi="Arial" w:cs="Arial"/>
          <w:szCs w:val="24"/>
          <w:lang w:val="en-US" w:bidi="en-US"/>
        </w:rPr>
        <w:t>207 shares of</w:t>
      </w:r>
      <w:r w:rsidR="00DF4F49" w:rsidRPr="00333EEF">
        <w:rPr>
          <w:rFonts w:ascii="Arial" w:eastAsia="Arial" w:hAnsi="Arial" w:cs="Arial"/>
          <w:bdr w:val="none" w:sz="0" w:space="0" w:color="auto" w:frame="1"/>
          <w:lang w:val="en-US" w:bidi="en-US"/>
        </w:rPr>
        <w:t xml:space="preserve"> OceanPal’s Series C Convertible Preferred Shares</w:t>
      </w:r>
      <w:r w:rsidR="003B257C">
        <w:rPr>
          <w:rFonts w:ascii="Arial" w:eastAsia="Arial" w:hAnsi="Arial" w:cs="Arial"/>
          <w:bdr w:val="none" w:sz="0" w:space="0" w:color="auto" w:frame="1"/>
          <w:lang w:val="en-US" w:bidi="en-US"/>
        </w:rPr>
        <w:t xml:space="preserve"> </w:t>
      </w:r>
      <w:r w:rsidR="00F01462" w:rsidRPr="00F01462">
        <w:rPr>
          <w:rFonts w:ascii="Arial" w:eastAsia="Arial" w:hAnsi="Arial" w:cs="Arial"/>
          <w:szCs w:val="24"/>
          <w:lang w:val="en-US" w:bidi="en-US"/>
        </w:rPr>
        <w:t xml:space="preserve">and </w:t>
      </w:r>
      <w:r w:rsidR="00E70B13">
        <w:rPr>
          <w:rFonts w:ascii="Arial" w:eastAsia="Arial" w:hAnsi="Arial" w:cs="Arial"/>
          <w:szCs w:val="24"/>
          <w:lang w:val="en-US" w:bidi="en-US"/>
        </w:rPr>
        <w:t>145,978</w:t>
      </w:r>
      <w:r w:rsidR="00F01462" w:rsidRPr="00F01462">
        <w:rPr>
          <w:rFonts w:ascii="Arial" w:eastAsia="Arial" w:hAnsi="Arial" w:cs="Arial"/>
          <w:szCs w:val="24"/>
          <w:lang w:val="en-US" w:bidi="en-US"/>
        </w:rPr>
        <w:t xml:space="preserve"> common shares</w:t>
      </w:r>
      <w:r w:rsidR="00DF4F49" w:rsidRPr="00333EEF">
        <w:rPr>
          <w:rFonts w:ascii="Arial" w:eastAsia="Arial" w:hAnsi="Arial" w:cs="Arial"/>
          <w:bdr w:val="none" w:sz="0" w:space="0" w:color="auto" w:frame="1"/>
          <w:lang w:val="en-US" w:bidi="en-US"/>
        </w:rPr>
        <w:t>.</w:t>
      </w:r>
      <w:r w:rsidR="003165BA" w:rsidRPr="00333EEF">
        <w:rPr>
          <w:rFonts w:ascii="Arial" w:eastAsia="Arial" w:hAnsi="Arial" w:cs="Arial"/>
          <w:bdr w:val="none" w:sz="0" w:space="0" w:color="auto" w:frame="1"/>
          <w:lang w:val="en-US" w:bidi="en-US"/>
        </w:rPr>
        <w:t xml:space="preserve"> </w:t>
      </w:r>
      <w:r w:rsidR="00E70B13" w:rsidRPr="00E70B13">
        <w:rPr>
          <w:rFonts w:ascii="Arial" w:eastAsia="Arial" w:hAnsi="Arial" w:cs="Arial"/>
          <w:bdr w:val="none" w:sz="0" w:space="0" w:color="auto" w:frame="1"/>
          <w:lang w:val="en-US" w:bidi="en-US"/>
        </w:rPr>
        <w:t xml:space="preserve">On October 28, 2025, the Company sold its 500,000 Series B Preferred Shares for cash consideration of </w:t>
      </w:r>
      <w:r w:rsidR="00E70B13" w:rsidRPr="00884A66">
        <w:rPr>
          <w:rFonts w:ascii="Arial" w:eastAsia="Arial" w:hAnsi="Arial" w:cs="Arial"/>
          <w:bdr w:val="none" w:sz="0" w:space="0" w:color="auto" w:frame="1"/>
          <w:lang w:val="en-US" w:bidi="en-US"/>
        </w:rPr>
        <w:t>$3.0 million.</w:t>
      </w:r>
      <w:r w:rsidR="00EC2B2C" w:rsidRPr="00884A66">
        <w:rPr>
          <w:rFonts w:ascii="Arial" w:eastAsia="Arial" w:hAnsi="Arial" w:cs="Arial"/>
          <w:bdr w:val="none" w:sz="0" w:space="0" w:color="auto" w:frame="1"/>
          <w:lang w:val="en-US" w:bidi="en-US"/>
        </w:rPr>
        <w:t xml:space="preserve"> to purchasers in connection with a PIPE offering by and between OceanPal and certain purchase</w:t>
      </w:r>
      <w:r w:rsidR="00884A66">
        <w:rPr>
          <w:rFonts w:ascii="Arial" w:eastAsia="Arial" w:hAnsi="Arial" w:cs="Arial"/>
          <w:bdr w:val="none" w:sz="0" w:space="0" w:color="auto" w:frame="1"/>
          <w:lang w:val="en-US" w:bidi="en-US"/>
        </w:rPr>
        <w:t>r</w:t>
      </w:r>
      <w:r w:rsidR="00EC2B2C" w:rsidRPr="00884A66">
        <w:rPr>
          <w:rFonts w:ascii="Arial" w:eastAsia="Arial" w:hAnsi="Arial" w:cs="Arial"/>
          <w:bdr w:val="none" w:sz="0" w:space="0" w:color="auto" w:frame="1"/>
          <w:lang w:val="en-US" w:bidi="en-US"/>
        </w:rPr>
        <w:t>s.</w:t>
      </w:r>
    </w:p>
    <w:p w14:paraId="71F3EA1F" w14:textId="77777777" w:rsidR="00B831AA" w:rsidRPr="00333EEF" w:rsidRDefault="00B831AA" w:rsidP="00333EEF">
      <w:pPr>
        <w:pBdr>
          <w:top w:val="nil"/>
          <w:left w:val="nil"/>
          <w:bottom w:val="nil"/>
          <w:right w:val="nil"/>
          <w:between w:val="nil"/>
          <w:bar w:val="nil"/>
        </w:pBdr>
        <w:jc w:val="both"/>
        <w:rPr>
          <w:rFonts w:ascii="Arial" w:eastAsia="Arial" w:hAnsi="Arial" w:cs="Arial"/>
          <w:bdr w:val="nil"/>
          <w:lang w:val="en-US"/>
        </w:rPr>
      </w:pPr>
    </w:p>
    <w:p w14:paraId="71F3EA20" w14:textId="77777777" w:rsidR="00811142" w:rsidRPr="00333EEF" w:rsidRDefault="003A4815" w:rsidP="00333EEF">
      <w:pPr>
        <w:pBdr>
          <w:top w:val="nil"/>
          <w:left w:val="nil"/>
          <w:bottom w:val="nil"/>
          <w:right w:val="nil"/>
          <w:between w:val="nil"/>
          <w:bar w:val="nil"/>
        </w:pBdr>
        <w:autoSpaceDE w:val="0"/>
        <w:autoSpaceDN w:val="0"/>
        <w:adjustRightInd w:val="0"/>
        <w:jc w:val="both"/>
        <w:rPr>
          <w:rFonts w:ascii="Arial" w:eastAsia="Arial" w:hAnsi="Arial" w:cs="Arial"/>
          <w:bdr w:val="nil"/>
          <w:lang w:val="en-GB"/>
        </w:rPr>
      </w:pPr>
      <w:r w:rsidRPr="00333EEF">
        <w:rPr>
          <w:rFonts w:ascii="Arial" w:eastAsia="Arial" w:hAnsi="Arial" w:cs="Arial"/>
          <w:lang w:val="en-US" w:bidi="en-US"/>
        </w:rPr>
        <w:t xml:space="preserve">Series C Preferred Shares do not have voting rights </w:t>
      </w:r>
      <w:r w:rsidR="00F01462" w:rsidRPr="00333EEF">
        <w:rPr>
          <w:rFonts w:ascii="Arial" w:eastAsia="Arial" w:hAnsi="Arial" w:cs="Arial"/>
          <w:lang w:val="en-US" w:bidi="en-US"/>
        </w:rPr>
        <w:t>unless they are</w:t>
      </w:r>
      <w:r w:rsidRPr="00333EEF">
        <w:rPr>
          <w:rFonts w:ascii="Arial" w:eastAsia="Arial" w:hAnsi="Arial" w:cs="Arial"/>
          <w:lang w:val="en-US" w:bidi="en-US"/>
        </w:rPr>
        <w:t xml:space="preserve"> related to amendments of the Articles of Incorporation that adversely alter the preference, powers or rights of the Series C Preferred Shares or to issue Parity Stock or create or issue Senior Stock. Series C Preferred Shares </w:t>
      </w:r>
      <w:r w:rsidR="00F01462">
        <w:rPr>
          <w:rFonts w:ascii="Arial" w:eastAsia="Arial" w:hAnsi="Arial" w:cs="Arial"/>
          <w:lang w:val="en-US" w:bidi="en-US"/>
        </w:rPr>
        <w:t xml:space="preserve">are </w:t>
      </w:r>
      <w:r w:rsidRPr="00333EEF">
        <w:rPr>
          <w:rFonts w:ascii="Arial" w:eastAsia="Arial" w:hAnsi="Arial" w:cs="Arial"/>
          <w:lang w:val="en-US" w:bidi="en-US"/>
        </w:rPr>
        <w:t xml:space="preserve">convertible into common stock at the Company’s option, at a conversion price equal to the </w:t>
      </w:r>
      <w:bookmarkStart w:id="203" w:name="_Hlk128757662"/>
      <w:r w:rsidRPr="00333EEF">
        <w:rPr>
          <w:rFonts w:ascii="Arial" w:eastAsia="Arial" w:hAnsi="Arial" w:cs="Arial"/>
          <w:lang w:val="en-US" w:bidi="en-US"/>
        </w:rPr>
        <w:t>lesser of $6.5 and the 10-trading day trailing VWAP of OceanPal’s common shares, subject to adjustments.</w:t>
      </w:r>
      <w:bookmarkEnd w:id="203"/>
      <w:r w:rsidRPr="00333EEF">
        <w:rPr>
          <w:rFonts w:ascii="Arial" w:eastAsia="Arial" w:hAnsi="Arial" w:cs="Arial"/>
          <w:lang w:val="en-US" w:bidi="en-US"/>
        </w:rPr>
        <w:t xml:space="preserve"> Additionally, Series C Preferred Shares have a cumulative preferred dividend accruing at the rate of 8% per annum, payable in cash or, at OceanPal’s election, in kind and has a liquidation preference equal to the stated value of $1,000</w:t>
      </w:r>
      <w:r w:rsidR="007E20AF">
        <w:rPr>
          <w:rFonts w:ascii="Arial" w:eastAsia="Arial" w:hAnsi="Arial" w:cs="Arial"/>
          <w:lang w:val="en-US" w:bidi="en-US"/>
        </w:rPr>
        <w:t xml:space="preserve"> per share</w:t>
      </w:r>
      <w:r w:rsidRPr="00333EEF">
        <w:rPr>
          <w:rFonts w:ascii="Arial" w:eastAsia="Arial" w:hAnsi="Arial" w:cs="Arial"/>
          <w:lang w:val="en-US" w:bidi="en-US"/>
        </w:rPr>
        <w:t>.</w:t>
      </w:r>
      <w:r w:rsidR="00A12AD5" w:rsidRPr="00333EEF">
        <w:rPr>
          <w:rFonts w:ascii="Arial" w:eastAsia="Arial" w:hAnsi="Arial" w:cs="Arial"/>
          <w:lang w:val="en-US" w:bidi="en-US"/>
        </w:rPr>
        <w:t xml:space="preserve"> </w:t>
      </w:r>
      <w:r w:rsidRPr="00333EEF">
        <w:rPr>
          <w:rFonts w:ascii="Arial" w:eastAsia="Arial" w:hAnsi="Arial" w:cs="Arial"/>
          <w:lang w:val="en-GB" w:bidi="en-US"/>
        </w:rPr>
        <w:t xml:space="preserve">Dividend income from the OceanPal preferred shares during </w:t>
      </w:r>
      <w:r w:rsidR="0052476E">
        <w:rPr>
          <w:rFonts w:ascii="Arial" w:eastAsia="Arial" w:hAnsi="Arial" w:cs="Arial"/>
          <w:lang w:val="en-GB" w:bidi="en-US"/>
        </w:rPr>
        <w:t>2025</w:t>
      </w:r>
      <w:r w:rsidRPr="00333EEF">
        <w:rPr>
          <w:rFonts w:ascii="Arial" w:eastAsia="Arial" w:hAnsi="Arial" w:cs="Arial"/>
          <w:lang w:val="en-GB" w:bidi="en-US"/>
        </w:rPr>
        <w:t xml:space="preserve"> amounted to $</w:t>
      </w:r>
      <w:r w:rsidR="0052476E">
        <w:rPr>
          <w:rFonts w:ascii="Arial" w:eastAsia="Arial" w:hAnsi="Arial" w:cs="Arial"/>
          <w:lang w:val="en-GB" w:bidi="en-US"/>
        </w:rPr>
        <w:t>16,560</w:t>
      </w:r>
      <w:r w:rsidRPr="00333EEF">
        <w:rPr>
          <w:rFonts w:ascii="Arial" w:eastAsia="Arial" w:hAnsi="Arial" w:cs="Arial"/>
          <w:lang w:val="en-GB" w:bidi="en-US"/>
        </w:rPr>
        <w:t>.</w:t>
      </w:r>
    </w:p>
    <w:p w14:paraId="71F3EA21" w14:textId="77777777" w:rsidR="003D6F5A" w:rsidRPr="00333EEF" w:rsidRDefault="003D6F5A" w:rsidP="00333EEF">
      <w:pPr>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p>
    <w:p w14:paraId="71F3EA22" w14:textId="77777777" w:rsidR="00F95505" w:rsidRPr="00333EEF" w:rsidRDefault="003A4815" w:rsidP="00333EEF">
      <w:pPr>
        <w:keepNext/>
        <w:keepLines/>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r w:rsidRPr="00333EEF">
        <w:rPr>
          <w:rFonts w:ascii="Arial" w:eastAsia="Arial" w:hAnsi="Arial" w:cs="Arial"/>
          <w:b/>
          <w:color w:val="000000"/>
          <w:lang w:val="en-US" w:eastAsia="el-GR" w:bidi="en-US"/>
        </w:rPr>
        <w:t>OceanPal Inc. Non-Competition Agreement</w:t>
      </w:r>
    </w:p>
    <w:p w14:paraId="71F3EA23" w14:textId="77777777" w:rsidR="00F95505" w:rsidRPr="00333EEF" w:rsidRDefault="00F95505" w:rsidP="00333EEF">
      <w:pPr>
        <w:keepNext/>
        <w:keepLines/>
        <w:pBdr>
          <w:top w:val="nil"/>
          <w:left w:val="nil"/>
          <w:bottom w:val="nil"/>
          <w:right w:val="nil"/>
          <w:between w:val="nil"/>
          <w:bar w:val="nil"/>
        </w:pBdr>
        <w:autoSpaceDE w:val="0"/>
        <w:autoSpaceDN w:val="0"/>
        <w:adjustRightInd w:val="0"/>
        <w:rPr>
          <w:rFonts w:ascii="Arial" w:eastAsia="Arial" w:hAnsi="Arial" w:cs="Arial"/>
          <w:bdr w:val="nil"/>
          <w:lang w:val="en-US"/>
        </w:rPr>
      </w:pPr>
    </w:p>
    <w:p w14:paraId="71F3EA24" w14:textId="77777777" w:rsidR="00F95505" w:rsidRPr="00333EEF" w:rsidRDefault="003A4815" w:rsidP="00333EEF">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333EEF">
        <w:rPr>
          <w:rFonts w:ascii="Arial" w:eastAsia="Arial" w:hAnsi="Arial" w:cs="Arial"/>
          <w:lang w:val="en-US" w:bidi="en-US"/>
        </w:rPr>
        <w:t>We have entered into a non-competition agreement with OceanPal Inc. ("OceanPal"), dated November 2, 2021, pursuant to which we granted to OceanPal (i) a right of first refusal over any opportunity available to us (or any of our subsidiaries) to acquire or charter-in any dry bulk vessel that is larger than 70,000 deadweight tons and that was built prior to 2006 and (ii) a right of first refusal over any employment opportunity for a dry bulk vessel pursuant to a spot market charter presented or available to us with respect to any vessel owned or chartered in, directly or indirectly, by us. The non-competition agreement also prohibits us and OceanPal from soliciting each other's employees. The terms of the non-competition agreement provide that it will terminate on the date that (i) our ownership of OceanPal’s equity securities represents less than 10% of total outstanding voting power and (ii) we and OceanPal share no common executive officers.</w:t>
      </w:r>
    </w:p>
    <w:p w14:paraId="71F3EA25" w14:textId="77777777" w:rsidR="00F95505" w:rsidRPr="00333EEF" w:rsidRDefault="00F95505" w:rsidP="00333EEF">
      <w:pPr>
        <w:pBdr>
          <w:top w:val="nil"/>
          <w:left w:val="nil"/>
          <w:bottom w:val="nil"/>
          <w:right w:val="nil"/>
          <w:between w:val="nil"/>
          <w:bar w:val="nil"/>
        </w:pBdr>
        <w:autoSpaceDE w:val="0"/>
        <w:autoSpaceDN w:val="0"/>
        <w:adjustRightInd w:val="0"/>
        <w:rPr>
          <w:rFonts w:ascii="Arial" w:eastAsia="Arial" w:hAnsi="Arial" w:cs="Arial"/>
          <w:bdr w:val="nil"/>
          <w:lang w:val="en-US"/>
        </w:rPr>
      </w:pPr>
    </w:p>
    <w:p w14:paraId="71F3EA26" w14:textId="77777777" w:rsidR="00F95505" w:rsidRPr="00333EEF" w:rsidRDefault="003A4815" w:rsidP="00333EEF">
      <w:pPr>
        <w:keepNext/>
        <w:keepLines/>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r w:rsidRPr="00333EEF">
        <w:rPr>
          <w:rFonts w:ascii="Arial" w:eastAsia="Arial" w:hAnsi="Arial" w:cs="Arial"/>
          <w:b/>
          <w:color w:val="000000"/>
          <w:lang w:val="en-US" w:eastAsia="el-GR" w:bidi="en-US"/>
        </w:rPr>
        <w:t>OceanPal Inc. Right of First Refusal</w:t>
      </w:r>
    </w:p>
    <w:p w14:paraId="71F3EA27" w14:textId="77777777" w:rsidR="00F95505" w:rsidRPr="00333EEF" w:rsidRDefault="00F95505" w:rsidP="00333EEF">
      <w:pPr>
        <w:keepNext/>
        <w:keepLines/>
        <w:pBdr>
          <w:top w:val="nil"/>
          <w:left w:val="nil"/>
          <w:bottom w:val="nil"/>
          <w:right w:val="nil"/>
          <w:between w:val="nil"/>
          <w:bar w:val="nil"/>
        </w:pBdr>
        <w:autoSpaceDE w:val="0"/>
        <w:autoSpaceDN w:val="0"/>
        <w:adjustRightInd w:val="0"/>
        <w:rPr>
          <w:rFonts w:ascii="Arial" w:eastAsia="Arial" w:hAnsi="Arial" w:cs="Arial"/>
          <w:b/>
          <w:color w:val="000000"/>
          <w:bdr w:val="nil"/>
          <w:lang w:val="en-US" w:eastAsia="el-GR"/>
        </w:rPr>
      </w:pPr>
    </w:p>
    <w:p w14:paraId="71F3EA28" w14:textId="77777777" w:rsidR="00F95505" w:rsidRPr="00333EEF" w:rsidRDefault="003A4815" w:rsidP="00333EEF">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333EEF">
        <w:rPr>
          <w:rFonts w:ascii="Arial" w:eastAsia="Arial" w:hAnsi="Arial" w:cs="Arial"/>
          <w:lang w:val="en-US" w:bidi="en-US"/>
        </w:rPr>
        <w:t>On November 2, 2021</w:t>
      </w:r>
      <w:r w:rsidR="00E553F3">
        <w:rPr>
          <w:rFonts w:ascii="Arial" w:eastAsia="Arial" w:hAnsi="Arial" w:cs="Arial"/>
          <w:lang w:val="en-US" w:bidi="en-US"/>
        </w:rPr>
        <w:t>,</w:t>
      </w:r>
      <w:r w:rsidRPr="00333EEF">
        <w:rPr>
          <w:rFonts w:ascii="Arial" w:eastAsia="Arial" w:hAnsi="Arial" w:cs="Arial"/>
          <w:lang w:val="en-US" w:bidi="en-US"/>
        </w:rPr>
        <w:t xml:space="preserve"> we entered into a right of first refusal agreement with OceanPal Inc. pursuant to which we granted OceanPal Inc. a right of first refusal over six drybulk carriers owned by us</w:t>
      </w:r>
      <w:r>
        <w:rPr>
          <w:rFonts w:ascii="Arial" w:eastAsia="Arial" w:hAnsi="Arial" w:cs="Arial"/>
          <w:lang w:val="en-US" w:bidi="en-US"/>
        </w:rPr>
        <w:t>, as of the date of the agreement,</w:t>
      </w:r>
      <w:r w:rsidRPr="00333EEF">
        <w:rPr>
          <w:rFonts w:ascii="Arial" w:eastAsia="Arial" w:hAnsi="Arial" w:cs="Arial"/>
          <w:lang w:val="en-US" w:bidi="en-US"/>
        </w:rPr>
        <w:t xml:space="preserve"> and identified in the agreement. Pursuant to this right of first refusal, OceanPal Inc. has the right, but not the obligation, to purchase one or all of the six identified vessels from us when and if we make a determination to sell one or more of the vessels at a price equal to the fair market value of each vessel at the time of sale, as determined by the average of two independent shipbroker valuations from brokers mutually agreeable to us and OceanPal Inc. If OceanPal Inc. does not exercise its right to purchase a vessel, we have the right to sell the vessel to any third party for a period of three months from the date notified OceanPal Inc. of our intent to sell the vessel. As of the date of the annual report, </w:t>
      </w:r>
      <w:r w:rsidR="004851F6">
        <w:rPr>
          <w:rFonts w:ascii="Arial" w:eastAsia="Arial" w:hAnsi="Arial" w:cs="Arial"/>
          <w:lang w:val="en-US" w:bidi="en-US"/>
        </w:rPr>
        <w:t>only one of the six vessels identified in the agreement remains unsold.</w:t>
      </w:r>
    </w:p>
    <w:p w14:paraId="71F3EA29" w14:textId="77777777" w:rsidR="00F95505" w:rsidRPr="00333EEF" w:rsidRDefault="00F95505" w:rsidP="00333EEF">
      <w:pPr>
        <w:pBdr>
          <w:top w:val="nil"/>
          <w:left w:val="nil"/>
          <w:bottom w:val="nil"/>
          <w:right w:val="nil"/>
          <w:between w:val="nil"/>
          <w:bar w:val="nil"/>
        </w:pBdr>
        <w:autoSpaceDE w:val="0"/>
        <w:autoSpaceDN w:val="0"/>
        <w:adjustRightInd w:val="0"/>
        <w:rPr>
          <w:rFonts w:ascii="Arial" w:eastAsia="Arial" w:hAnsi="Arial" w:cs="Arial"/>
          <w:bdr w:val="nil"/>
          <w:lang w:val="en-US"/>
        </w:rPr>
      </w:pPr>
    </w:p>
    <w:p w14:paraId="71F3EA2A" w14:textId="77777777" w:rsidR="00F95505" w:rsidRPr="00333EEF" w:rsidRDefault="003A4815"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r w:rsidRPr="00333EEF">
        <w:rPr>
          <w:rFonts w:ascii="Arial" w:eastAsia="Arial" w:hAnsi="Arial" w:cs="Arial"/>
          <w:b/>
          <w:lang w:bidi="en-US"/>
        </w:rPr>
        <w:t>Series D Preferred Stock</w:t>
      </w:r>
    </w:p>
    <w:p w14:paraId="71F3EA2B" w14:textId="77777777" w:rsidR="00F95505" w:rsidRPr="00333EEF" w:rsidRDefault="00F95505"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p>
    <w:p w14:paraId="71F3EA2C" w14:textId="77777777" w:rsidR="00F95505" w:rsidRPr="00333EEF" w:rsidRDefault="003A4815" w:rsidP="00333EEF">
      <w:pPr>
        <w:pBdr>
          <w:top w:val="nil"/>
          <w:left w:val="nil"/>
          <w:bottom w:val="nil"/>
          <w:right w:val="nil"/>
          <w:between w:val="nil"/>
          <w:bar w:val="nil"/>
        </w:pBdr>
        <w:autoSpaceDE w:val="0"/>
        <w:autoSpaceDN w:val="0"/>
        <w:adjustRightInd w:val="0"/>
        <w:jc w:val="both"/>
        <w:rPr>
          <w:rFonts w:ascii="Arial" w:eastAsia="Arial" w:hAnsi="Arial" w:cs="Arial"/>
          <w:bdr w:val="nil"/>
          <w:lang w:val="en-US"/>
        </w:rPr>
      </w:pPr>
      <w:r w:rsidRPr="00333EEF">
        <w:rPr>
          <w:rFonts w:ascii="Arial" w:eastAsia="Arial" w:hAnsi="Arial" w:cs="Arial"/>
          <w:lang w:val="en-US" w:bidi="en-US"/>
        </w:rPr>
        <w:t xml:space="preserve">In June 2021, we issued 400 shares of </w:t>
      </w:r>
      <w:r w:rsidR="00761D30">
        <w:rPr>
          <w:rFonts w:ascii="Arial" w:eastAsia="Arial" w:hAnsi="Arial" w:cs="Arial"/>
          <w:lang w:val="en-US" w:bidi="en-US"/>
        </w:rPr>
        <w:t>our</w:t>
      </w:r>
      <w:r w:rsidRPr="00333EEF">
        <w:rPr>
          <w:rFonts w:ascii="Arial" w:eastAsia="Arial" w:hAnsi="Arial" w:cs="Arial"/>
          <w:lang w:val="en-US" w:bidi="en-US"/>
        </w:rPr>
        <w:t xml:space="preserve"> designated Series D Preferred Stock, par value $0.01 per share, to Tuscany Shipping Corp., an entity controlled by </w:t>
      </w:r>
      <w:r w:rsidR="00761D30">
        <w:rPr>
          <w:rFonts w:ascii="Arial" w:eastAsia="Arial" w:hAnsi="Arial" w:cs="Arial"/>
          <w:lang w:val="en-US" w:bidi="en-US"/>
        </w:rPr>
        <w:t>our</w:t>
      </w:r>
      <w:r w:rsidRPr="00333EEF">
        <w:rPr>
          <w:rFonts w:ascii="Arial" w:eastAsia="Arial" w:hAnsi="Arial" w:cs="Arial"/>
          <w:lang w:val="en-US" w:bidi="en-US"/>
        </w:rPr>
        <w:t xml:space="preserve"> Chief Executive Officer, Ms. Semiramis Paliou, for an aggregate purchase price of $360,000. The Series D Preferred Stock has no dividend or liquidation rights. </w:t>
      </w:r>
      <w:r w:rsidR="000B2E6B" w:rsidRPr="000B2E6B">
        <w:rPr>
          <w:rFonts w:ascii="Arial" w:eastAsia="Arial" w:hAnsi="Arial" w:cs="Arial"/>
          <w:lang w:val="en-US" w:bidi="en-US"/>
        </w:rPr>
        <w:t xml:space="preserve"> Each share of Series D Preferred Stock shall entitle the holder thereof to two hundred thousand (200,000) votes on all matters submitted to a vote of the stockholders of the Company, provided however, that, notwithstanding any other provision of </w:t>
      </w:r>
      <w:r>
        <w:rPr>
          <w:rFonts w:ascii="Arial" w:eastAsia="Arial" w:hAnsi="Arial" w:cs="Arial"/>
          <w:szCs w:val="24"/>
          <w:lang w:val="en-US" w:bidi="en-US"/>
        </w:rPr>
        <w:t>Series D Preferred Stock statement of designation</w:t>
      </w:r>
      <w:r w:rsidR="000B2E6B" w:rsidRPr="000B2E6B">
        <w:rPr>
          <w:rFonts w:ascii="Arial" w:eastAsia="Arial" w:hAnsi="Arial" w:cs="Arial"/>
          <w:lang w:val="en-US" w:bidi="en-US"/>
        </w:rPr>
        <w:t>, to the extent that the total number of votes one or more holders of Series D Preferred Stock is entitled to vote (including any voting power of such holders derived from Series D Preferred Stock, shares of Common Stock or any other voting security of the Company issued and outstanding as of the date hereof or that may be issued in the future) on any matter submitted to a vote of stockholders of the Company would exceed 36.0% of the total number of votes eligible to be cast on such matter, the total number of votes that holders of Series D Preferred Stock may exercise derived from the Series D Preferred Stock together with Common Shares and any other voting securities of the Company beneficially owned by such holder, shall be reduced to 36% of the total number of votes that may be cast on such matter submitted to a vote of stockholders.</w:t>
      </w:r>
      <w:r w:rsidRPr="00333EEF">
        <w:rPr>
          <w:rFonts w:ascii="Arial" w:eastAsia="Arial" w:hAnsi="Arial" w:cs="Arial"/>
          <w:lang w:val="en-US" w:bidi="en-US"/>
        </w:rPr>
        <w:t xml:space="preserve"> The Series D Preferred Stock is transferable only to the holder’s immediate family members and to affiliated persons. The issuance of shares of Series D Preferred Stock to Tuscany Shipping Corp. was approved by an independent committee of the Board of Directors of the Company, which received a fairness opinion from an independent third party that the transaction was fair from a financial point of view to the Company.</w:t>
      </w:r>
    </w:p>
    <w:p w14:paraId="71F3EA2D" w14:textId="77777777" w:rsidR="00F95505" w:rsidRPr="00333EEF" w:rsidRDefault="00F95505" w:rsidP="00333EEF">
      <w:pPr>
        <w:pBdr>
          <w:top w:val="nil"/>
          <w:left w:val="nil"/>
          <w:bottom w:val="nil"/>
          <w:right w:val="nil"/>
          <w:between w:val="nil"/>
          <w:bar w:val="nil"/>
        </w:pBdr>
        <w:rPr>
          <w:rFonts w:ascii="Arial" w:eastAsia="Arial" w:hAnsi="Arial" w:cs="Arial"/>
          <w:bdr w:val="nil"/>
          <w:lang w:val="en-US"/>
        </w:rPr>
      </w:pPr>
    </w:p>
    <w:p w14:paraId="71F3EA2E" w14:textId="77777777" w:rsidR="00677C44" w:rsidRPr="00333EEF" w:rsidRDefault="003A4815"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r w:rsidRPr="00333EEF">
        <w:rPr>
          <w:rFonts w:ascii="Arial" w:eastAsia="Arial" w:hAnsi="Arial" w:cs="Arial"/>
          <w:b/>
          <w:lang w:bidi="en-US"/>
        </w:rPr>
        <w:t>Series C Preferred Stock</w:t>
      </w:r>
    </w:p>
    <w:p w14:paraId="71F3EA2F" w14:textId="77777777" w:rsidR="00677C44" w:rsidRPr="00333EEF" w:rsidRDefault="00677C44"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dr w:val="nil"/>
          <w:lang w:bidi="en-US"/>
        </w:rPr>
      </w:pPr>
    </w:p>
    <w:p w14:paraId="71F3EA30" w14:textId="77777777" w:rsidR="00677C44" w:rsidRPr="00333EEF" w:rsidRDefault="003A4815" w:rsidP="00333EEF">
      <w:pPr>
        <w:pStyle w:val="Char1"/>
        <w:pBdr>
          <w:top w:val="nil"/>
          <w:left w:val="nil"/>
          <w:bottom w:val="nil"/>
          <w:right w:val="nil"/>
          <w:between w:val="nil"/>
          <w:bar w:val="nil"/>
        </w:pBdr>
        <w:spacing w:before="0" w:after="0"/>
        <w:rPr>
          <w:rFonts w:ascii="Arial" w:eastAsia="Arial" w:hAnsi="Arial" w:cs="Arial"/>
          <w:bdr w:val="nil"/>
          <w:lang w:bidi="en-US"/>
        </w:rPr>
      </w:pPr>
      <w:r w:rsidRPr="00333EEF">
        <w:rPr>
          <w:rFonts w:ascii="Arial" w:eastAsia="Arial" w:hAnsi="Arial" w:cs="Arial"/>
          <w:lang w:bidi="en-US"/>
        </w:rPr>
        <w:t>In January 2019, we issued 10,675 shares of</w:t>
      </w:r>
      <w:r w:rsidR="00FE5CC1">
        <w:rPr>
          <w:rFonts w:ascii="Arial" w:eastAsia="Arial" w:hAnsi="Arial" w:cs="Arial"/>
          <w:lang w:bidi="en-US"/>
        </w:rPr>
        <w:t xml:space="preserve"> our</w:t>
      </w:r>
      <w:r w:rsidRPr="00333EEF">
        <w:rPr>
          <w:rFonts w:ascii="Arial" w:eastAsia="Arial" w:hAnsi="Arial" w:cs="Arial"/>
          <w:lang w:bidi="en-US"/>
        </w:rPr>
        <w:t xml:space="preserve"> designated Series C Preferred Stock, par value $0.01 per share, to an affiliate of our Chairman, Mr. Simeon Palios</w:t>
      </w:r>
      <w:r w:rsidR="000B2E6B">
        <w:rPr>
          <w:rFonts w:ascii="Arial" w:eastAsia="Arial" w:hAnsi="Arial" w:cs="Arial"/>
          <w:lang w:bidi="en-US"/>
        </w:rPr>
        <w:t xml:space="preserve">. </w:t>
      </w:r>
      <w:r w:rsidR="000B2E6B" w:rsidRPr="00333EEF">
        <w:rPr>
          <w:rFonts w:ascii="Arial" w:eastAsia="Arial" w:hAnsi="Arial" w:cs="Arial"/>
          <w:lang w:bidi="en-US"/>
        </w:rPr>
        <w:t>In September 2020, the Series C Preferred Shares were transferred from an affiliate of Mr. Simeon Palios to an affiliate of the Company’s Chief Executive Officer, Mrs. Semiramis Paliou.</w:t>
      </w:r>
      <w:r w:rsidR="000B2E6B">
        <w:rPr>
          <w:rFonts w:ascii="Arial" w:eastAsia="Arial" w:hAnsi="Arial" w:cs="Arial"/>
          <w:lang w:bidi="en-US"/>
        </w:rPr>
        <w:t xml:space="preserve"> </w:t>
      </w:r>
      <w:r w:rsidRPr="00333EEF">
        <w:rPr>
          <w:rFonts w:ascii="Arial" w:eastAsia="Arial" w:hAnsi="Arial" w:cs="Arial"/>
          <w:lang w:bidi="en-US"/>
        </w:rPr>
        <w:t xml:space="preserve">The Series C Preferred Stock vote with the common shares of the Company, and each share entitles the holder thereof to 1,000 votes on all matters submitted to a vote of the stockholders of the Company. The Series C Preferred Stock has no dividend or liquidation rights and cannot be transferred without the consent of the Company except to the holder’s affiliates and immediate family members. </w:t>
      </w:r>
      <w:r w:rsidRPr="00333EEF">
        <w:rPr>
          <w:rFonts w:ascii="Arial" w:eastAsia="Arial" w:hAnsi="Arial" w:cs="Arial"/>
          <w:shd w:val="clear" w:color="auto" w:fill="FFFFFF"/>
          <w:lang w:bidi="en-US"/>
        </w:rPr>
        <w:t xml:space="preserve">The issuance of shares of Series C </w:t>
      </w:r>
      <w:r w:rsidRPr="00333EEF">
        <w:rPr>
          <w:rFonts w:ascii="Arial" w:eastAsia="Arial" w:hAnsi="Arial" w:cs="Arial"/>
          <w:lang w:bidi="en-US"/>
        </w:rPr>
        <w:t xml:space="preserve">Preferred Stock was approved by an independent committee of the Board of Directors, which received a fairness opinion from an independent third party that the transaction was fair from a financial point of view to the </w:t>
      </w:r>
      <w:r w:rsidR="007A431C">
        <w:rPr>
          <w:rFonts w:ascii="Arial" w:eastAsia="Arial" w:hAnsi="Arial" w:cs="Arial"/>
          <w:lang w:bidi="en-US"/>
        </w:rPr>
        <w:t>Company</w:t>
      </w:r>
      <w:r w:rsidRPr="00333EEF">
        <w:rPr>
          <w:rFonts w:ascii="Arial" w:eastAsia="Arial" w:hAnsi="Arial" w:cs="Arial"/>
          <w:lang w:bidi="en-US"/>
        </w:rPr>
        <w:t>. </w:t>
      </w:r>
    </w:p>
    <w:p w14:paraId="71F3EA31" w14:textId="77777777" w:rsidR="00677C44" w:rsidRPr="00333EEF" w:rsidRDefault="00677C44" w:rsidP="00333EEF">
      <w:pPr>
        <w:pStyle w:val="Char1"/>
        <w:pBdr>
          <w:top w:val="nil"/>
          <w:left w:val="nil"/>
          <w:bottom w:val="nil"/>
          <w:right w:val="nil"/>
          <w:between w:val="nil"/>
          <w:bar w:val="nil"/>
        </w:pBdr>
        <w:spacing w:before="0" w:after="0"/>
        <w:rPr>
          <w:rFonts w:ascii="Arial" w:eastAsia="Arial" w:hAnsi="Arial" w:cs="Arial"/>
          <w:bdr w:val="nil"/>
          <w:lang w:bidi="en-US"/>
        </w:rPr>
      </w:pPr>
    </w:p>
    <w:p w14:paraId="71F3EA32" w14:textId="77777777" w:rsidR="00CD242A" w:rsidRPr="00333EEF" w:rsidRDefault="003A4815"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r w:rsidRPr="00333EEF">
        <w:rPr>
          <w:rFonts w:ascii="Arial" w:eastAsia="Arial" w:hAnsi="Arial" w:cs="Arial"/>
          <w:b/>
          <w:lang w:bidi="en-US"/>
        </w:rPr>
        <w:t>Steamship Shipbroking Enterprises Inc.</w:t>
      </w:r>
    </w:p>
    <w:p w14:paraId="71F3EA33" w14:textId="77777777" w:rsidR="009D5FBE" w:rsidRPr="00333EEF" w:rsidRDefault="009D5FBE"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dr w:val="nil"/>
          <w:lang w:bidi="en-US"/>
        </w:rPr>
      </w:pPr>
    </w:p>
    <w:p w14:paraId="71F3EA34" w14:textId="77777777" w:rsidR="009D5FBE" w:rsidRPr="00333EEF" w:rsidRDefault="003A4815" w:rsidP="00333EEF">
      <w:pPr>
        <w:pStyle w:val="Char1"/>
        <w:pBdr>
          <w:top w:val="nil"/>
          <w:left w:val="nil"/>
          <w:bottom w:val="nil"/>
          <w:right w:val="nil"/>
          <w:between w:val="nil"/>
          <w:bar w:val="nil"/>
        </w:pBdr>
        <w:spacing w:before="0" w:after="0"/>
        <w:rPr>
          <w:rFonts w:ascii="Arial" w:eastAsia="Arial" w:hAnsi="Arial" w:cs="Arial"/>
          <w:bdr w:val="nil"/>
          <w:lang w:bidi="en-US"/>
        </w:rPr>
      </w:pPr>
      <w:r w:rsidRPr="00333EEF">
        <w:rPr>
          <w:rFonts w:ascii="Arial" w:eastAsia="Arial" w:hAnsi="Arial" w:cs="Arial"/>
          <w:lang w:bidi="en-US"/>
        </w:rPr>
        <w:t xml:space="preserve">Steamship, an affiliated entity controlled by </w:t>
      </w:r>
      <w:r>
        <w:rPr>
          <w:rFonts w:ascii="Arial" w:eastAsia="Arial" w:hAnsi="Arial" w:cs="Arial"/>
          <w:szCs w:val="24"/>
          <w:lang w:bidi="en-US"/>
        </w:rPr>
        <w:t>our CEO Ms. Semiramis Paliou</w:t>
      </w:r>
      <w:r w:rsidR="004851F6">
        <w:rPr>
          <w:rFonts w:ascii="Arial" w:eastAsia="Arial" w:hAnsi="Arial" w:cs="Arial"/>
          <w:szCs w:val="24"/>
          <w:lang w:bidi="en-US"/>
        </w:rPr>
        <w:t>,</w:t>
      </w:r>
      <w:r>
        <w:rPr>
          <w:rFonts w:ascii="Arial" w:eastAsia="Arial" w:hAnsi="Arial" w:cs="Arial"/>
          <w:szCs w:val="24"/>
          <w:lang w:bidi="en-US"/>
        </w:rPr>
        <w:t xml:space="preserve"> </w:t>
      </w:r>
      <w:r w:rsidR="00293525" w:rsidRPr="00333EEF">
        <w:rPr>
          <w:rFonts w:ascii="Arial" w:eastAsia="Arial" w:hAnsi="Arial" w:cs="Arial"/>
          <w:lang w:bidi="en-US"/>
        </w:rPr>
        <w:t>provides</w:t>
      </w:r>
      <w:r w:rsidRPr="00333EEF">
        <w:rPr>
          <w:rFonts w:ascii="Arial" w:eastAsia="Arial" w:hAnsi="Arial" w:cs="Arial"/>
          <w:lang w:bidi="en-US"/>
        </w:rPr>
        <w:t xml:space="preserve"> us brokerage services for an annual fee pursuant to a Brokerage Services Agreement. In 2025, </w:t>
      </w:r>
      <w:r w:rsidR="0026306D" w:rsidRPr="0026306D">
        <w:rPr>
          <w:rFonts w:ascii="Arial" w:eastAsia="Arial" w:hAnsi="Arial" w:cs="Arial"/>
          <w:lang w:bidi="en-US"/>
        </w:rPr>
        <w:t xml:space="preserve">brokerage fees, </w:t>
      </w:r>
      <w:r w:rsidRPr="00333EEF">
        <w:rPr>
          <w:rFonts w:ascii="Arial" w:eastAsia="Arial" w:hAnsi="Arial" w:cs="Arial"/>
          <w:lang w:bidi="en-US"/>
        </w:rPr>
        <w:t>amounted to $3.9 million and we paid an additional amount of $</w:t>
      </w:r>
      <w:r>
        <w:rPr>
          <w:rFonts w:ascii="Arial" w:eastAsia="Arial" w:hAnsi="Arial" w:cs="Arial"/>
          <w:lang w:bidi="en-US"/>
        </w:rPr>
        <w:t>0</w:t>
      </w:r>
      <w:r w:rsidRPr="00333EEF">
        <w:rPr>
          <w:rFonts w:ascii="Arial" w:eastAsia="Arial" w:hAnsi="Arial" w:cs="Arial"/>
          <w:lang w:bidi="en-US"/>
        </w:rPr>
        <w:t>.</w:t>
      </w:r>
      <w:r w:rsidR="00B60F58">
        <w:rPr>
          <w:rFonts w:ascii="Arial" w:eastAsia="Arial" w:hAnsi="Arial" w:cs="Arial"/>
          <w:lang w:bidi="en-US"/>
        </w:rPr>
        <w:t>4</w:t>
      </w:r>
      <w:r w:rsidRPr="00333EEF">
        <w:rPr>
          <w:rFonts w:ascii="Arial" w:eastAsia="Arial" w:hAnsi="Arial" w:cs="Arial"/>
          <w:lang w:bidi="en-US"/>
        </w:rPr>
        <w:t xml:space="preserve"> million for commissions on the sale and purchases of vessels. The terms of this relationship are currently governed by a Brokerage Services Agreement dated </w:t>
      </w:r>
      <w:r>
        <w:rPr>
          <w:rFonts w:ascii="Arial" w:eastAsia="Arial" w:hAnsi="Arial" w:cs="Arial"/>
          <w:lang w:bidi="en-US"/>
        </w:rPr>
        <w:t>February</w:t>
      </w:r>
      <w:r w:rsidRPr="00333EEF">
        <w:rPr>
          <w:rFonts w:ascii="Arial" w:eastAsia="Arial" w:hAnsi="Arial" w:cs="Arial"/>
          <w:lang w:bidi="en-US"/>
        </w:rPr>
        <w:t xml:space="preserve"> </w:t>
      </w:r>
      <w:r>
        <w:rPr>
          <w:rFonts w:ascii="Arial" w:eastAsia="Arial" w:hAnsi="Arial" w:cs="Arial"/>
          <w:lang w:bidi="en-US"/>
        </w:rPr>
        <w:t>25</w:t>
      </w:r>
      <w:r w:rsidRPr="00333EEF">
        <w:rPr>
          <w:rFonts w:ascii="Arial" w:eastAsia="Arial" w:hAnsi="Arial" w:cs="Arial"/>
          <w:lang w:bidi="en-US"/>
        </w:rPr>
        <w:t>, 202</w:t>
      </w:r>
      <w:r w:rsidR="00A13E7C">
        <w:rPr>
          <w:rFonts w:ascii="Arial" w:eastAsia="Arial" w:hAnsi="Arial" w:cs="Arial"/>
          <w:lang w:bidi="en-US"/>
        </w:rPr>
        <w:t>6</w:t>
      </w:r>
      <w:r w:rsidRPr="00333EEF">
        <w:rPr>
          <w:rFonts w:ascii="Arial" w:eastAsia="Arial" w:hAnsi="Arial" w:cs="Arial"/>
          <w:lang w:bidi="en-US"/>
        </w:rPr>
        <w:t xml:space="preserve"> due to expire on </w:t>
      </w:r>
      <w:r>
        <w:rPr>
          <w:rFonts w:ascii="Arial" w:eastAsia="Arial" w:hAnsi="Arial" w:cs="Arial"/>
          <w:lang w:bidi="en-US"/>
        </w:rPr>
        <w:t>December</w:t>
      </w:r>
      <w:r w:rsidRPr="00333EEF">
        <w:rPr>
          <w:rFonts w:ascii="Arial" w:eastAsia="Arial" w:hAnsi="Arial" w:cs="Arial"/>
          <w:lang w:bidi="en-US"/>
        </w:rPr>
        <w:t xml:space="preserve"> 3</w:t>
      </w:r>
      <w:r>
        <w:rPr>
          <w:rFonts w:ascii="Arial" w:eastAsia="Arial" w:hAnsi="Arial" w:cs="Arial"/>
          <w:lang w:bidi="en-US"/>
        </w:rPr>
        <w:t>1</w:t>
      </w:r>
      <w:r w:rsidRPr="00333EEF">
        <w:rPr>
          <w:rFonts w:ascii="Arial" w:eastAsia="Arial" w:hAnsi="Arial" w:cs="Arial"/>
          <w:lang w:bidi="en-US"/>
        </w:rPr>
        <w:t>, 202</w:t>
      </w:r>
      <w:r w:rsidR="00A13E7C">
        <w:rPr>
          <w:rFonts w:ascii="Arial" w:eastAsia="Arial" w:hAnsi="Arial" w:cs="Arial"/>
          <w:lang w:bidi="en-US"/>
        </w:rPr>
        <w:t>6</w:t>
      </w:r>
      <w:r w:rsidRPr="00333EEF">
        <w:rPr>
          <w:rFonts w:ascii="Arial" w:eastAsia="Arial" w:hAnsi="Arial" w:cs="Arial"/>
          <w:lang w:bidi="en-US"/>
        </w:rPr>
        <w:t>.</w:t>
      </w:r>
    </w:p>
    <w:p w14:paraId="71F3EA35" w14:textId="77777777" w:rsidR="003D6F5A" w:rsidRPr="00333EEF" w:rsidRDefault="003D6F5A" w:rsidP="002323D7">
      <w:pPr>
        <w:pStyle w:val="Char1"/>
        <w:widowControl/>
        <w:pBdr>
          <w:top w:val="nil"/>
          <w:left w:val="nil"/>
          <w:bottom w:val="nil"/>
          <w:right w:val="nil"/>
          <w:between w:val="nil"/>
          <w:bar w:val="nil"/>
        </w:pBdr>
        <w:adjustRightInd w:val="0"/>
        <w:spacing w:before="0" w:after="0"/>
        <w:jc w:val="left"/>
        <w:rPr>
          <w:rFonts w:ascii="Arial" w:eastAsia="Arial" w:hAnsi="Arial" w:cs="Arial"/>
          <w:bdr w:val="nil"/>
          <w:lang w:bidi="en-US"/>
        </w:rPr>
      </w:pPr>
    </w:p>
    <w:p w14:paraId="71F3EA36" w14:textId="77777777" w:rsidR="003F2CE8" w:rsidRPr="00333EEF" w:rsidRDefault="003A4815"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r w:rsidRPr="00333EEF">
        <w:rPr>
          <w:rFonts w:ascii="Arial" w:eastAsia="Arial" w:hAnsi="Arial" w:cs="Arial"/>
          <w:b/>
          <w:lang w:bidi="en-US"/>
        </w:rPr>
        <w:t>Altair Travel Agency S.A.</w:t>
      </w:r>
    </w:p>
    <w:p w14:paraId="71F3EA37" w14:textId="77777777" w:rsidR="009D5FBE" w:rsidRPr="00333EEF" w:rsidRDefault="009D5FBE" w:rsidP="00333EEF">
      <w:pPr>
        <w:pStyle w:val="Char1"/>
        <w:keepNext/>
        <w:keepLines/>
        <w:widowControl/>
        <w:pBdr>
          <w:top w:val="nil"/>
          <w:left w:val="nil"/>
          <w:bottom w:val="nil"/>
          <w:right w:val="nil"/>
          <w:between w:val="nil"/>
          <w:bar w:val="nil"/>
        </w:pBdr>
        <w:adjustRightInd w:val="0"/>
        <w:spacing w:before="0" w:after="0"/>
        <w:jc w:val="left"/>
        <w:rPr>
          <w:rFonts w:ascii="Arial" w:eastAsia="Arial" w:hAnsi="Arial" w:cs="Arial"/>
          <w:b/>
          <w:bdr w:val="nil"/>
          <w:lang w:bidi="en-US"/>
        </w:rPr>
      </w:pPr>
    </w:p>
    <w:p w14:paraId="71F3EA38" w14:textId="77777777" w:rsidR="00A22A92" w:rsidRPr="00333EEF" w:rsidRDefault="003A4815" w:rsidP="00333EEF">
      <w:pPr>
        <w:pStyle w:val="Char1"/>
        <w:pBdr>
          <w:top w:val="nil"/>
          <w:left w:val="nil"/>
          <w:bottom w:val="nil"/>
          <w:right w:val="nil"/>
          <w:between w:val="nil"/>
          <w:bar w:val="nil"/>
        </w:pBdr>
        <w:spacing w:before="0" w:after="0"/>
        <w:rPr>
          <w:rFonts w:ascii="Arial" w:eastAsia="Arial" w:hAnsi="Arial" w:cs="Arial"/>
          <w:bdr w:val="nil"/>
          <w:lang w:bidi="en-US"/>
        </w:rPr>
      </w:pPr>
      <w:r w:rsidRPr="00333EEF">
        <w:rPr>
          <w:rFonts w:ascii="Arial" w:eastAsia="Arial" w:hAnsi="Arial" w:cs="Arial"/>
          <w:lang w:bidi="en-US"/>
        </w:rPr>
        <w:t xml:space="preserve">Altair Travel Agency S.A., or Altair, an affiliated entity that is controlled by our </w:t>
      </w:r>
      <w:r w:rsidR="000B2E6B">
        <w:rPr>
          <w:rFonts w:ascii="Arial" w:eastAsia="Arial" w:hAnsi="Arial" w:cs="Arial"/>
          <w:lang w:bidi="en-US"/>
        </w:rPr>
        <w:t xml:space="preserve">CEO </w:t>
      </w:r>
      <w:r w:rsidR="000B2E6B">
        <w:rPr>
          <w:rFonts w:ascii="Arial" w:eastAsia="Arial" w:hAnsi="Arial" w:cs="Arial"/>
          <w:szCs w:val="24"/>
          <w:lang w:bidi="en-US"/>
        </w:rPr>
        <w:t xml:space="preserve">Ms. Semiramis Paliou </w:t>
      </w:r>
      <w:r w:rsidRPr="00333EEF">
        <w:rPr>
          <w:rFonts w:ascii="Arial" w:eastAsia="Arial" w:hAnsi="Arial" w:cs="Arial"/>
          <w:lang w:bidi="en-US"/>
        </w:rPr>
        <w:t xml:space="preserve">provides us with travel related services. Travel related expenses in 2025, amounted to $2.7 million.  </w:t>
      </w:r>
    </w:p>
    <w:p w14:paraId="71F3EA39" w14:textId="77777777" w:rsidR="00F95505" w:rsidRPr="00333EEF" w:rsidRDefault="00F95505" w:rsidP="00333EEF">
      <w:pPr>
        <w:pStyle w:val="Char1"/>
        <w:pBdr>
          <w:top w:val="nil"/>
          <w:left w:val="nil"/>
          <w:bottom w:val="nil"/>
          <w:right w:val="nil"/>
          <w:between w:val="nil"/>
          <w:bar w:val="nil"/>
        </w:pBdr>
        <w:spacing w:before="0" w:after="0"/>
        <w:rPr>
          <w:rFonts w:ascii="Arial" w:eastAsia="Arial" w:hAnsi="Arial" w:cs="Arial"/>
          <w:bdr w:val="nil"/>
          <w:lang w:bidi="en-US"/>
        </w:rPr>
      </w:pPr>
    </w:p>
    <w:p w14:paraId="71F3EA3A" w14:textId="77777777" w:rsidR="00F95505" w:rsidRPr="00333EEF" w:rsidRDefault="003A4815" w:rsidP="00333EEF">
      <w:pPr>
        <w:pStyle w:val="Notesbody"/>
        <w:keepNext/>
        <w:keepLines/>
        <w:pBdr>
          <w:top w:val="nil"/>
          <w:left w:val="nil"/>
          <w:bottom w:val="nil"/>
          <w:right w:val="nil"/>
          <w:between w:val="nil"/>
          <w:bar w:val="nil"/>
        </w:pBdr>
        <w:adjustRightInd w:val="0"/>
        <w:jc w:val="left"/>
        <w:rPr>
          <w:rFonts w:ascii="Arial" w:eastAsia="Arial" w:hAnsi="Arial" w:cs="Arial"/>
          <w:b/>
          <w:bdr w:val="nil"/>
          <w:lang w:val="en-GB" w:bidi="en-US"/>
        </w:rPr>
      </w:pPr>
      <w:r w:rsidRPr="00333EEF">
        <w:rPr>
          <w:rFonts w:ascii="Arial" w:eastAsia="Arial" w:hAnsi="Arial" w:cs="Arial"/>
          <w:b/>
          <w:lang w:val="en-GB" w:eastAsia="el-GR" w:bidi="en-US"/>
        </w:rPr>
        <w:t>Diana Wilhelmsen Management Limited</w:t>
      </w:r>
    </w:p>
    <w:p w14:paraId="71F3EA3B" w14:textId="77777777" w:rsidR="00F95505" w:rsidRPr="00B30C19" w:rsidRDefault="00F95505" w:rsidP="00B30C19">
      <w:pPr>
        <w:pStyle w:val="Char1"/>
        <w:pBdr>
          <w:top w:val="nil"/>
          <w:left w:val="nil"/>
          <w:bottom w:val="nil"/>
          <w:right w:val="nil"/>
          <w:between w:val="nil"/>
          <w:bar w:val="nil"/>
        </w:pBdr>
        <w:spacing w:before="0" w:after="0"/>
        <w:rPr>
          <w:rFonts w:ascii="Arial" w:eastAsia="Arial" w:hAnsi="Arial" w:cs="Arial"/>
          <w:bdr w:val="nil"/>
          <w:lang w:bidi="en-US"/>
        </w:rPr>
      </w:pPr>
    </w:p>
    <w:p w14:paraId="71F3EA3C" w14:textId="77777777" w:rsidR="00E56895" w:rsidRPr="00B30C19" w:rsidRDefault="003A4815" w:rsidP="00B30C19">
      <w:pPr>
        <w:pStyle w:val="Char1"/>
        <w:pBdr>
          <w:top w:val="nil"/>
          <w:left w:val="nil"/>
          <w:bottom w:val="nil"/>
          <w:right w:val="nil"/>
          <w:between w:val="nil"/>
          <w:bar w:val="nil"/>
        </w:pBdr>
        <w:spacing w:before="0" w:after="0"/>
        <w:rPr>
          <w:rFonts w:ascii="Arial" w:eastAsia="Arial" w:hAnsi="Arial" w:cs="Arial"/>
          <w:bdr w:val="nil"/>
          <w:lang w:bidi="en-US"/>
        </w:rPr>
      </w:pPr>
      <w:r w:rsidRPr="00B30C19">
        <w:rPr>
          <w:rFonts w:ascii="Arial" w:eastAsia="Arial" w:hAnsi="Arial" w:cs="Arial"/>
          <w:lang w:bidi="en-US"/>
        </w:rPr>
        <w:t xml:space="preserve">Diana Wilhelmsen Management Limited, or DWM, is a 50/50 joint venture which provides management services to certain vessels in our fleet for a fixed monthly fee and commercial services </w:t>
      </w:r>
      <w:r w:rsidR="00293525">
        <w:rPr>
          <w:rFonts w:ascii="Arial" w:eastAsia="Arial" w:hAnsi="Arial" w:cs="Arial"/>
          <w:lang w:bidi="en-US"/>
        </w:rPr>
        <w:t xml:space="preserve">for a fee </w:t>
      </w:r>
      <w:r w:rsidRPr="00B30C19">
        <w:rPr>
          <w:rFonts w:ascii="Arial" w:eastAsia="Arial" w:hAnsi="Arial" w:cs="Arial"/>
          <w:lang w:bidi="en-US"/>
        </w:rPr>
        <w:t>charged as a percentage of the vessels’ gross revenues. Management fees in 2025 amounted to $1.2 million</w:t>
      </w:r>
      <w:r w:rsidR="00293525">
        <w:rPr>
          <w:rFonts w:ascii="Arial" w:eastAsia="Arial" w:hAnsi="Arial" w:cs="Arial"/>
          <w:lang w:bidi="en-US"/>
        </w:rPr>
        <w:t xml:space="preserve"> and</w:t>
      </w:r>
      <w:r w:rsidRPr="00B30C19">
        <w:rPr>
          <w:rFonts w:ascii="Arial" w:eastAsia="Arial" w:hAnsi="Arial" w:cs="Arial"/>
          <w:lang w:bidi="en-US"/>
        </w:rPr>
        <w:t xml:space="preserve"> commissions amounted to $0.</w:t>
      </w:r>
      <w:r w:rsidR="007A04CA">
        <w:rPr>
          <w:rFonts w:ascii="Arial" w:eastAsia="Arial" w:hAnsi="Arial" w:cs="Arial"/>
          <w:lang w:bidi="en-US"/>
        </w:rPr>
        <w:t>3</w:t>
      </w:r>
      <w:r w:rsidRPr="00B30C19">
        <w:rPr>
          <w:rFonts w:ascii="Arial" w:eastAsia="Arial" w:hAnsi="Arial" w:cs="Arial"/>
          <w:lang w:bidi="en-US"/>
        </w:rPr>
        <w:t xml:space="preserve"> million.</w:t>
      </w:r>
    </w:p>
    <w:p w14:paraId="71F3EA3D" w14:textId="77777777" w:rsidR="00B30C19" w:rsidRPr="005D7C6C" w:rsidRDefault="00B30C19" w:rsidP="00B30C19">
      <w:pPr>
        <w:pStyle w:val="Char1"/>
        <w:pBdr>
          <w:top w:val="nil"/>
          <w:left w:val="nil"/>
          <w:bottom w:val="nil"/>
          <w:right w:val="nil"/>
          <w:between w:val="nil"/>
          <w:bar w:val="nil"/>
        </w:pBdr>
        <w:spacing w:before="0" w:after="0"/>
        <w:rPr>
          <w:rFonts w:ascii="Arial" w:eastAsia="Arial" w:hAnsi="Arial" w:cs="Arial"/>
          <w:bdr w:val="nil"/>
          <w:lang w:bidi="en-US"/>
        </w:rPr>
      </w:pPr>
    </w:p>
    <w:p w14:paraId="71F3EA3E" w14:textId="77777777" w:rsidR="00B30C19" w:rsidRPr="00B30C19" w:rsidRDefault="003A4815" w:rsidP="00B30C19">
      <w:pPr>
        <w:pStyle w:val="Notesbody"/>
        <w:keepNext/>
        <w:keepLines/>
        <w:pBdr>
          <w:top w:val="nil"/>
          <w:left w:val="nil"/>
          <w:bottom w:val="nil"/>
          <w:right w:val="nil"/>
          <w:between w:val="nil"/>
          <w:bar w:val="nil"/>
        </w:pBdr>
        <w:adjustRightInd w:val="0"/>
        <w:jc w:val="left"/>
        <w:rPr>
          <w:rFonts w:ascii="Arial" w:eastAsia="Arial" w:hAnsi="Arial" w:cs="Arial"/>
          <w:b/>
          <w:bdr w:val="nil"/>
          <w:lang w:val="en-GB" w:bidi="en-US"/>
        </w:rPr>
      </w:pPr>
      <w:r>
        <w:rPr>
          <w:rFonts w:ascii="Arial" w:eastAsia="Arial" w:hAnsi="Arial" w:cs="Arial"/>
          <w:b/>
          <w:lang w:val="en-GB" w:eastAsia="el-GR" w:bidi="en-US"/>
        </w:rPr>
        <w:t>Bond acquisition</w:t>
      </w:r>
    </w:p>
    <w:p w14:paraId="71F3EA3F" w14:textId="77777777" w:rsidR="00B30C19" w:rsidRPr="00B30C19" w:rsidRDefault="003A4815" w:rsidP="00B30C19">
      <w:pPr>
        <w:pStyle w:val="Char1"/>
        <w:pBdr>
          <w:top w:val="nil"/>
          <w:left w:val="nil"/>
          <w:bottom w:val="nil"/>
          <w:right w:val="nil"/>
          <w:between w:val="nil"/>
          <w:bar w:val="nil"/>
        </w:pBdr>
        <w:spacing w:before="0" w:after="0"/>
        <w:rPr>
          <w:rFonts w:ascii="Arial" w:eastAsia="Arial" w:hAnsi="Arial" w:cs="Arial"/>
          <w:bdr w:val="nil"/>
          <w:lang w:bidi="en-US"/>
        </w:rPr>
      </w:pPr>
      <w:r w:rsidRPr="00B30C19">
        <w:rPr>
          <w:rFonts w:ascii="Arial" w:eastAsia="Arial" w:hAnsi="Arial" w:cs="Arial"/>
          <w:lang w:bidi="en-US"/>
        </w:rPr>
        <w:t> </w:t>
      </w:r>
    </w:p>
    <w:p w14:paraId="71F3EA40" w14:textId="77777777" w:rsidR="00B30C19" w:rsidRDefault="003A4815" w:rsidP="004851F6">
      <w:pPr>
        <w:pStyle w:val="Char1"/>
        <w:pBdr>
          <w:top w:val="nil"/>
          <w:left w:val="nil"/>
          <w:bottom w:val="nil"/>
          <w:right w:val="nil"/>
          <w:between w:val="nil"/>
          <w:bar w:val="nil"/>
        </w:pBdr>
        <w:spacing w:before="0" w:after="0"/>
        <w:rPr>
          <w:rFonts w:ascii="Arial" w:eastAsia="Arial" w:hAnsi="Arial" w:cs="Arial"/>
          <w:bdr w:val="nil"/>
          <w:lang w:bidi="en-US"/>
        </w:rPr>
      </w:pPr>
      <w:r w:rsidRPr="00932814">
        <w:rPr>
          <w:rFonts w:ascii="Arial" w:eastAsia="Arial" w:hAnsi="Arial" w:cs="Arial"/>
          <w:lang w:bidi="en-US"/>
        </w:rPr>
        <w:t>Officers and directors of the Company and/or entities affiliated with them purchased an aggregate of $47</w:t>
      </w:r>
      <w:r>
        <w:rPr>
          <w:rFonts w:ascii="Arial" w:eastAsia="Arial" w:hAnsi="Arial" w:cs="Arial"/>
          <w:lang w:bidi="en-US"/>
        </w:rPr>
        <w:t>.</w:t>
      </w:r>
      <w:r w:rsidRPr="00932814">
        <w:rPr>
          <w:rFonts w:ascii="Arial" w:eastAsia="Arial" w:hAnsi="Arial" w:cs="Arial"/>
          <w:lang w:bidi="en-US"/>
        </w:rPr>
        <w:t>3</w:t>
      </w:r>
      <w:r>
        <w:rPr>
          <w:rFonts w:ascii="Arial" w:eastAsia="Arial" w:hAnsi="Arial" w:cs="Arial"/>
          <w:lang w:bidi="en-US"/>
        </w:rPr>
        <w:t xml:space="preserve"> million</w:t>
      </w:r>
      <w:r w:rsidRPr="00932814">
        <w:rPr>
          <w:rFonts w:ascii="Arial" w:eastAsia="Arial" w:hAnsi="Arial" w:cs="Arial"/>
          <w:lang w:bidi="en-US"/>
        </w:rPr>
        <w:t xml:space="preserve"> principal amount </w:t>
      </w:r>
      <w:bookmarkStart w:id="204" w:name="_Hlk189497758_0"/>
      <w:r w:rsidR="00956774">
        <w:rPr>
          <w:rFonts w:ascii="Arial" w:eastAsia="Arial" w:hAnsi="Arial" w:cs="Arial"/>
          <w:lang w:bidi="en-US"/>
        </w:rPr>
        <w:t>of our</w:t>
      </w:r>
      <w:r w:rsidRPr="00932814">
        <w:rPr>
          <w:rFonts w:ascii="Arial" w:eastAsia="Arial" w:hAnsi="Arial" w:cs="Arial"/>
          <w:lang w:bidi="en-US"/>
        </w:rPr>
        <w:t xml:space="preserve"> senior unsecured bond </w:t>
      </w:r>
      <w:bookmarkEnd w:id="204"/>
      <w:r w:rsidRPr="004851F6">
        <w:rPr>
          <w:rFonts w:ascii="Arial" w:eastAsia="Arial" w:hAnsi="Arial" w:cs="Arial"/>
          <w:lang w:bidi="en-US"/>
        </w:rPr>
        <w:t xml:space="preserve">issued on July 2, </w:t>
      </w:r>
      <w:r>
        <w:rPr>
          <w:rFonts w:ascii="Arial" w:eastAsia="Arial" w:hAnsi="Arial" w:cs="Arial"/>
          <w:lang w:bidi="en-US"/>
        </w:rPr>
        <w:t>2024.</w:t>
      </w:r>
      <w:r w:rsidR="00B83A3A">
        <w:rPr>
          <w:rFonts w:ascii="Arial" w:eastAsia="Arial" w:hAnsi="Arial" w:cs="Arial"/>
          <w:lang w:bidi="en-US"/>
        </w:rPr>
        <w:t xml:space="preserve"> </w:t>
      </w:r>
    </w:p>
    <w:p w14:paraId="71F3EA41" w14:textId="77777777" w:rsidR="00AB25E8" w:rsidRPr="00AB25E8" w:rsidRDefault="00AB25E8" w:rsidP="004851F6">
      <w:pPr>
        <w:pStyle w:val="Char1"/>
        <w:pBdr>
          <w:top w:val="nil"/>
          <w:left w:val="nil"/>
          <w:bottom w:val="nil"/>
          <w:right w:val="nil"/>
          <w:between w:val="nil"/>
          <w:bar w:val="nil"/>
        </w:pBdr>
        <w:spacing w:before="0" w:after="0"/>
        <w:rPr>
          <w:rFonts w:ascii="Arial" w:eastAsia="Arial" w:hAnsi="Arial" w:cs="Arial"/>
          <w:b/>
          <w:bdr w:val="nil"/>
          <w:lang w:val="en-GB" w:bidi="en-US"/>
        </w:rPr>
      </w:pPr>
    </w:p>
    <w:p w14:paraId="71F3EA42" w14:textId="77777777" w:rsidR="00AB25E8" w:rsidRDefault="003A4815" w:rsidP="00956774">
      <w:pPr>
        <w:pStyle w:val="Char1"/>
        <w:keepNext/>
        <w:keepLines/>
        <w:widowControl/>
        <w:pBdr>
          <w:top w:val="nil"/>
          <w:left w:val="nil"/>
          <w:bottom w:val="nil"/>
          <w:right w:val="nil"/>
          <w:between w:val="nil"/>
          <w:bar w:val="nil"/>
        </w:pBdr>
        <w:spacing w:before="0" w:after="0"/>
        <w:jc w:val="left"/>
        <w:rPr>
          <w:rFonts w:ascii="Arial" w:eastAsia="Arial" w:hAnsi="Arial" w:cs="Arial"/>
          <w:b/>
          <w:bCs/>
          <w:bdr w:val="nil"/>
          <w:lang w:bidi="en-US"/>
        </w:rPr>
      </w:pPr>
      <w:r w:rsidRPr="00AB25E8">
        <w:rPr>
          <w:rFonts w:ascii="Arial" w:eastAsia="Arial" w:hAnsi="Arial" w:cs="Arial"/>
          <w:b/>
          <w:bCs/>
          <w:lang w:bidi="en-US"/>
        </w:rPr>
        <w:t>Bergen Ultra</w:t>
      </w:r>
      <w:r w:rsidR="00E17BBB">
        <w:rPr>
          <w:rFonts w:ascii="Arial" w:eastAsia="Arial" w:hAnsi="Arial" w:cs="Arial"/>
          <w:b/>
          <w:bCs/>
          <w:lang w:bidi="en-US"/>
        </w:rPr>
        <w:t xml:space="preserve"> LP</w:t>
      </w:r>
    </w:p>
    <w:p w14:paraId="71F3EA43" w14:textId="77777777" w:rsidR="00AB25E8" w:rsidRPr="00AB25E8" w:rsidRDefault="00AB25E8" w:rsidP="00956774">
      <w:pPr>
        <w:pStyle w:val="Char1"/>
        <w:keepNext/>
        <w:keepLines/>
        <w:widowControl/>
        <w:pBdr>
          <w:top w:val="nil"/>
          <w:left w:val="nil"/>
          <w:bottom w:val="nil"/>
          <w:right w:val="nil"/>
          <w:between w:val="nil"/>
          <w:bar w:val="nil"/>
        </w:pBdr>
        <w:spacing w:before="0" w:after="0"/>
        <w:jc w:val="left"/>
        <w:rPr>
          <w:rFonts w:ascii="Arial" w:eastAsia="Arial" w:hAnsi="Arial" w:cs="Arial"/>
          <w:b/>
          <w:bCs/>
          <w:bdr w:val="nil"/>
          <w:lang w:bidi="en-US"/>
        </w:rPr>
      </w:pPr>
    </w:p>
    <w:p w14:paraId="71F3EA44" w14:textId="77777777" w:rsidR="0045419A" w:rsidRDefault="003A4815" w:rsidP="00AB25E8">
      <w:pPr>
        <w:pStyle w:val="Char1"/>
        <w:pBdr>
          <w:top w:val="nil"/>
          <w:left w:val="nil"/>
          <w:bottom w:val="nil"/>
          <w:right w:val="nil"/>
          <w:between w:val="nil"/>
          <w:bar w:val="nil"/>
        </w:pBdr>
        <w:spacing w:before="0" w:after="0"/>
        <w:rPr>
          <w:rFonts w:ascii="Arial" w:eastAsia="Arial" w:hAnsi="Arial" w:cs="Arial"/>
          <w:bdr w:val="nil"/>
          <w:lang w:bidi="en-US"/>
        </w:rPr>
      </w:pPr>
      <w:r w:rsidRPr="00AB25E8">
        <w:rPr>
          <w:rFonts w:ascii="Arial" w:eastAsia="Arial" w:hAnsi="Arial" w:cs="Arial"/>
          <w:lang w:bidi="en-US"/>
        </w:rPr>
        <w:t>Bergen Ultra</w:t>
      </w:r>
      <w:r w:rsidR="00E17BBB">
        <w:rPr>
          <w:rFonts w:ascii="Arial" w:eastAsia="Arial" w:hAnsi="Arial" w:cs="Arial"/>
          <w:lang w:bidi="en-US"/>
        </w:rPr>
        <w:t xml:space="preserve"> LP</w:t>
      </w:r>
      <w:r w:rsidRPr="00AB25E8">
        <w:rPr>
          <w:rFonts w:ascii="Arial" w:eastAsia="Arial" w:hAnsi="Arial" w:cs="Arial"/>
          <w:lang w:bidi="en-US"/>
        </w:rPr>
        <w:t xml:space="preserve">, or Bergen, is a limited partnership </w:t>
      </w:r>
      <w:r w:rsidR="0081650B">
        <w:rPr>
          <w:rFonts w:ascii="Arial" w:eastAsia="Arial" w:hAnsi="Arial" w:cs="Arial"/>
          <w:lang w:bidi="en-US"/>
        </w:rPr>
        <w:t>that owned until January 2026</w:t>
      </w:r>
      <w:r w:rsidRPr="00AB25E8">
        <w:rPr>
          <w:rFonts w:ascii="Arial" w:eastAsia="Arial" w:hAnsi="Arial" w:cs="Arial"/>
          <w:lang w:bidi="en-US"/>
        </w:rPr>
        <w:t xml:space="preserve"> a dry bulk carrier. One of our subsidiaries, Diana General Partner Inc., owns 3% of the partnership and acts as </w:t>
      </w:r>
      <w:r w:rsidR="0081650B">
        <w:rPr>
          <w:rFonts w:ascii="Arial" w:eastAsia="Arial" w:hAnsi="Arial" w:cs="Arial"/>
          <w:lang w:bidi="en-US"/>
        </w:rPr>
        <w:t>its</w:t>
      </w:r>
      <w:r w:rsidRPr="00AB25E8">
        <w:rPr>
          <w:rFonts w:ascii="Arial" w:eastAsia="Arial" w:hAnsi="Arial" w:cs="Arial"/>
          <w:lang w:bidi="en-US"/>
        </w:rPr>
        <w:t xml:space="preserve"> General Partner </w:t>
      </w:r>
      <w:r w:rsidR="0081650B">
        <w:rPr>
          <w:rFonts w:ascii="Arial" w:eastAsia="Arial" w:hAnsi="Arial" w:cs="Arial"/>
          <w:lang w:bidi="en-US"/>
        </w:rPr>
        <w:t>and</w:t>
      </w:r>
      <w:r w:rsidRPr="00AB25E8">
        <w:rPr>
          <w:rFonts w:ascii="Arial" w:eastAsia="Arial" w:hAnsi="Arial" w:cs="Arial"/>
          <w:lang w:bidi="en-US"/>
        </w:rPr>
        <w:t xml:space="preserve"> another subsidiary, Komi Shipping Company Inc., owns 22%. The remaining partnership interests are owned by unaffiliated</w:t>
      </w:r>
      <w:r w:rsidR="0081650B">
        <w:rPr>
          <w:rFonts w:ascii="Arial" w:eastAsia="Arial" w:hAnsi="Arial" w:cs="Arial"/>
          <w:lang w:bidi="en-US"/>
        </w:rPr>
        <w:t xml:space="preserve"> third </w:t>
      </w:r>
      <w:r w:rsidRPr="00AB25E8">
        <w:rPr>
          <w:rFonts w:ascii="Arial" w:eastAsia="Arial" w:hAnsi="Arial" w:cs="Arial"/>
          <w:lang w:bidi="en-US"/>
        </w:rPr>
        <w:t>partie</w:t>
      </w:r>
      <w:r w:rsidRPr="005C6E77">
        <w:rPr>
          <w:rFonts w:ascii="Arial" w:eastAsia="Arial" w:hAnsi="Arial" w:cs="Arial"/>
          <w:lang w:bidi="en-US"/>
        </w:rPr>
        <w:t xml:space="preserve">s. On March 30, 2023, we entered into a corporate guarantee with Nordea to secure Bergen’s obligations under a $15.4 million loan facility and a commission agreement under which the Company </w:t>
      </w:r>
      <w:r w:rsidR="0081650B">
        <w:rPr>
          <w:rFonts w:ascii="Arial" w:eastAsia="Arial" w:hAnsi="Arial" w:cs="Arial"/>
          <w:lang w:bidi="en-US"/>
        </w:rPr>
        <w:t>received</w:t>
      </w:r>
      <w:r w:rsidRPr="005C6E77">
        <w:rPr>
          <w:rFonts w:ascii="Arial" w:eastAsia="Arial" w:hAnsi="Arial" w:cs="Arial"/>
          <w:lang w:bidi="en-US"/>
        </w:rPr>
        <w:t xml:space="preserve"> a commission of 0.8% per annum, on the outstanding balance of the loan, as compensation </w:t>
      </w:r>
      <w:r w:rsidR="0081650B">
        <w:rPr>
          <w:rFonts w:ascii="Arial" w:eastAsia="Arial" w:hAnsi="Arial" w:cs="Arial"/>
          <w:lang w:bidi="en-US"/>
        </w:rPr>
        <w:t xml:space="preserve">for providing this </w:t>
      </w:r>
      <w:r w:rsidRPr="005C6E77">
        <w:rPr>
          <w:rFonts w:ascii="Arial" w:eastAsia="Arial" w:hAnsi="Arial" w:cs="Arial"/>
          <w:lang w:bidi="en-US"/>
        </w:rPr>
        <w:t xml:space="preserve">guarantee to Nordea. We have also entered into an administrative service agreement under which DSS provides administrative services to Bergen. </w:t>
      </w:r>
      <w:r w:rsidR="00914ABB">
        <w:rPr>
          <w:rFonts w:ascii="Arial" w:eastAsia="Arial" w:hAnsi="Arial" w:cs="Arial"/>
          <w:lang w:bidi="en-US"/>
        </w:rPr>
        <w:t xml:space="preserve">In </w:t>
      </w:r>
      <w:r w:rsidR="00B60F58">
        <w:rPr>
          <w:rFonts w:ascii="Arial" w:eastAsia="Arial" w:hAnsi="Arial" w:cs="Arial"/>
          <w:lang w:bidi="en-US"/>
        </w:rPr>
        <w:t>2025</w:t>
      </w:r>
      <w:r w:rsidRPr="005C6E77">
        <w:rPr>
          <w:rFonts w:ascii="Arial" w:eastAsia="Arial" w:hAnsi="Arial" w:cs="Arial"/>
          <w:lang w:bidi="en-US"/>
        </w:rPr>
        <w:t>, income from administrative fees amounted to $15,000</w:t>
      </w:r>
      <w:r w:rsidR="0081650B">
        <w:rPr>
          <w:rFonts w:ascii="Arial" w:eastAsia="Arial" w:hAnsi="Arial" w:cs="Arial"/>
          <w:lang w:bidi="en-US"/>
        </w:rPr>
        <w:t>,</w:t>
      </w:r>
      <w:r w:rsidRPr="005C6E77">
        <w:rPr>
          <w:rFonts w:ascii="Arial" w:eastAsia="Arial" w:hAnsi="Arial" w:cs="Arial"/>
          <w:lang w:bidi="en-US"/>
        </w:rPr>
        <w:t xml:space="preserve"> and we received $</w:t>
      </w:r>
      <w:r w:rsidR="0078672E">
        <w:rPr>
          <w:rFonts w:ascii="Arial" w:eastAsia="Arial" w:hAnsi="Arial" w:cs="Arial"/>
          <w:lang w:bidi="en-US"/>
        </w:rPr>
        <w:t>105</w:t>
      </w:r>
      <w:r w:rsidR="00645017">
        <w:rPr>
          <w:rFonts w:ascii="Arial" w:eastAsia="Arial" w:hAnsi="Arial" w:cs="Arial"/>
          <w:lang w:bidi="en-US"/>
        </w:rPr>
        <w:t>,</w:t>
      </w:r>
      <w:r w:rsidR="0078672E">
        <w:rPr>
          <w:rFonts w:ascii="Arial" w:eastAsia="Arial" w:hAnsi="Arial" w:cs="Arial"/>
          <w:lang w:bidi="en-US"/>
        </w:rPr>
        <w:t>976</w:t>
      </w:r>
      <w:r w:rsidRPr="005C6E77">
        <w:rPr>
          <w:rFonts w:ascii="Arial" w:eastAsia="Arial" w:hAnsi="Arial" w:cs="Arial"/>
          <w:lang w:bidi="en-US"/>
        </w:rPr>
        <w:t xml:space="preserve"> as payment for the guarantee commission.</w:t>
      </w:r>
      <w:r w:rsidR="00F45BC5">
        <w:rPr>
          <w:rFonts w:ascii="Arial" w:eastAsia="Arial" w:hAnsi="Arial" w:cs="Arial"/>
          <w:lang w:bidi="en-US"/>
        </w:rPr>
        <w:t xml:space="preserve"> </w:t>
      </w:r>
    </w:p>
    <w:p w14:paraId="71F3EA45" w14:textId="77777777" w:rsidR="0045419A" w:rsidRDefault="0045419A" w:rsidP="00AB25E8">
      <w:pPr>
        <w:pStyle w:val="Char1"/>
        <w:pBdr>
          <w:top w:val="nil"/>
          <w:left w:val="nil"/>
          <w:bottom w:val="nil"/>
          <w:right w:val="nil"/>
          <w:between w:val="nil"/>
          <w:bar w:val="nil"/>
        </w:pBdr>
        <w:spacing w:before="0" w:after="0"/>
        <w:rPr>
          <w:rFonts w:ascii="Arial" w:eastAsia="Arial" w:hAnsi="Arial" w:cs="Arial"/>
          <w:bdr w:val="nil"/>
          <w:lang w:bidi="en-US"/>
        </w:rPr>
      </w:pPr>
    </w:p>
    <w:p w14:paraId="71F3EA46" w14:textId="77777777" w:rsidR="00AB25E8" w:rsidRDefault="003A4815" w:rsidP="00AB25E8">
      <w:pPr>
        <w:pStyle w:val="Char1"/>
        <w:pBdr>
          <w:top w:val="nil"/>
          <w:left w:val="nil"/>
          <w:bottom w:val="nil"/>
          <w:right w:val="nil"/>
          <w:between w:val="nil"/>
          <w:bar w:val="nil"/>
        </w:pBdr>
        <w:spacing w:before="0" w:after="0"/>
        <w:rPr>
          <w:rFonts w:ascii="Arial" w:eastAsia="Arial" w:hAnsi="Arial" w:cs="Arial"/>
          <w:bdr w:val="nil"/>
          <w:lang w:bidi="en-US"/>
        </w:rPr>
      </w:pPr>
      <w:r w:rsidRPr="00F45BC5">
        <w:rPr>
          <w:rFonts w:ascii="Arial" w:eastAsia="Arial" w:hAnsi="Arial" w:cs="Arial"/>
          <w:lang w:val="en-GB" w:bidi="en-US"/>
        </w:rPr>
        <w:t>On November 19, 2025, Bergen entered into an agreement with an unrelated third party to sell the vessel for $26</w:t>
      </w:r>
      <w:r>
        <w:rPr>
          <w:rFonts w:ascii="Arial" w:eastAsia="Arial" w:hAnsi="Arial" w:cs="Arial"/>
          <w:lang w:val="en-GB" w:bidi="en-US"/>
        </w:rPr>
        <w:t>.4 million</w:t>
      </w:r>
      <w:r w:rsidRPr="00F45BC5">
        <w:rPr>
          <w:rFonts w:ascii="Arial" w:eastAsia="Arial" w:hAnsi="Arial" w:cs="Arial"/>
          <w:lang w:val="en-GB" w:bidi="en-US"/>
        </w:rPr>
        <w:t>.</w:t>
      </w:r>
      <w:r>
        <w:rPr>
          <w:rFonts w:ascii="Arial" w:eastAsia="Arial" w:hAnsi="Arial" w:cs="Arial"/>
          <w:lang w:val="en-GB" w:bidi="en-US"/>
        </w:rPr>
        <w:t xml:space="preserve"> </w:t>
      </w:r>
      <w:r w:rsidRPr="00F45BC5">
        <w:rPr>
          <w:rFonts w:ascii="Arial" w:eastAsia="Arial" w:hAnsi="Arial" w:cs="Arial"/>
          <w:lang w:bidi="en-US"/>
        </w:rPr>
        <w:t>Upon completion of the vessel sale and full repayment of Bergen’s loan with Nordea, the Company’s corporate guarantee for Bergen’s obligations under the loan was released</w:t>
      </w:r>
      <w:r>
        <w:rPr>
          <w:rFonts w:ascii="Arial" w:eastAsia="Arial" w:hAnsi="Arial" w:cs="Arial"/>
          <w:lang w:bidi="en-US"/>
        </w:rPr>
        <w:t>.</w:t>
      </w:r>
    </w:p>
    <w:p w14:paraId="71F3EA47" w14:textId="77777777" w:rsidR="00AB25E8" w:rsidRPr="00AB25E8" w:rsidRDefault="00AB25E8" w:rsidP="00AB25E8">
      <w:pPr>
        <w:pStyle w:val="Char1"/>
        <w:pBdr>
          <w:top w:val="nil"/>
          <w:left w:val="nil"/>
          <w:bottom w:val="nil"/>
          <w:right w:val="nil"/>
          <w:between w:val="nil"/>
          <w:bar w:val="nil"/>
        </w:pBdr>
        <w:spacing w:before="0" w:after="0"/>
        <w:rPr>
          <w:rFonts w:ascii="Arial" w:eastAsia="Arial" w:hAnsi="Arial" w:cs="Arial"/>
          <w:bdr w:val="nil"/>
          <w:lang w:bidi="en-US"/>
        </w:rPr>
      </w:pPr>
    </w:p>
    <w:p w14:paraId="71F3EA48" w14:textId="77777777" w:rsidR="00AB25E8" w:rsidRDefault="003A4815" w:rsidP="00AB25E8">
      <w:pPr>
        <w:pStyle w:val="Char1"/>
        <w:pBdr>
          <w:top w:val="nil"/>
          <w:left w:val="nil"/>
          <w:bottom w:val="nil"/>
          <w:right w:val="nil"/>
          <w:between w:val="nil"/>
          <w:bar w:val="nil"/>
        </w:pBdr>
        <w:spacing w:before="0" w:after="0"/>
        <w:jc w:val="left"/>
        <w:rPr>
          <w:rFonts w:ascii="Arial" w:eastAsia="Arial" w:hAnsi="Arial" w:cs="Arial"/>
          <w:b/>
          <w:bCs/>
          <w:bdr w:val="nil"/>
          <w:lang w:bidi="en-US"/>
        </w:rPr>
      </w:pPr>
      <w:r w:rsidRPr="00AB25E8">
        <w:rPr>
          <w:rFonts w:ascii="Arial" w:eastAsia="Arial" w:hAnsi="Arial" w:cs="Arial"/>
          <w:b/>
          <w:bCs/>
          <w:lang w:bidi="en-US"/>
        </w:rPr>
        <w:t>Windward Offshore GmbH</w:t>
      </w:r>
    </w:p>
    <w:p w14:paraId="71F3EA49" w14:textId="77777777" w:rsidR="00AB25E8" w:rsidRDefault="00AB25E8" w:rsidP="00AB25E8">
      <w:pPr>
        <w:pStyle w:val="Char1"/>
        <w:pBdr>
          <w:top w:val="nil"/>
          <w:left w:val="nil"/>
          <w:bottom w:val="nil"/>
          <w:right w:val="nil"/>
          <w:between w:val="nil"/>
          <w:bar w:val="nil"/>
        </w:pBdr>
        <w:spacing w:before="0" w:after="0"/>
        <w:jc w:val="left"/>
        <w:rPr>
          <w:rFonts w:ascii="Arial" w:eastAsia="Arial" w:hAnsi="Arial" w:cs="Arial"/>
          <w:b/>
          <w:bCs/>
          <w:bdr w:val="nil"/>
          <w:lang w:bidi="en-US"/>
        </w:rPr>
      </w:pPr>
    </w:p>
    <w:p w14:paraId="71F3EA4A" w14:textId="77777777" w:rsidR="00AB25E8" w:rsidRDefault="003A4815" w:rsidP="005C6E77">
      <w:pPr>
        <w:pStyle w:val="Char1"/>
        <w:pBdr>
          <w:top w:val="nil"/>
          <w:left w:val="nil"/>
          <w:bottom w:val="nil"/>
          <w:right w:val="nil"/>
          <w:between w:val="nil"/>
          <w:bar w:val="nil"/>
        </w:pBdr>
        <w:spacing w:before="0" w:after="0"/>
        <w:rPr>
          <w:rFonts w:ascii="Arial" w:eastAsia="Arial" w:hAnsi="Arial" w:cs="Arial"/>
          <w:bdr w:val="nil"/>
          <w:lang w:bidi="en-US"/>
        </w:rPr>
      </w:pPr>
      <w:r w:rsidRPr="00AB25E8">
        <w:rPr>
          <w:rFonts w:ascii="Arial" w:eastAsia="Arial" w:hAnsi="Arial" w:cs="Arial"/>
          <w:lang w:bidi="en-US"/>
        </w:rPr>
        <w:t>Windward Offshore GmbH &amp; Co. KG, or Windward, is a limited partnership operating an offshore wind vessel company based in Germany. One of our subsidiaries, Diana Energize Inc., or Diana Energize, entered into a novated agreement to contribute capital for Windward’s construction of four CSOVs, ultimately contributing 45.87% of Windward’s capital.</w:t>
      </w:r>
      <w:r w:rsidR="00B60F58" w:rsidRPr="00B60F58">
        <w:rPr>
          <w:rFonts w:ascii="Arial" w:eastAsia="Arial" w:hAnsi="Arial" w:cs="Arial"/>
          <w:color w:val="auto"/>
          <w:lang w:eastAsia="en-US"/>
        </w:rPr>
        <w:t xml:space="preserve"> </w:t>
      </w:r>
      <w:r w:rsidR="00B60F58" w:rsidRPr="00B60F58">
        <w:rPr>
          <w:rFonts w:ascii="Arial" w:eastAsia="Arial" w:hAnsi="Arial" w:cs="Arial"/>
          <w:lang w:bidi="en-US"/>
        </w:rPr>
        <w:t>On May 5, 2025, a new partner was admitted to Windward and the Company received Euro 3.1 million as return of capital, which reduced the Company’s ownership percentage to 34%.</w:t>
      </w:r>
      <w:r w:rsidRPr="00AB25E8">
        <w:rPr>
          <w:rFonts w:ascii="Arial" w:eastAsia="Arial" w:hAnsi="Arial" w:cs="Arial"/>
          <w:lang w:bidi="en-US"/>
        </w:rPr>
        <w:t xml:space="preserve"> </w:t>
      </w:r>
      <w:r>
        <w:rPr>
          <w:rFonts w:ascii="Arial" w:eastAsia="Arial" w:hAnsi="Arial" w:cs="Arial"/>
          <w:lang w:bidi="en-US"/>
        </w:rPr>
        <w:t>As of December 31,</w:t>
      </w:r>
      <w:r w:rsidRPr="00AB25E8">
        <w:rPr>
          <w:rFonts w:ascii="Arial" w:eastAsia="Arial" w:hAnsi="Arial" w:cs="Arial"/>
          <w:lang w:bidi="en-US"/>
        </w:rPr>
        <w:t xml:space="preserve"> 202</w:t>
      </w:r>
      <w:r w:rsidR="00B60F58">
        <w:rPr>
          <w:rFonts w:ascii="Arial" w:eastAsia="Arial" w:hAnsi="Arial" w:cs="Arial"/>
          <w:lang w:bidi="en-US"/>
        </w:rPr>
        <w:t>5</w:t>
      </w:r>
      <w:r w:rsidRPr="00AB25E8">
        <w:rPr>
          <w:rFonts w:ascii="Arial" w:eastAsia="Arial" w:hAnsi="Arial" w:cs="Arial"/>
          <w:lang w:bidi="en-US"/>
        </w:rPr>
        <w:t xml:space="preserve">, </w:t>
      </w:r>
      <w:r w:rsidR="00583B0E">
        <w:rPr>
          <w:rFonts w:ascii="Arial" w:eastAsia="Arial" w:hAnsi="Arial" w:cs="Arial"/>
          <w:lang w:bidi="en-US"/>
        </w:rPr>
        <w:t>our</w:t>
      </w:r>
      <w:r w:rsidRPr="00AB25E8">
        <w:rPr>
          <w:rFonts w:ascii="Arial" w:eastAsia="Arial" w:hAnsi="Arial" w:cs="Arial"/>
          <w:lang w:bidi="en-US"/>
        </w:rPr>
        <w:t xml:space="preserve"> investment in Windward amounted to $</w:t>
      </w:r>
      <w:r w:rsidR="00B60F58">
        <w:rPr>
          <w:rFonts w:ascii="Arial" w:eastAsia="Arial" w:hAnsi="Arial" w:cs="Arial"/>
          <w:lang w:bidi="en-US"/>
        </w:rPr>
        <w:t>44</w:t>
      </w:r>
      <w:r>
        <w:rPr>
          <w:rFonts w:ascii="Arial" w:eastAsia="Arial" w:hAnsi="Arial" w:cs="Arial"/>
          <w:lang w:bidi="en-US"/>
        </w:rPr>
        <w:t>.</w:t>
      </w:r>
      <w:r w:rsidR="00B60F58">
        <w:rPr>
          <w:rFonts w:ascii="Arial" w:eastAsia="Arial" w:hAnsi="Arial" w:cs="Arial"/>
          <w:lang w:bidi="en-US"/>
        </w:rPr>
        <w:t>5</w:t>
      </w:r>
      <w:r>
        <w:rPr>
          <w:rFonts w:ascii="Arial" w:eastAsia="Arial" w:hAnsi="Arial" w:cs="Arial"/>
          <w:lang w:bidi="en-US"/>
        </w:rPr>
        <w:t xml:space="preserve"> million</w:t>
      </w:r>
      <w:r w:rsidRPr="00AB25E8">
        <w:rPr>
          <w:rFonts w:ascii="Arial" w:eastAsia="Arial" w:hAnsi="Arial" w:cs="Arial"/>
          <w:lang w:bidi="en-US"/>
        </w:rPr>
        <w:t xml:space="preserve"> consisting of advances to fund the construction of the vessels</w:t>
      </w:r>
      <w:r w:rsidR="00914ABB">
        <w:rPr>
          <w:rFonts w:ascii="Arial" w:eastAsia="Arial" w:hAnsi="Arial" w:cs="Arial"/>
          <w:lang w:bidi="en-US"/>
        </w:rPr>
        <w:t xml:space="preserve">, </w:t>
      </w:r>
      <w:r w:rsidRPr="00AB25E8">
        <w:rPr>
          <w:rFonts w:ascii="Arial" w:eastAsia="Arial" w:hAnsi="Arial" w:cs="Arial"/>
          <w:lang w:bidi="en-US"/>
        </w:rPr>
        <w:t xml:space="preserve">working </w:t>
      </w:r>
      <w:r w:rsidR="00914ABB" w:rsidRPr="00AB25E8">
        <w:rPr>
          <w:rFonts w:ascii="Arial" w:eastAsia="Arial" w:hAnsi="Arial" w:cs="Arial"/>
          <w:lang w:bidi="en-US"/>
        </w:rPr>
        <w:t xml:space="preserve">capital </w:t>
      </w:r>
      <w:r w:rsidR="00914ABB">
        <w:rPr>
          <w:rFonts w:ascii="Arial" w:eastAsia="Arial" w:hAnsi="Arial" w:cs="Arial"/>
          <w:lang w:bidi="en-US"/>
        </w:rPr>
        <w:t xml:space="preserve">and our </w:t>
      </w:r>
      <w:r w:rsidR="00583B0E">
        <w:rPr>
          <w:rFonts w:ascii="Arial" w:eastAsia="Arial" w:hAnsi="Arial" w:cs="Arial"/>
          <w:lang w:bidi="en-US"/>
        </w:rPr>
        <w:t>share</w:t>
      </w:r>
      <w:r w:rsidR="00914ABB">
        <w:rPr>
          <w:rFonts w:ascii="Arial" w:eastAsia="Arial" w:hAnsi="Arial" w:cs="Arial"/>
          <w:lang w:bidi="en-US"/>
        </w:rPr>
        <w:t xml:space="preserve"> in Windward’s results</w:t>
      </w:r>
      <w:r w:rsidRPr="00AB25E8">
        <w:rPr>
          <w:rFonts w:ascii="Arial" w:eastAsia="Arial" w:hAnsi="Arial" w:cs="Arial"/>
          <w:lang w:bidi="en-US"/>
        </w:rPr>
        <w:t>.</w:t>
      </w:r>
    </w:p>
    <w:p w14:paraId="71F3EA4B" w14:textId="77777777" w:rsidR="00AB25E8" w:rsidRPr="00AB25E8" w:rsidRDefault="00AB25E8" w:rsidP="00AB25E8">
      <w:pPr>
        <w:pStyle w:val="Char1"/>
        <w:pBdr>
          <w:top w:val="nil"/>
          <w:left w:val="nil"/>
          <w:bottom w:val="nil"/>
          <w:right w:val="nil"/>
          <w:between w:val="nil"/>
          <w:bar w:val="nil"/>
        </w:pBdr>
        <w:spacing w:before="0" w:after="0"/>
        <w:jc w:val="left"/>
        <w:rPr>
          <w:rFonts w:ascii="Arial" w:eastAsia="Arial" w:hAnsi="Arial" w:cs="Arial"/>
          <w:bdr w:val="nil"/>
          <w:lang w:bidi="en-US"/>
        </w:rPr>
      </w:pPr>
    </w:p>
    <w:p w14:paraId="71F3EA4C" w14:textId="77777777" w:rsidR="00AB25E8" w:rsidRDefault="003A4815" w:rsidP="00AB25E8">
      <w:pPr>
        <w:pStyle w:val="Char1"/>
        <w:pBdr>
          <w:top w:val="nil"/>
          <w:left w:val="nil"/>
          <w:bottom w:val="nil"/>
          <w:right w:val="nil"/>
          <w:between w:val="nil"/>
          <w:bar w:val="nil"/>
        </w:pBdr>
        <w:spacing w:before="0" w:after="0"/>
        <w:jc w:val="left"/>
        <w:rPr>
          <w:rFonts w:ascii="Arial" w:eastAsia="Arial" w:hAnsi="Arial" w:cs="Arial"/>
          <w:b/>
          <w:bCs/>
          <w:bdr w:val="nil"/>
          <w:lang w:bidi="en-US"/>
        </w:rPr>
      </w:pPr>
      <w:r w:rsidRPr="00AB25E8">
        <w:rPr>
          <w:rFonts w:ascii="Arial" w:eastAsia="Arial" w:hAnsi="Arial" w:cs="Arial"/>
          <w:b/>
          <w:bCs/>
          <w:lang w:bidi="en-US"/>
        </w:rPr>
        <w:t xml:space="preserve">Diana Mariners Inc. </w:t>
      </w:r>
    </w:p>
    <w:p w14:paraId="71F3EA4D" w14:textId="77777777" w:rsidR="00AB25E8" w:rsidRPr="00AB25E8" w:rsidRDefault="00AB25E8" w:rsidP="00AB25E8">
      <w:pPr>
        <w:pStyle w:val="Char1"/>
        <w:pBdr>
          <w:top w:val="nil"/>
          <w:left w:val="nil"/>
          <w:bottom w:val="nil"/>
          <w:right w:val="nil"/>
          <w:between w:val="nil"/>
          <w:bar w:val="nil"/>
        </w:pBdr>
        <w:spacing w:before="0" w:after="0"/>
        <w:jc w:val="left"/>
        <w:rPr>
          <w:rFonts w:ascii="Arial" w:eastAsia="Arial" w:hAnsi="Arial" w:cs="Arial"/>
          <w:b/>
          <w:bCs/>
          <w:bdr w:val="nil"/>
          <w:lang w:bidi="en-US"/>
        </w:rPr>
      </w:pPr>
    </w:p>
    <w:p w14:paraId="71F3EA4E" w14:textId="77777777" w:rsidR="00AB25E8" w:rsidRDefault="003A4815" w:rsidP="005C6E77">
      <w:pPr>
        <w:pStyle w:val="Char1"/>
        <w:pBdr>
          <w:top w:val="nil"/>
          <w:left w:val="nil"/>
          <w:bottom w:val="nil"/>
          <w:right w:val="nil"/>
          <w:between w:val="nil"/>
          <w:bar w:val="nil"/>
        </w:pBdr>
        <w:spacing w:before="0" w:after="0"/>
        <w:rPr>
          <w:rFonts w:ascii="Arial" w:eastAsia="Arial" w:hAnsi="Arial" w:cs="Arial"/>
          <w:bdr w:val="nil"/>
          <w:lang w:bidi="en-US"/>
        </w:rPr>
      </w:pPr>
      <w:r w:rsidRPr="00AB25E8">
        <w:rPr>
          <w:rFonts w:ascii="Arial" w:eastAsia="Arial" w:hAnsi="Arial" w:cs="Arial"/>
          <w:lang w:bidi="en-US"/>
        </w:rPr>
        <w:t>In 2023, we acquired through one of our subsidiaries, Cebu Shipping Company Inc., or Cebu</w:t>
      </w:r>
      <w:r>
        <w:rPr>
          <w:rFonts w:ascii="Arial" w:eastAsia="Arial" w:hAnsi="Arial" w:cs="Arial"/>
          <w:lang w:bidi="en-US"/>
        </w:rPr>
        <w:t xml:space="preserve">, </w:t>
      </w:r>
      <w:r w:rsidR="00583B0E">
        <w:rPr>
          <w:rFonts w:ascii="Arial" w:eastAsia="Arial" w:hAnsi="Arial" w:cs="Arial"/>
          <w:lang w:bidi="en-US"/>
        </w:rPr>
        <w:t xml:space="preserve">a </w:t>
      </w:r>
      <w:r w:rsidRPr="00AB25E8">
        <w:rPr>
          <w:rFonts w:ascii="Arial" w:eastAsia="Arial" w:hAnsi="Arial" w:cs="Arial"/>
          <w:lang w:bidi="en-US"/>
        </w:rPr>
        <w:t>24%</w:t>
      </w:r>
      <w:r w:rsidR="00583B0E">
        <w:rPr>
          <w:rFonts w:ascii="Arial" w:eastAsia="Arial" w:hAnsi="Arial" w:cs="Arial"/>
          <w:lang w:bidi="en-US"/>
        </w:rPr>
        <w:t xml:space="preserve"> interest in </w:t>
      </w:r>
      <w:r w:rsidRPr="00AB25E8">
        <w:rPr>
          <w:rFonts w:ascii="Arial" w:eastAsia="Arial" w:hAnsi="Arial" w:cs="Arial"/>
          <w:lang w:bidi="en-US"/>
        </w:rPr>
        <w:t>Cohen Global Maritime Inc., or Cohen</w:t>
      </w:r>
      <w:r>
        <w:rPr>
          <w:rFonts w:ascii="Arial" w:eastAsia="Arial" w:hAnsi="Arial" w:cs="Arial"/>
          <w:lang w:bidi="en-US"/>
        </w:rPr>
        <w:t xml:space="preserve">, </w:t>
      </w:r>
      <w:r w:rsidRPr="00AB25E8">
        <w:rPr>
          <w:rFonts w:ascii="Arial" w:eastAsia="Arial" w:hAnsi="Arial" w:cs="Arial"/>
          <w:lang w:bidi="en-US"/>
        </w:rPr>
        <w:t>a company organized in the Republic of the Philippines</w:t>
      </w:r>
      <w:r>
        <w:rPr>
          <w:rFonts w:ascii="Arial" w:eastAsia="Arial" w:hAnsi="Arial" w:cs="Arial"/>
          <w:lang w:bidi="en-US"/>
        </w:rPr>
        <w:t xml:space="preserve"> for the purpose of providing manning services to our vessels</w:t>
      </w:r>
      <w:r w:rsidRPr="00AB25E8">
        <w:rPr>
          <w:rFonts w:ascii="Arial" w:eastAsia="Arial" w:hAnsi="Arial" w:cs="Arial"/>
          <w:lang w:bidi="en-US"/>
        </w:rPr>
        <w:t xml:space="preserve">. </w:t>
      </w:r>
      <w:r>
        <w:rPr>
          <w:rFonts w:ascii="Arial" w:eastAsia="Arial" w:hAnsi="Arial" w:cs="Arial"/>
          <w:lang w:bidi="en-US"/>
        </w:rPr>
        <w:t>Co</w:t>
      </w:r>
      <w:r w:rsidR="00C82882">
        <w:rPr>
          <w:rFonts w:ascii="Arial" w:eastAsia="Arial" w:hAnsi="Arial" w:cs="Arial"/>
          <w:lang w:bidi="en-US"/>
        </w:rPr>
        <w:t>hen</w:t>
      </w:r>
      <w:r>
        <w:rPr>
          <w:rFonts w:ascii="Arial" w:eastAsia="Arial" w:hAnsi="Arial" w:cs="Arial"/>
          <w:lang w:bidi="en-US"/>
        </w:rPr>
        <w:t xml:space="preserve"> was renamed </w:t>
      </w:r>
      <w:r w:rsidR="00C82882" w:rsidRPr="00AB25E8">
        <w:rPr>
          <w:rFonts w:ascii="Arial" w:eastAsia="Arial" w:hAnsi="Arial" w:cs="Arial"/>
          <w:lang w:bidi="en-US"/>
        </w:rPr>
        <w:t>Diana Mariners Inc.,</w:t>
      </w:r>
      <w:r w:rsidR="00C82882">
        <w:rPr>
          <w:rFonts w:ascii="Arial" w:eastAsia="Arial" w:hAnsi="Arial" w:cs="Arial"/>
          <w:lang w:bidi="en-US"/>
        </w:rPr>
        <w:t xml:space="preserve"> or Diana Mariners,</w:t>
      </w:r>
      <w:r w:rsidR="00C82882" w:rsidRPr="00AB25E8">
        <w:rPr>
          <w:rFonts w:ascii="Arial" w:eastAsia="Arial" w:hAnsi="Arial" w:cs="Arial"/>
          <w:lang w:bidi="en-US"/>
        </w:rPr>
        <w:t xml:space="preserve"> in August 2024. </w:t>
      </w:r>
      <w:r w:rsidR="00C82882">
        <w:rPr>
          <w:rFonts w:ascii="Arial" w:eastAsia="Arial" w:hAnsi="Arial" w:cs="Arial"/>
          <w:lang w:bidi="en-US"/>
        </w:rPr>
        <w:t>As of December 31,</w:t>
      </w:r>
      <w:r w:rsidR="00C82882" w:rsidRPr="00AB25E8">
        <w:rPr>
          <w:rFonts w:ascii="Arial" w:eastAsia="Arial" w:hAnsi="Arial" w:cs="Arial"/>
          <w:lang w:bidi="en-US"/>
        </w:rPr>
        <w:t xml:space="preserve"> </w:t>
      </w:r>
      <w:r w:rsidR="004F0E0D">
        <w:rPr>
          <w:rFonts w:ascii="Arial" w:eastAsia="Arial" w:hAnsi="Arial" w:cs="Arial"/>
          <w:lang w:bidi="en-US"/>
        </w:rPr>
        <w:t>2025</w:t>
      </w:r>
      <w:r w:rsidR="00C82882" w:rsidRPr="00AB25E8">
        <w:rPr>
          <w:rFonts w:ascii="Arial" w:eastAsia="Arial" w:hAnsi="Arial" w:cs="Arial"/>
          <w:lang w:bidi="en-US"/>
        </w:rPr>
        <w:t>, our investment in Diana Mariners amounted to $</w:t>
      </w:r>
      <w:r w:rsidR="00C82882">
        <w:rPr>
          <w:rFonts w:ascii="Arial" w:eastAsia="Arial" w:hAnsi="Arial" w:cs="Arial"/>
          <w:lang w:bidi="en-US"/>
        </w:rPr>
        <w:t>0.4 million</w:t>
      </w:r>
      <w:r w:rsidR="00C82882" w:rsidRPr="00AB25E8">
        <w:rPr>
          <w:rFonts w:ascii="Arial" w:eastAsia="Arial" w:hAnsi="Arial" w:cs="Arial"/>
          <w:lang w:bidi="en-US"/>
        </w:rPr>
        <w:t xml:space="preserve"> and $</w:t>
      </w:r>
      <w:r w:rsidR="00C82882">
        <w:rPr>
          <w:rFonts w:ascii="Arial" w:eastAsia="Arial" w:hAnsi="Arial" w:cs="Arial"/>
          <w:lang w:bidi="en-US"/>
        </w:rPr>
        <w:t>0.</w:t>
      </w:r>
      <w:r w:rsidR="008C2F19">
        <w:rPr>
          <w:rFonts w:ascii="Arial" w:eastAsia="Arial" w:hAnsi="Arial" w:cs="Arial"/>
          <w:lang w:bidi="en-US"/>
        </w:rPr>
        <w:t>8</w:t>
      </w:r>
      <w:r w:rsidR="00C82882">
        <w:rPr>
          <w:rFonts w:ascii="Arial" w:eastAsia="Arial" w:hAnsi="Arial" w:cs="Arial"/>
          <w:lang w:bidi="en-US"/>
        </w:rPr>
        <w:t xml:space="preserve"> million</w:t>
      </w:r>
      <w:r w:rsidR="00C82882" w:rsidRPr="00AB25E8">
        <w:rPr>
          <w:rFonts w:ascii="Arial" w:eastAsia="Arial" w:hAnsi="Arial" w:cs="Arial"/>
          <w:lang w:bidi="en-US"/>
        </w:rPr>
        <w:t xml:space="preserve"> </w:t>
      </w:r>
      <w:r w:rsidR="00583B0E">
        <w:rPr>
          <w:rFonts w:ascii="Arial" w:eastAsia="Arial" w:hAnsi="Arial" w:cs="Arial"/>
          <w:lang w:bidi="en-US"/>
        </w:rPr>
        <w:t xml:space="preserve">was </w:t>
      </w:r>
      <w:r w:rsidR="00C82882" w:rsidRPr="00AB25E8">
        <w:rPr>
          <w:rFonts w:ascii="Arial" w:eastAsia="Arial" w:hAnsi="Arial" w:cs="Arial"/>
          <w:lang w:bidi="en-US"/>
        </w:rPr>
        <w:t xml:space="preserve">due from Diana Mariners. </w:t>
      </w:r>
      <w:r w:rsidR="004F0E0D" w:rsidRPr="004F0E0D">
        <w:rPr>
          <w:rFonts w:ascii="Arial" w:eastAsia="Arial" w:hAnsi="Arial" w:cs="Arial"/>
          <w:lang w:bidi="en-US"/>
        </w:rPr>
        <w:t xml:space="preserve">As of December 31, </w:t>
      </w:r>
      <w:r w:rsidR="004F0E0D">
        <w:rPr>
          <w:rFonts w:ascii="Arial" w:eastAsia="Arial" w:hAnsi="Arial" w:cs="Arial"/>
          <w:lang w:bidi="en-US"/>
        </w:rPr>
        <w:t>2025</w:t>
      </w:r>
      <w:r w:rsidR="004F0E0D" w:rsidRPr="004F0E0D">
        <w:rPr>
          <w:rFonts w:ascii="Arial" w:eastAsia="Arial" w:hAnsi="Arial" w:cs="Arial"/>
          <w:lang w:bidi="en-US"/>
        </w:rPr>
        <w:t xml:space="preserve">, all of the Company’s ship-owning subsidiaries </w:t>
      </w:r>
      <w:r w:rsidR="00956774">
        <w:rPr>
          <w:rFonts w:ascii="Arial" w:eastAsia="Arial" w:hAnsi="Arial" w:cs="Arial"/>
          <w:lang w:bidi="en-US"/>
        </w:rPr>
        <w:t>had</w:t>
      </w:r>
      <w:r w:rsidR="004F0E0D" w:rsidRPr="004F0E0D">
        <w:rPr>
          <w:rFonts w:ascii="Arial" w:eastAsia="Arial" w:hAnsi="Arial" w:cs="Arial"/>
          <w:lang w:bidi="en-US"/>
        </w:rPr>
        <w:t xml:space="preserve"> entered into manning agreements with Diana Mariners.</w:t>
      </w:r>
    </w:p>
    <w:p w14:paraId="71F3EA4F" w14:textId="77777777" w:rsidR="00F45BC5" w:rsidRDefault="00F45BC5" w:rsidP="005C6E77">
      <w:pPr>
        <w:pStyle w:val="Char1"/>
        <w:pBdr>
          <w:top w:val="nil"/>
          <w:left w:val="nil"/>
          <w:bottom w:val="nil"/>
          <w:right w:val="nil"/>
          <w:between w:val="nil"/>
          <w:bar w:val="nil"/>
        </w:pBdr>
        <w:spacing w:before="0" w:after="0"/>
        <w:rPr>
          <w:rFonts w:ascii="Arial" w:eastAsia="Arial" w:hAnsi="Arial" w:cs="Arial"/>
          <w:bdr w:val="nil"/>
          <w:lang w:bidi="en-US"/>
        </w:rPr>
      </w:pPr>
    </w:p>
    <w:p w14:paraId="71F3EA50" w14:textId="77777777" w:rsidR="00F45BC5" w:rsidRDefault="003A4815" w:rsidP="005C6E77">
      <w:pPr>
        <w:pStyle w:val="Char1"/>
        <w:pBdr>
          <w:top w:val="nil"/>
          <w:left w:val="nil"/>
          <w:bottom w:val="nil"/>
          <w:right w:val="nil"/>
          <w:between w:val="nil"/>
          <w:bar w:val="nil"/>
        </w:pBdr>
        <w:spacing w:before="0" w:after="0"/>
        <w:rPr>
          <w:rFonts w:ascii="Arial" w:eastAsia="Arial" w:hAnsi="Arial" w:cs="Arial"/>
          <w:b/>
          <w:bCs/>
          <w:bdr w:val="nil"/>
          <w:lang w:bidi="en-US"/>
        </w:rPr>
      </w:pPr>
      <w:r w:rsidRPr="00F45BC5">
        <w:rPr>
          <w:rFonts w:ascii="Arial" w:eastAsia="Arial" w:hAnsi="Arial" w:cs="Arial"/>
          <w:b/>
          <w:bCs/>
          <w:lang w:bidi="en-US"/>
        </w:rPr>
        <w:t>Ecogas Holding A</w:t>
      </w:r>
      <w:r>
        <w:rPr>
          <w:rFonts w:ascii="Arial" w:eastAsia="Arial" w:hAnsi="Arial" w:cs="Arial"/>
          <w:b/>
          <w:bCs/>
          <w:lang w:bidi="en-US"/>
        </w:rPr>
        <w:t>S.</w:t>
      </w:r>
    </w:p>
    <w:p w14:paraId="71F3EA51" w14:textId="77777777" w:rsidR="00F45BC5" w:rsidRDefault="00F45BC5" w:rsidP="005C6E77">
      <w:pPr>
        <w:pStyle w:val="Char1"/>
        <w:pBdr>
          <w:top w:val="nil"/>
          <w:left w:val="nil"/>
          <w:bottom w:val="nil"/>
          <w:right w:val="nil"/>
          <w:between w:val="nil"/>
          <w:bar w:val="nil"/>
        </w:pBdr>
        <w:spacing w:before="0" w:after="0"/>
        <w:rPr>
          <w:rFonts w:ascii="Arial" w:eastAsia="Arial" w:hAnsi="Arial" w:cs="Arial"/>
          <w:b/>
          <w:bCs/>
          <w:bdr w:val="nil"/>
          <w:lang w:bidi="en-US"/>
        </w:rPr>
      </w:pPr>
    </w:p>
    <w:p w14:paraId="71F3EA52" w14:textId="77777777" w:rsidR="00F45BC5" w:rsidRPr="00F45BC5" w:rsidRDefault="003A4815" w:rsidP="005C6E77">
      <w:pPr>
        <w:pStyle w:val="Char1"/>
        <w:pBdr>
          <w:top w:val="nil"/>
          <w:left w:val="nil"/>
          <w:bottom w:val="nil"/>
          <w:right w:val="nil"/>
          <w:between w:val="nil"/>
          <w:bar w:val="nil"/>
        </w:pBdr>
        <w:spacing w:before="0" w:after="0"/>
        <w:rPr>
          <w:rFonts w:ascii="Arial" w:eastAsia="Arial" w:hAnsi="Arial" w:cs="Arial"/>
          <w:bdr w:val="nil"/>
          <w:lang w:bidi="en-US"/>
        </w:rPr>
      </w:pPr>
      <w:r w:rsidRPr="00F45BC5">
        <w:rPr>
          <w:rFonts w:ascii="Arial" w:eastAsia="Arial" w:hAnsi="Arial" w:cs="Arial"/>
          <w:lang w:bidi="en-US"/>
        </w:rPr>
        <w:t xml:space="preserve">On March 12, 2025, </w:t>
      </w:r>
      <w:r>
        <w:rPr>
          <w:rFonts w:ascii="Arial" w:eastAsia="Arial" w:hAnsi="Arial" w:cs="Arial"/>
          <w:lang w:bidi="en-US"/>
        </w:rPr>
        <w:t>we entered</w:t>
      </w:r>
      <w:r w:rsidRPr="00F45BC5">
        <w:rPr>
          <w:rFonts w:ascii="Arial" w:eastAsia="Arial" w:hAnsi="Arial" w:cs="Arial"/>
          <w:lang w:bidi="en-US"/>
        </w:rPr>
        <w:t xml:space="preserve">, through </w:t>
      </w:r>
      <w:r w:rsidR="0081650B">
        <w:rPr>
          <w:rFonts w:ascii="Arial" w:eastAsia="Arial" w:hAnsi="Arial" w:cs="Arial"/>
          <w:lang w:bidi="en-US"/>
        </w:rPr>
        <w:t>our</w:t>
      </w:r>
      <w:r w:rsidRPr="00F45BC5">
        <w:rPr>
          <w:rFonts w:ascii="Arial" w:eastAsia="Arial" w:hAnsi="Arial" w:cs="Arial"/>
          <w:lang w:bidi="en-US"/>
        </w:rPr>
        <w:t xml:space="preserve"> wholly owned subsidiary Diana Gas Inc., into a joint venture agreement with an unrelated party to establish </w:t>
      </w:r>
      <w:bookmarkStart w:id="205" w:name="_Hlk198566329"/>
      <w:r w:rsidRPr="00F45BC5">
        <w:rPr>
          <w:rFonts w:ascii="Arial" w:eastAsia="Arial" w:hAnsi="Arial" w:cs="Arial"/>
          <w:lang w:bidi="en-US"/>
        </w:rPr>
        <w:t>Ecogas</w:t>
      </w:r>
      <w:bookmarkEnd w:id="205"/>
      <w:r w:rsidRPr="00F45BC5">
        <w:rPr>
          <w:rFonts w:ascii="Arial" w:eastAsia="Arial" w:hAnsi="Arial" w:cs="Arial"/>
          <w:lang w:bidi="en-US"/>
        </w:rPr>
        <w:t xml:space="preserve">, a company formed under the laws of Norway, for the purpose of building two 7,500 cbm LPG vessels </w:t>
      </w:r>
      <w:r w:rsidR="0081650B">
        <w:rPr>
          <w:rFonts w:ascii="Arial" w:eastAsia="Arial" w:hAnsi="Arial" w:cs="Arial"/>
          <w:lang w:bidi="en-US"/>
        </w:rPr>
        <w:t xml:space="preserve">scheduled for </w:t>
      </w:r>
      <w:r w:rsidRPr="00F45BC5">
        <w:rPr>
          <w:rFonts w:ascii="Arial" w:eastAsia="Arial" w:hAnsi="Arial" w:cs="Arial"/>
          <w:lang w:bidi="en-US"/>
        </w:rPr>
        <w:t>delivery in 2027. The Company agreed to contribute $18</w:t>
      </w:r>
      <w:r>
        <w:rPr>
          <w:rFonts w:ascii="Arial" w:eastAsia="Arial" w:hAnsi="Arial" w:cs="Arial"/>
          <w:lang w:bidi="en-US"/>
        </w:rPr>
        <w:t>.5 million</w:t>
      </w:r>
      <w:r w:rsidRPr="00F45BC5">
        <w:rPr>
          <w:rFonts w:ascii="Arial" w:eastAsia="Arial" w:hAnsi="Arial" w:cs="Arial"/>
          <w:lang w:bidi="en-US"/>
        </w:rPr>
        <w:t xml:space="preserve">, </w:t>
      </w:r>
      <w:r w:rsidR="0081650B">
        <w:rPr>
          <w:rFonts w:ascii="Arial" w:eastAsia="Arial" w:hAnsi="Arial" w:cs="Arial"/>
          <w:lang w:bidi="en-US"/>
        </w:rPr>
        <w:t>representing an</w:t>
      </w:r>
      <w:r w:rsidRPr="00F45BC5">
        <w:rPr>
          <w:rFonts w:ascii="Arial" w:eastAsia="Arial" w:hAnsi="Arial" w:cs="Arial"/>
          <w:lang w:bidi="en-US"/>
        </w:rPr>
        <w:t xml:space="preserve"> 80% equity interest for the construction of the two vessels. </w:t>
      </w:r>
      <w:r>
        <w:rPr>
          <w:rFonts w:ascii="Arial" w:eastAsia="Arial" w:hAnsi="Arial" w:cs="Arial"/>
          <w:lang w:bidi="en-US"/>
        </w:rPr>
        <w:t>As of December 31,</w:t>
      </w:r>
      <w:r w:rsidRPr="00AB25E8">
        <w:rPr>
          <w:rFonts w:ascii="Arial" w:eastAsia="Arial" w:hAnsi="Arial" w:cs="Arial"/>
          <w:lang w:bidi="en-US"/>
        </w:rPr>
        <w:t xml:space="preserve"> 202</w:t>
      </w:r>
      <w:r>
        <w:rPr>
          <w:rFonts w:ascii="Arial" w:eastAsia="Arial" w:hAnsi="Arial" w:cs="Arial"/>
          <w:lang w:bidi="en-US"/>
        </w:rPr>
        <w:t>5</w:t>
      </w:r>
      <w:r w:rsidRPr="00AB25E8">
        <w:rPr>
          <w:rFonts w:ascii="Arial" w:eastAsia="Arial" w:hAnsi="Arial" w:cs="Arial"/>
          <w:lang w:bidi="en-US"/>
        </w:rPr>
        <w:t xml:space="preserve">, </w:t>
      </w:r>
      <w:r w:rsidR="0081650B">
        <w:rPr>
          <w:rFonts w:ascii="Arial" w:eastAsia="Arial" w:hAnsi="Arial" w:cs="Arial"/>
          <w:lang w:bidi="en-US"/>
        </w:rPr>
        <w:t>our</w:t>
      </w:r>
      <w:r w:rsidRPr="00AB25E8">
        <w:rPr>
          <w:rFonts w:ascii="Arial" w:eastAsia="Arial" w:hAnsi="Arial" w:cs="Arial"/>
          <w:lang w:bidi="en-US"/>
        </w:rPr>
        <w:t xml:space="preserve"> investment in</w:t>
      </w:r>
      <w:r>
        <w:rPr>
          <w:rFonts w:ascii="Arial" w:eastAsia="Arial" w:hAnsi="Arial" w:cs="Arial"/>
          <w:lang w:bidi="en-US"/>
        </w:rPr>
        <w:t xml:space="preserve"> Ecogas </w:t>
      </w:r>
      <w:r w:rsidRPr="00F45BC5">
        <w:rPr>
          <w:rFonts w:ascii="Arial" w:eastAsia="Arial" w:hAnsi="Arial" w:cs="Arial"/>
          <w:lang w:bidi="en-US"/>
        </w:rPr>
        <w:t>amounted to $8</w:t>
      </w:r>
      <w:r>
        <w:rPr>
          <w:rFonts w:ascii="Arial" w:eastAsia="Arial" w:hAnsi="Arial" w:cs="Arial"/>
          <w:lang w:bidi="en-US"/>
        </w:rPr>
        <w:t>.8 million</w:t>
      </w:r>
      <w:r w:rsidRPr="00F45BC5">
        <w:rPr>
          <w:rFonts w:ascii="Arial" w:eastAsia="Arial" w:hAnsi="Arial" w:cs="Arial"/>
          <w:lang w:bidi="en-US"/>
        </w:rPr>
        <w:t xml:space="preserve">, representing </w:t>
      </w:r>
      <w:r w:rsidR="00221715">
        <w:rPr>
          <w:rFonts w:ascii="Arial" w:eastAsia="Arial" w:hAnsi="Arial" w:cs="Arial"/>
          <w:lang w:bidi="en-US"/>
        </w:rPr>
        <w:t>a portion of our</w:t>
      </w:r>
      <w:r w:rsidRPr="00F45BC5">
        <w:rPr>
          <w:rFonts w:ascii="Arial" w:eastAsia="Arial" w:hAnsi="Arial" w:cs="Arial"/>
          <w:lang w:bidi="en-US"/>
        </w:rPr>
        <w:t xml:space="preserve"> equity </w:t>
      </w:r>
      <w:r w:rsidR="00221715">
        <w:rPr>
          <w:rFonts w:ascii="Arial" w:eastAsia="Arial" w:hAnsi="Arial" w:cs="Arial"/>
          <w:lang w:bidi="en-US"/>
        </w:rPr>
        <w:t xml:space="preserve">contributions </w:t>
      </w:r>
      <w:r w:rsidRPr="00F45BC5">
        <w:rPr>
          <w:rFonts w:ascii="Arial" w:eastAsia="Arial" w:hAnsi="Arial" w:cs="Arial"/>
          <w:lang w:bidi="en-US"/>
        </w:rPr>
        <w:t>to fund the construction of the vessels and working capital</w:t>
      </w:r>
      <w:r w:rsidR="00221715">
        <w:rPr>
          <w:rFonts w:ascii="Arial" w:eastAsia="Arial" w:hAnsi="Arial" w:cs="Arial"/>
          <w:lang w:bidi="en-US"/>
        </w:rPr>
        <w:t xml:space="preserve"> as well as our share of the loss recognized from this investment at year-end.</w:t>
      </w:r>
    </w:p>
    <w:p w14:paraId="71F3EA53"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54" w14:textId="77777777" w:rsidR="00C95995" w:rsidRPr="007F100E" w:rsidRDefault="003A4815" w:rsidP="003816E7">
      <w:pPr>
        <w:pStyle w:val="Heading2"/>
        <w:keepLines/>
        <w:pBdr>
          <w:top w:val="nil"/>
          <w:left w:val="nil"/>
          <w:bottom w:val="nil"/>
          <w:right w:val="nil"/>
          <w:between w:val="nil"/>
          <w:bar w:val="nil"/>
        </w:pBdr>
        <w:ind w:left="714"/>
        <w:rPr>
          <w:rFonts w:ascii="Arial" w:eastAsia="Arial" w:hAnsi="Arial" w:cs="Arial"/>
          <w:color w:val="auto"/>
          <w:szCs w:val="24"/>
          <w:bdr w:val="nil"/>
          <w:lang w:eastAsia="el-GR" w:bidi="en-US"/>
        </w:rPr>
      </w:pPr>
      <w:bookmarkStart w:id="206" w:name="RG_MARKER_23078"/>
      <w:r w:rsidRPr="007F100E">
        <w:rPr>
          <w:rFonts w:ascii="Arial" w:eastAsia="Arial" w:hAnsi="Arial" w:cs="Arial"/>
          <w:color w:val="auto"/>
          <w:szCs w:val="24"/>
          <w:lang w:eastAsia="el-GR" w:bidi="en-US"/>
        </w:rPr>
        <w:t>C.</w:t>
      </w:r>
      <w:bookmarkEnd w:id="206"/>
      <w:r w:rsidRPr="007F100E">
        <w:rPr>
          <w:rFonts w:ascii="Arial" w:eastAsia="Arial" w:hAnsi="Arial" w:cs="Arial"/>
          <w:color w:val="auto"/>
          <w:szCs w:val="24"/>
          <w:lang w:eastAsia="el-GR" w:bidi="en-US"/>
        </w:rPr>
        <w:tab/>
        <w:t xml:space="preserve">Interests of Experts and Counsel </w:t>
      </w:r>
    </w:p>
    <w:p w14:paraId="71F3EA55" w14:textId="77777777" w:rsidR="0088000B" w:rsidRPr="007F100E" w:rsidRDefault="0088000B" w:rsidP="003816E7">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56" w14:textId="77777777" w:rsidR="00AF2731" w:rsidRPr="007F100E" w:rsidRDefault="003A4815" w:rsidP="0088000B">
      <w:pPr>
        <w:pStyle w:val="Char1"/>
        <w:pBdr>
          <w:top w:val="nil"/>
          <w:left w:val="nil"/>
          <w:bottom w:val="nil"/>
          <w:right w:val="nil"/>
          <w:between w:val="nil"/>
          <w:bar w:val="nil"/>
        </w:pBdr>
        <w:spacing w:before="0" w:after="0"/>
        <w:rPr>
          <w:rFonts w:ascii="Arial" w:eastAsia="Arial" w:hAnsi="Arial" w:cs="Arial"/>
          <w:bdr w:val="nil"/>
          <w:lang w:bidi="en-US"/>
        </w:rPr>
      </w:pPr>
      <w:r w:rsidRPr="007F100E">
        <w:rPr>
          <w:rFonts w:ascii="Arial" w:eastAsia="Arial" w:hAnsi="Arial" w:cs="Arial"/>
          <w:lang w:bidi="en-US"/>
        </w:rPr>
        <w:t>Not Applicable.</w:t>
      </w:r>
    </w:p>
    <w:p w14:paraId="71F3EA57" w14:textId="77777777" w:rsidR="005C5A00" w:rsidRPr="004F7D08" w:rsidRDefault="003A4815" w:rsidP="004F7D08">
      <w:pPr>
        <w:pStyle w:val="Heading1"/>
        <w:keepLines/>
        <w:pageBreakBefore/>
        <w:pBdr>
          <w:top w:val="nil"/>
          <w:left w:val="nil"/>
          <w:bottom w:val="nil"/>
          <w:right w:val="nil"/>
          <w:between w:val="nil"/>
          <w:bar w:val="nil"/>
        </w:pBdr>
        <w:spacing w:before="0" w:after="0"/>
        <w:rPr>
          <w:rFonts w:ascii="Arial" w:eastAsia="Arial" w:hAnsi="Arial" w:cs="Arial"/>
          <w:color w:val="auto"/>
          <w:kern w:val="0"/>
          <w:szCs w:val="28"/>
          <w:bdr w:val="nil"/>
          <w:lang w:eastAsia="el-GR" w:bidi="en-US"/>
        </w:rPr>
      </w:pPr>
      <w:bookmarkStart w:id="207" w:name="part1_item8"/>
      <w:bookmarkStart w:id="208" w:name="RG_MARKER_22984"/>
      <w:bookmarkStart w:id="209" w:name="RG_MARKER_23169"/>
      <w:bookmarkStart w:id="210" w:name="_Toc103668640"/>
      <w:bookmarkStart w:id="211" w:name="_Toc223262940"/>
      <w:bookmarkStart w:id="212" w:name="_Toc222553126"/>
      <w:bookmarkEnd w:id="207"/>
      <w:r w:rsidRPr="004F7D08">
        <w:rPr>
          <w:rFonts w:ascii="Arial" w:eastAsia="Arial" w:hAnsi="Arial" w:cs="Arial"/>
          <w:color w:val="auto"/>
          <w:kern w:val="0"/>
          <w:szCs w:val="28"/>
          <w:lang w:eastAsia="el-GR" w:bidi="en-US"/>
        </w:rPr>
        <w:t>Item 8.</w:t>
      </w:r>
      <w:bookmarkEnd w:id="208"/>
      <w:bookmarkEnd w:id="209"/>
      <w:r w:rsidRPr="004F7D08">
        <w:rPr>
          <w:rFonts w:ascii="Arial" w:eastAsia="Arial" w:hAnsi="Arial" w:cs="Arial"/>
          <w:color w:val="auto"/>
          <w:kern w:val="0"/>
          <w:szCs w:val="28"/>
          <w:lang w:eastAsia="el-GR" w:bidi="en-US"/>
        </w:rPr>
        <w:tab/>
        <w:t>Financial information</w:t>
      </w:r>
      <w:bookmarkEnd w:id="210"/>
      <w:bookmarkEnd w:id="211"/>
      <w:bookmarkEnd w:id="212"/>
    </w:p>
    <w:p w14:paraId="71F3EA58" w14:textId="77777777" w:rsidR="005C5A00" w:rsidRPr="004F7D08" w:rsidRDefault="005C5A00" w:rsidP="004F7D08">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59" w14:textId="77777777" w:rsidR="00FE1DEA" w:rsidRPr="004F7D08" w:rsidRDefault="003A4815" w:rsidP="004F7D08">
      <w:pPr>
        <w:pStyle w:val="Heading2"/>
        <w:keepLines/>
        <w:pBdr>
          <w:top w:val="nil"/>
          <w:left w:val="nil"/>
          <w:bottom w:val="nil"/>
          <w:right w:val="nil"/>
          <w:between w:val="nil"/>
          <w:bar w:val="nil"/>
        </w:pBdr>
        <w:ind w:left="714"/>
        <w:rPr>
          <w:rFonts w:ascii="Arial" w:eastAsia="Arial" w:hAnsi="Arial" w:cs="Arial"/>
          <w:color w:val="auto"/>
          <w:szCs w:val="24"/>
          <w:bdr w:val="nil"/>
          <w:lang w:val="en-GB" w:eastAsia="el-GR" w:bidi="en-US"/>
        </w:rPr>
      </w:pPr>
      <w:r w:rsidRPr="004F7D08">
        <w:rPr>
          <w:rFonts w:ascii="Arial" w:eastAsia="Arial" w:hAnsi="Arial" w:cs="Arial"/>
          <w:color w:val="auto"/>
          <w:szCs w:val="24"/>
          <w:bdr w:val="none" w:sz="0" w:space="0" w:color="auto" w:frame="1"/>
          <w:lang w:val="en-GB" w:eastAsia="el-GR" w:bidi="en-US"/>
        </w:rPr>
        <w:t>A.</w:t>
      </w:r>
      <w:r w:rsidRPr="004F7D08">
        <w:rPr>
          <w:rFonts w:ascii="Arial" w:eastAsia="Arial" w:hAnsi="Arial" w:cs="Arial"/>
          <w:color w:val="auto"/>
          <w:szCs w:val="24"/>
          <w:bdr w:val="none" w:sz="0" w:space="0" w:color="auto" w:frame="1"/>
          <w:lang w:val="en-GB" w:eastAsia="el-GR" w:bidi="en-US"/>
        </w:rPr>
        <w:tab/>
        <w:t>Consolidated statements and other financial information</w:t>
      </w:r>
    </w:p>
    <w:p w14:paraId="71F3EA5A" w14:textId="77777777" w:rsidR="005C5A00" w:rsidRPr="004F7D08" w:rsidRDefault="005C5A00" w:rsidP="004F7D08">
      <w:pPr>
        <w:pStyle w:val="Char1"/>
        <w:keepNext/>
        <w:keepLines/>
        <w:widowControl/>
        <w:pBdr>
          <w:top w:val="nil"/>
          <w:left w:val="nil"/>
          <w:bottom w:val="nil"/>
          <w:right w:val="nil"/>
          <w:between w:val="nil"/>
          <w:bar w:val="nil"/>
        </w:pBdr>
        <w:spacing w:before="0" w:after="0"/>
        <w:rPr>
          <w:rFonts w:ascii="Arial" w:eastAsia="Arial" w:hAnsi="Arial" w:cs="Arial"/>
          <w:bdr w:val="nil"/>
          <w:lang w:val="en-GB" w:bidi="en-US"/>
        </w:rPr>
      </w:pPr>
    </w:p>
    <w:p w14:paraId="71F3EA5B" w14:textId="77777777" w:rsidR="00652A8B" w:rsidRPr="004F7D08" w:rsidRDefault="003A4815" w:rsidP="004F7D08">
      <w:pPr>
        <w:pBdr>
          <w:top w:val="nil"/>
          <w:left w:val="nil"/>
          <w:bottom w:val="nil"/>
          <w:right w:val="nil"/>
          <w:between w:val="nil"/>
          <w:bar w:val="nil"/>
        </w:pBdr>
        <w:rPr>
          <w:rFonts w:ascii="Arial" w:eastAsia="Arial" w:hAnsi="Arial" w:cs="Arial"/>
          <w:bdr w:val="nil"/>
          <w:lang w:val="en-US"/>
        </w:rPr>
      </w:pPr>
      <w:r w:rsidRPr="004F7D08">
        <w:rPr>
          <w:rFonts w:ascii="Arial" w:eastAsia="Arial" w:hAnsi="Arial" w:cs="Arial"/>
          <w:lang w:val="en-US" w:bidi="en-US"/>
        </w:rPr>
        <w:t>See “Item 18. Financial Statements.”</w:t>
      </w:r>
    </w:p>
    <w:p w14:paraId="71F3EA5C" w14:textId="77777777" w:rsidR="005C5A00" w:rsidRPr="004F7D08" w:rsidRDefault="005C5A00" w:rsidP="004F7D08">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5D" w14:textId="77777777" w:rsidR="005C5A00" w:rsidRPr="004F7D08" w:rsidRDefault="003A4815" w:rsidP="004F7D08">
      <w:pPr>
        <w:pStyle w:val="Heading3"/>
        <w:keepLines/>
        <w:pBdr>
          <w:top w:val="nil"/>
          <w:left w:val="nil"/>
          <w:bottom w:val="nil"/>
          <w:right w:val="nil"/>
          <w:between w:val="nil"/>
          <w:bar w:val="nil"/>
        </w:pBdr>
        <w:jc w:val="left"/>
        <w:rPr>
          <w:rFonts w:eastAsia="Arial" w:cs="Arial"/>
          <w:i w:val="0"/>
          <w:bdr w:val="nil"/>
          <w:lang w:val="en-US" w:eastAsia="el-GR" w:bidi="en-US"/>
        </w:rPr>
      </w:pPr>
      <w:r w:rsidRPr="004F7D08">
        <w:rPr>
          <w:rFonts w:eastAsia="Arial" w:cs="Arial"/>
          <w:i w:val="0"/>
          <w:szCs w:val="22"/>
          <w:lang w:val="en-US" w:eastAsia="el-GR" w:bidi="en-US"/>
        </w:rPr>
        <w:t>Legal Proceedings</w:t>
      </w:r>
    </w:p>
    <w:p w14:paraId="71F3EA5E" w14:textId="77777777" w:rsidR="005C5A00" w:rsidRPr="004F7D08" w:rsidRDefault="005C5A00" w:rsidP="004F7D08">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5F" w14:textId="77777777" w:rsidR="007C372A" w:rsidRPr="004F7D08" w:rsidRDefault="003A4815" w:rsidP="004F7D08">
      <w:pPr>
        <w:pBdr>
          <w:top w:val="nil"/>
          <w:left w:val="nil"/>
          <w:bottom w:val="nil"/>
          <w:right w:val="nil"/>
          <w:between w:val="nil"/>
          <w:bar w:val="nil"/>
        </w:pBdr>
        <w:jc w:val="both"/>
        <w:rPr>
          <w:rFonts w:ascii="Arial" w:eastAsia="Arial" w:hAnsi="Arial" w:cs="Arial"/>
          <w:bdr w:val="nil"/>
          <w:lang w:val="en-US"/>
        </w:rPr>
      </w:pPr>
      <w:bookmarkStart w:id="213" w:name="_DV_C3873"/>
      <w:r w:rsidRPr="004F7D08">
        <w:rPr>
          <w:rFonts w:ascii="Arial" w:eastAsia="Arial" w:hAnsi="Arial" w:cs="Arial"/>
          <w:lang w:val="en-US" w:bidi="en-US"/>
        </w:rPr>
        <w:t>We</w:t>
      </w:r>
      <w:bookmarkStart w:id="214" w:name="_DV_M1203"/>
      <w:bookmarkEnd w:id="213"/>
      <w:bookmarkEnd w:id="214"/>
      <w:r w:rsidRPr="004F7D08">
        <w:rPr>
          <w:rFonts w:ascii="Arial" w:eastAsia="Arial" w:hAnsi="Arial" w:cs="Arial"/>
          <w:lang w:val="en-US" w:bidi="en-US"/>
        </w:rPr>
        <w:t xml:space="preserve"> have not been involved in any legal proceedings which may have, or have had, a significant effect on our business, financial position, results of operations or liquidity, nor are we aware of any </w:t>
      </w:r>
      <w:bookmarkStart w:id="215" w:name="page_1_74"/>
      <w:bookmarkStart w:id="216" w:name="page_dk2550_1_70"/>
      <w:bookmarkEnd w:id="215"/>
      <w:bookmarkEnd w:id="216"/>
      <w:r w:rsidRPr="004F7D08">
        <w:rPr>
          <w:rFonts w:ascii="Arial" w:eastAsia="Arial" w:hAnsi="Arial" w:cs="Arial"/>
          <w:lang w:val="en-US" w:bidi="en-US"/>
        </w:rPr>
        <w:t xml:space="preserve">proceedings that are pending or threatened which may have a significant effect on our business, financial position, results of operations or liquidity. From time to time, we may be subject to legal proceedings and claims in the ordinary course of business, principally personal injury and property casualty claims. We expect that these claims would be covered by insurance, subject to customary deductibles. Those claims, even if lacking merit, could result in the expenditure of significant financial and managerial resources. </w:t>
      </w:r>
    </w:p>
    <w:p w14:paraId="71F3EA60" w14:textId="77777777" w:rsidR="005C5A00" w:rsidRPr="004F7D08" w:rsidRDefault="005C5A00" w:rsidP="004F7D08">
      <w:pPr>
        <w:pStyle w:val="Char1"/>
        <w:pBdr>
          <w:top w:val="nil"/>
          <w:left w:val="nil"/>
          <w:bottom w:val="nil"/>
          <w:right w:val="nil"/>
          <w:between w:val="nil"/>
          <w:bar w:val="nil"/>
        </w:pBdr>
        <w:spacing w:before="0" w:after="0"/>
        <w:rPr>
          <w:rFonts w:ascii="Arial" w:eastAsia="Arial" w:hAnsi="Arial" w:cs="Arial"/>
          <w:bdr w:val="nil"/>
          <w:lang w:bidi="en-US"/>
        </w:rPr>
      </w:pPr>
    </w:p>
    <w:p w14:paraId="71F3EA61" w14:textId="77777777" w:rsidR="005C5A00" w:rsidRPr="004F7D08" w:rsidRDefault="003A4815" w:rsidP="004F7D08">
      <w:pPr>
        <w:pStyle w:val="Heading3"/>
        <w:keepLines/>
        <w:pBdr>
          <w:top w:val="nil"/>
          <w:left w:val="nil"/>
          <w:bottom w:val="nil"/>
          <w:right w:val="nil"/>
          <w:between w:val="nil"/>
          <w:bar w:val="nil"/>
        </w:pBdr>
        <w:jc w:val="left"/>
        <w:rPr>
          <w:rFonts w:eastAsia="Arial" w:cs="Arial"/>
          <w:i w:val="0"/>
          <w:bdr w:val="nil"/>
          <w:lang w:val="en-US" w:eastAsia="el-GR" w:bidi="en-US"/>
        </w:rPr>
      </w:pPr>
      <w:r w:rsidRPr="004F7D08">
        <w:rPr>
          <w:rFonts w:eastAsia="Arial" w:cs="Arial"/>
          <w:i w:val="0"/>
          <w:szCs w:val="22"/>
          <w:lang w:val="en-US" w:eastAsia="el-GR" w:bidi="en-US"/>
        </w:rPr>
        <w:t>Dividend Policy</w:t>
      </w:r>
    </w:p>
    <w:p w14:paraId="71F3EA62" w14:textId="77777777" w:rsidR="005C5A00" w:rsidRPr="004F7D08" w:rsidRDefault="005C5A00" w:rsidP="004F7D08">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63" w14:textId="77777777" w:rsidR="00D24B09" w:rsidRPr="004F7D08" w:rsidRDefault="003A4815" w:rsidP="004F7D08">
      <w:pPr>
        <w:pBdr>
          <w:top w:val="nil"/>
          <w:left w:val="nil"/>
          <w:bottom w:val="nil"/>
          <w:right w:val="nil"/>
          <w:between w:val="nil"/>
          <w:bar w:val="nil"/>
        </w:pBdr>
        <w:jc w:val="both"/>
        <w:rPr>
          <w:rFonts w:ascii="Arial" w:eastAsia="Arial" w:hAnsi="Arial" w:cs="Arial"/>
          <w:kern w:val="32"/>
          <w:bdr w:val="nil"/>
          <w:lang w:val="en-US"/>
        </w:rPr>
      </w:pPr>
      <w:r w:rsidRPr="004F7D08">
        <w:rPr>
          <w:rFonts w:ascii="Arial" w:eastAsia="Arial" w:hAnsi="Arial" w:cs="Arial"/>
          <w:lang w:val="en-US" w:bidi="en-US"/>
        </w:rPr>
        <w:t>Our board of directors reviews and amends our dividend policy from time to time in light of our business plans and other factors. </w:t>
      </w:r>
      <w:r w:rsidRPr="004F7D08">
        <w:rPr>
          <w:rFonts w:ascii="Arial" w:eastAsia="Arial" w:hAnsi="Arial" w:cs="Arial"/>
          <w:kern w:val="32"/>
          <w:bdr w:val="none" w:sz="0" w:space="0" w:color="auto" w:frame="1"/>
          <w:lang w:val="en-US" w:bidi="en-US"/>
        </w:rPr>
        <w:t xml:space="preserve">In order to position us to take advantage of market opportunities in a then-deteriorating market, our board of directors, beginning with the fourth quarter of 2008, suspended our common stock dividend. As a result of improving market conditions in 2021, our board of directors elected to declare quarterly dividends with respect to the third quarter of 2021 </w:t>
      </w:r>
      <w:r>
        <w:rPr>
          <w:rFonts w:ascii="Arial" w:eastAsia="Arial" w:hAnsi="Arial" w:cs="Arial"/>
          <w:kern w:val="32"/>
          <w:bdr w:val="none" w:sz="0" w:space="0" w:color="auto" w:frame="1"/>
          <w:lang w:val="en-US" w:bidi="en-US"/>
        </w:rPr>
        <w:t xml:space="preserve">and for each quarter thereafter, </w:t>
      </w:r>
      <w:r w:rsidRPr="004F7D08">
        <w:rPr>
          <w:rFonts w:ascii="Arial" w:eastAsia="Arial" w:hAnsi="Arial" w:cs="Arial"/>
          <w:kern w:val="32"/>
          <w:bdr w:val="none" w:sz="0" w:space="0" w:color="auto" w:frame="1"/>
          <w:lang w:val="en-US" w:bidi="en-US"/>
        </w:rPr>
        <w:t xml:space="preserve">until the </w:t>
      </w:r>
      <w:r>
        <w:rPr>
          <w:rFonts w:ascii="Arial" w:eastAsia="Arial" w:hAnsi="Arial" w:cs="Arial"/>
          <w:kern w:val="32"/>
          <w:bdr w:val="none" w:sz="0" w:space="0" w:color="auto" w:frame="1"/>
          <w:lang w:val="en-US" w:bidi="en-US"/>
        </w:rPr>
        <w:t>fourth</w:t>
      </w:r>
      <w:r w:rsidRPr="004F7D08">
        <w:rPr>
          <w:rFonts w:ascii="Arial" w:eastAsia="Arial" w:hAnsi="Arial" w:cs="Arial"/>
          <w:kern w:val="32"/>
          <w:bdr w:val="none" w:sz="0" w:space="0" w:color="auto" w:frame="1"/>
          <w:lang w:val="en-US" w:bidi="en-US"/>
        </w:rPr>
        <w:t xml:space="preserve"> quarter of </w:t>
      </w:r>
      <w:r>
        <w:rPr>
          <w:rFonts w:ascii="Arial" w:eastAsia="Arial" w:hAnsi="Arial" w:cs="Arial"/>
          <w:kern w:val="32"/>
          <w:bdr w:val="none" w:sz="0" w:space="0" w:color="auto" w:frame="1"/>
          <w:lang w:val="en-US" w:bidi="en-US"/>
        </w:rPr>
        <w:t>202</w:t>
      </w:r>
      <w:r w:rsidR="00D67BF5">
        <w:rPr>
          <w:rFonts w:ascii="Arial" w:eastAsia="Arial" w:hAnsi="Arial" w:cs="Arial"/>
          <w:kern w:val="32"/>
          <w:bdr w:val="none" w:sz="0" w:space="0" w:color="auto" w:frame="1"/>
          <w:lang w:val="en-US" w:bidi="en-US"/>
        </w:rPr>
        <w:t>5</w:t>
      </w:r>
      <w:r>
        <w:rPr>
          <w:rFonts w:ascii="Arial" w:eastAsia="Arial" w:hAnsi="Arial" w:cs="Arial"/>
          <w:kern w:val="32"/>
          <w:bdr w:val="none" w:sz="0" w:space="0" w:color="auto" w:frame="1"/>
          <w:lang w:val="en-US" w:bidi="en-US"/>
        </w:rPr>
        <w:t xml:space="preserve"> and</w:t>
      </w:r>
      <w:r w:rsidRPr="004F7D08">
        <w:rPr>
          <w:rFonts w:ascii="Arial" w:eastAsia="Arial" w:hAnsi="Arial" w:cs="Arial"/>
          <w:kern w:val="32"/>
          <w:bdr w:val="none" w:sz="0" w:space="0" w:color="auto" w:frame="1"/>
          <w:lang w:val="en-US" w:bidi="en-US"/>
        </w:rPr>
        <w:t xml:space="preserve"> two special noncash dividends</w:t>
      </w:r>
      <w:r>
        <w:rPr>
          <w:rFonts w:ascii="Arial" w:eastAsia="Arial" w:hAnsi="Arial" w:cs="Arial"/>
          <w:kern w:val="32"/>
          <w:bdr w:val="none" w:sz="0" w:space="0" w:color="auto" w:frame="1"/>
          <w:lang w:val="en-US" w:bidi="en-US"/>
        </w:rPr>
        <w:t xml:space="preserve">, </w:t>
      </w:r>
      <w:r w:rsidRPr="004F7D08">
        <w:rPr>
          <w:rFonts w:ascii="Arial" w:eastAsia="Arial" w:hAnsi="Arial" w:cs="Arial"/>
          <w:kern w:val="32"/>
          <w:bdr w:val="none" w:sz="0" w:space="0" w:color="auto" w:frame="1"/>
          <w:lang w:val="en-US" w:bidi="en-US"/>
        </w:rPr>
        <w:t xml:space="preserve">as described in Item 4A. History and development of the Company. </w:t>
      </w:r>
      <w:bookmarkStart w:id="217" w:name="_DV_C488_0"/>
      <w:bookmarkStart w:id="218" w:name="_cp_text_4_99_0"/>
    </w:p>
    <w:p w14:paraId="71F3EA64" w14:textId="77777777" w:rsidR="00D24B09" w:rsidRPr="004F7D08" w:rsidRDefault="00D24B09" w:rsidP="004F7D08">
      <w:pPr>
        <w:pBdr>
          <w:top w:val="nil"/>
          <w:left w:val="nil"/>
          <w:bottom w:val="nil"/>
          <w:right w:val="nil"/>
          <w:between w:val="nil"/>
          <w:bar w:val="nil"/>
        </w:pBdr>
        <w:jc w:val="both"/>
        <w:rPr>
          <w:rFonts w:ascii="Arial" w:eastAsia="Arial" w:hAnsi="Arial" w:cs="Arial"/>
          <w:kern w:val="32"/>
          <w:bdr w:val="nil"/>
          <w:lang w:val="en-US"/>
        </w:rPr>
      </w:pPr>
    </w:p>
    <w:p w14:paraId="71F3EA65" w14:textId="77777777" w:rsidR="00D24B09" w:rsidRPr="004F7D08" w:rsidRDefault="003A4815" w:rsidP="004F7D08">
      <w:pPr>
        <w:pBdr>
          <w:top w:val="nil"/>
          <w:left w:val="nil"/>
          <w:bottom w:val="nil"/>
          <w:right w:val="nil"/>
          <w:between w:val="nil"/>
          <w:bar w:val="nil"/>
        </w:pBdr>
        <w:jc w:val="both"/>
        <w:rPr>
          <w:rFonts w:ascii="Arial" w:eastAsia="Arial" w:hAnsi="Arial" w:cs="Arial"/>
          <w:strike/>
          <w:bdr w:val="nil"/>
          <w:lang w:val="en-US"/>
        </w:rPr>
      </w:pPr>
      <w:r w:rsidRPr="004F7D08">
        <w:rPr>
          <w:rFonts w:ascii="Arial" w:eastAsia="Arial" w:hAnsi="Arial" w:cs="Arial"/>
          <w:kern w:val="32"/>
          <w:bdr w:val="none" w:sz="0" w:space="0" w:color="auto" w:frame="1"/>
          <w:lang w:val="en-US" w:bidi="en-US"/>
        </w:rPr>
        <w:t>The declaration and payment of dividends will always be subject to the discretion of our board of directors. The timing and amount of any dividends declared will depend on, among other things, our earnings, financial condition and cash requirements and availability, our ability to obtain debt and equity financing on acceptable terms as contemplated by our growth strategy and provisions of Marshall Islands law affecting the payment of dividends</w:t>
      </w:r>
      <w:bookmarkEnd w:id="217"/>
      <w:r w:rsidRPr="004F7D08">
        <w:rPr>
          <w:rFonts w:ascii="Arial" w:eastAsia="Arial" w:hAnsi="Arial" w:cs="Arial"/>
          <w:kern w:val="32"/>
          <w:bdr w:val="none" w:sz="0" w:space="0" w:color="auto" w:frame="1"/>
          <w:lang w:val="en-US" w:bidi="en-US"/>
        </w:rPr>
        <w:t>. In addition, other external factors, such as our lenders imposing restrictions on our ability to pay dividends under the terms of our loan facilities, may limit our ability to pay dividends.  Further, under the terms of our loan agreements, we may not be permitted to pay dividends that would result in an event of default or if an event of default occur</w:t>
      </w:r>
      <w:r>
        <w:rPr>
          <w:rFonts w:ascii="Arial" w:eastAsia="Arial" w:hAnsi="Arial" w:cs="Arial"/>
          <w:kern w:val="32"/>
          <w:bdr w:val="none" w:sz="0" w:space="0" w:color="auto" w:frame="1"/>
          <w:lang w:val="en-US" w:bidi="en-US"/>
        </w:rPr>
        <w:t>s</w:t>
      </w:r>
      <w:r w:rsidRPr="004F7D08">
        <w:rPr>
          <w:rFonts w:ascii="Arial" w:eastAsia="Arial" w:hAnsi="Arial" w:cs="Arial"/>
          <w:kern w:val="32"/>
          <w:bdr w:val="none" w:sz="0" w:space="0" w:color="auto" w:frame="1"/>
          <w:lang w:val="en-US" w:bidi="en-US"/>
        </w:rPr>
        <w:t xml:space="preserve"> and is continuing.</w:t>
      </w:r>
    </w:p>
    <w:bookmarkEnd w:id="218"/>
    <w:p w14:paraId="71F3EA66" w14:textId="77777777" w:rsidR="00D24B09" w:rsidRPr="004F7D08" w:rsidRDefault="00D24B09" w:rsidP="004F7D08">
      <w:pPr>
        <w:pBdr>
          <w:top w:val="nil"/>
          <w:left w:val="nil"/>
          <w:bottom w:val="nil"/>
          <w:right w:val="nil"/>
          <w:between w:val="nil"/>
          <w:bar w:val="nil"/>
        </w:pBdr>
        <w:jc w:val="both"/>
        <w:rPr>
          <w:rFonts w:ascii="Arial" w:eastAsia="Arial" w:hAnsi="Arial" w:cs="Arial"/>
          <w:strike/>
          <w:bdr w:val="nil"/>
          <w:lang w:val="en-US"/>
        </w:rPr>
      </w:pPr>
    </w:p>
    <w:p w14:paraId="71F3EA67" w14:textId="77777777" w:rsidR="005C5A00" w:rsidRPr="004F7D08" w:rsidRDefault="003A4815" w:rsidP="004F7D08">
      <w:pPr>
        <w:pStyle w:val="Char1"/>
        <w:pBdr>
          <w:top w:val="nil"/>
          <w:left w:val="nil"/>
          <w:bottom w:val="nil"/>
          <w:right w:val="nil"/>
          <w:between w:val="nil"/>
          <w:bar w:val="nil"/>
        </w:pBdr>
        <w:spacing w:before="0" w:after="0"/>
        <w:rPr>
          <w:rFonts w:ascii="Arial" w:eastAsia="Arial" w:hAnsi="Arial" w:cs="Arial"/>
          <w:bdr w:val="nil"/>
          <w:lang w:bidi="en-US"/>
        </w:rPr>
      </w:pPr>
      <w:r w:rsidRPr="004F7D08">
        <w:rPr>
          <w:rFonts w:ascii="Arial" w:eastAsia="Arial" w:hAnsi="Arial" w:cs="Arial"/>
          <w:lang w:bidi="en-US"/>
        </w:rPr>
        <w:t xml:space="preserve">Marshall Islands law generally prohibits the payment of dividends other than from surplus or when a company is insolvent or if the payment of the dividend would render the company insolvent. Also, our loan facilities and </w:t>
      </w:r>
      <w:r>
        <w:rPr>
          <w:rFonts w:ascii="Arial" w:eastAsia="Arial" w:hAnsi="Arial" w:cs="Arial"/>
          <w:lang w:bidi="en-US"/>
        </w:rPr>
        <w:t>b</w:t>
      </w:r>
      <w:r w:rsidRPr="004F7D08">
        <w:rPr>
          <w:rFonts w:ascii="Arial" w:eastAsia="Arial" w:hAnsi="Arial" w:cs="Arial"/>
          <w:lang w:bidi="en-US"/>
        </w:rPr>
        <w:t xml:space="preserve">ond prohibit the payment of dividends should an event of default arise. </w:t>
      </w:r>
    </w:p>
    <w:p w14:paraId="71F3EA68" w14:textId="77777777" w:rsidR="005C5A00" w:rsidRPr="004F7D08" w:rsidRDefault="005C5A00" w:rsidP="004F7D08">
      <w:pPr>
        <w:pStyle w:val="Char1"/>
        <w:pBdr>
          <w:top w:val="nil"/>
          <w:left w:val="nil"/>
          <w:bottom w:val="nil"/>
          <w:right w:val="nil"/>
          <w:between w:val="nil"/>
          <w:bar w:val="nil"/>
        </w:pBdr>
        <w:spacing w:before="0" w:after="0"/>
        <w:rPr>
          <w:rFonts w:ascii="Arial" w:eastAsia="Arial" w:hAnsi="Arial" w:cs="Arial"/>
          <w:bdr w:val="nil"/>
          <w:lang w:bidi="en-US"/>
        </w:rPr>
      </w:pPr>
    </w:p>
    <w:p w14:paraId="71F3EA69" w14:textId="77777777" w:rsidR="003D4ED6" w:rsidRPr="004F7D08" w:rsidRDefault="003A4815" w:rsidP="004F7D08">
      <w:pPr>
        <w:pStyle w:val="Char1"/>
        <w:pBdr>
          <w:top w:val="nil"/>
          <w:left w:val="nil"/>
          <w:bottom w:val="nil"/>
          <w:right w:val="nil"/>
          <w:between w:val="nil"/>
          <w:bar w:val="nil"/>
        </w:pBdr>
        <w:spacing w:before="0" w:after="0"/>
        <w:rPr>
          <w:rFonts w:ascii="Arial" w:eastAsia="Arial" w:hAnsi="Arial" w:cs="Arial"/>
          <w:bdr w:val="nil"/>
          <w:lang w:bidi="en-US"/>
        </w:rPr>
      </w:pPr>
      <w:r w:rsidRPr="004F7D08">
        <w:rPr>
          <w:rFonts w:ascii="Arial" w:eastAsia="Arial" w:hAnsi="Arial" w:cs="Arial"/>
          <w:lang w:bidi="en-US"/>
        </w:rPr>
        <w:t>We believe that, under current law, any dividends that we have paid and may pay in the future from earnings and profits constitute “qualified dividend income” and as such are generally subject to a 20% United States federal income tax rate with respect to non-corporate United States shareholders. Distributions in excess of our earnings and profits will be treated first as a non-taxable return of capital to the extent of a United States shareholder’s tax basis in its common stock on a dollar-for-dollar basis and thereafter as capital gain. Please see the section of this annual report entitled “Taxation” under Item 10.E for additional information relating to the tax treatment of our dividend payments.</w:t>
      </w:r>
    </w:p>
    <w:p w14:paraId="71F3EA6A" w14:textId="77777777" w:rsidR="005C5A00" w:rsidRPr="004F7D08" w:rsidRDefault="005C5A00" w:rsidP="004F7D08">
      <w:pPr>
        <w:pStyle w:val="Char1"/>
        <w:pBdr>
          <w:top w:val="nil"/>
          <w:left w:val="nil"/>
          <w:bottom w:val="nil"/>
          <w:right w:val="nil"/>
          <w:between w:val="nil"/>
          <w:bar w:val="nil"/>
        </w:pBdr>
        <w:spacing w:before="0" w:after="0"/>
        <w:rPr>
          <w:rFonts w:ascii="Arial" w:eastAsia="Arial" w:hAnsi="Arial" w:cs="Arial"/>
          <w:bdr w:val="nil"/>
          <w:lang w:bidi="en-US"/>
        </w:rPr>
      </w:pPr>
    </w:p>
    <w:p w14:paraId="71F3EA6B" w14:textId="77777777" w:rsidR="00A42879" w:rsidRPr="004F7D08" w:rsidRDefault="003A4815" w:rsidP="004F7D08">
      <w:pPr>
        <w:pStyle w:val="Char1"/>
        <w:pBdr>
          <w:top w:val="nil"/>
          <w:left w:val="nil"/>
          <w:bottom w:val="nil"/>
          <w:right w:val="nil"/>
          <w:between w:val="nil"/>
          <w:bar w:val="nil"/>
        </w:pBdr>
        <w:spacing w:before="0" w:after="0"/>
        <w:rPr>
          <w:rFonts w:ascii="Arial" w:eastAsia="Arial" w:hAnsi="Arial" w:cs="Arial"/>
          <w:bdr w:val="nil"/>
          <w:lang w:bidi="en-US"/>
        </w:rPr>
      </w:pPr>
      <w:r w:rsidRPr="004F7D08">
        <w:rPr>
          <w:rFonts w:ascii="Arial" w:eastAsia="Arial" w:hAnsi="Arial" w:cs="Arial"/>
          <w:lang w:bidi="en-US"/>
        </w:rPr>
        <w:t>Cumulative dividends on our Series B Preferred Shares are payable on each January 15, April 15, July 15 and October 15, when, as and if declared by our board of directors or any authorized committee thereof out of legally available funds for such purpose. The dividend rate for our Series B Preferred Shares is 8.875% per annum per $25.00 of liquidation preference per share (equal to $2.21875 per annum per share) and is not subject to adjustment. Since February 14, 2019, we may redeem, in whole or from time to time in part, the Series B Preferred Shares at a redemption price of $25.00 per share plus an amount equal to all accumulated and unpaid dividends thereon to the date of redemption, whether or not declared.</w:t>
      </w:r>
    </w:p>
    <w:p w14:paraId="71F3EA6C" w14:textId="77777777" w:rsidR="00DB2673" w:rsidRPr="004F7D08" w:rsidRDefault="00DB2673" w:rsidP="004F7D08">
      <w:pPr>
        <w:pStyle w:val="Char1"/>
        <w:pBdr>
          <w:top w:val="nil"/>
          <w:left w:val="nil"/>
          <w:bottom w:val="nil"/>
          <w:right w:val="nil"/>
          <w:between w:val="nil"/>
          <w:bar w:val="nil"/>
        </w:pBdr>
        <w:spacing w:before="0" w:after="0"/>
        <w:rPr>
          <w:rFonts w:ascii="Arial" w:eastAsia="Arial" w:hAnsi="Arial" w:cs="Arial"/>
          <w:bdr w:val="nil"/>
          <w:lang w:bidi="en-US"/>
        </w:rPr>
      </w:pPr>
    </w:p>
    <w:p w14:paraId="71F3EA6D" w14:textId="77777777" w:rsidR="00DB2673" w:rsidRPr="004F7D08" w:rsidRDefault="003A4815" w:rsidP="004F7D08">
      <w:pPr>
        <w:pStyle w:val="Char1"/>
        <w:pBdr>
          <w:top w:val="nil"/>
          <w:left w:val="nil"/>
          <w:bottom w:val="nil"/>
          <w:right w:val="nil"/>
          <w:between w:val="nil"/>
          <w:bar w:val="nil"/>
        </w:pBdr>
        <w:spacing w:before="0" w:after="0"/>
        <w:rPr>
          <w:rFonts w:ascii="Arial" w:eastAsia="Arial" w:hAnsi="Arial" w:cs="Arial"/>
          <w:bdr w:val="nil"/>
          <w:lang w:bidi="en-US"/>
        </w:rPr>
      </w:pPr>
      <w:r w:rsidRPr="004F7D08">
        <w:rPr>
          <w:rFonts w:ascii="Arial" w:eastAsia="Arial" w:hAnsi="Arial" w:cs="Arial"/>
          <w:lang w:bidi="en-US"/>
        </w:rPr>
        <w:t>Marshall Islands law provides that we may pay dividends on and redeem the Series B Preferred Shares only to the extent that assets are legally available for such purposes. Legally available assets generally are limited to our surplus, which essentially represents our retained earnings and the excess of consideration received by us for the sale of shares above the par value of the shares. In addition, under Marshall Islands law we may not pay dividends on or redeem Series B Preferred Shares if we are insolvent or would be rendered insolvent by the payment of such a dividend or the making of such redemption.</w:t>
      </w:r>
    </w:p>
    <w:p w14:paraId="71F3EA6E"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A6F" w14:textId="77777777" w:rsidR="008A1062" w:rsidRPr="00831457" w:rsidRDefault="003A4815" w:rsidP="00973BBA">
      <w:pPr>
        <w:pStyle w:val="Heading2"/>
        <w:keepLines/>
        <w:pBdr>
          <w:top w:val="nil"/>
          <w:left w:val="nil"/>
          <w:bottom w:val="nil"/>
          <w:right w:val="nil"/>
          <w:between w:val="nil"/>
          <w:bar w:val="nil"/>
        </w:pBdr>
        <w:ind w:left="714"/>
        <w:jc w:val="both"/>
        <w:rPr>
          <w:rFonts w:ascii="Arial" w:eastAsia="Arial" w:hAnsi="Arial" w:cs="Arial"/>
          <w:color w:val="auto"/>
          <w:szCs w:val="24"/>
          <w:bdr w:val="nil"/>
          <w:lang w:eastAsia="el-GR" w:bidi="en-US"/>
        </w:rPr>
      </w:pPr>
      <w:bookmarkStart w:id="219" w:name="RG_MARKER_22985"/>
      <w:r w:rsidRPr="00831457">
        <w:rPr>
          <w:rFonts w:ascii="Arial" w:eastAsia="Arial" w:hAnsi="Arial" w:cs="Arial"/>
          <w:color w:val="auto"/>
          <w:szCs w:val="24"/>
          <w:lang w:eastAsia="el-GR" w:bidi="en-US"/>
        </w:rPr>
        <w:t>B.</w:t>
      </w:r>
      <w:bookmarkEnd w:id="219"/>
      <w:r w:rsidRPr="00831457">
        <w:rPr>
          <w:rFonts w:ascii="Arial" w:eastAsia="Arial" w:hAnsi="Arial" w:cs="Arial"/>
          <w:color w:val="auto"/>
          <w:szCs w:val="24"/>
          <w:lang w:eastAsia="el-GR" w:bidi="en-US"/>
        </w:rPr>
        <w:tab/>
        <w:t>Significant Changes</w:t>
      </w:r>
    </w:p>
    <w:p w14:paraId="71F3EA70" w14:textId="77777777" w:rsidR="005B6E8C" w:rsidRPr="00831457" w:rsidRDefault="005B6E8C" w:rsidP="00973BBA">
      <w:pPr>
        <w:keepNext/>
        <w:keepLines/>
        <w:pBdr>
          <w:top w:val="nil"/>
          <w:left w:val="nil"/>
          <w:bottom w:val="nil"/>
          <w:right w:val="nil"/>
          <w:between w:val="nil"/>
          <w:bar w:val="nil"/>
        </w:pBdr>
        <w:jc w:val="both"/>
        <w:rPr>
          <w:rFonts w:ascii="Arial" w:eastAsia="Arial" w:hAnsi="Arial" w:cs="Arial"/>
          <w:bdr w:val="nil"/>
          <w:lang w:val="en-US"/>
        </w:rPr>
      </w:pPr>
    </w:p>
    <w:p w14:paraId="71F3EA71" w14:textId="77777777" w:rsidR="008A1062" w:rsidRPr="00831457" w:rsidRDefault="003A4815" w:rsidP="00577EE9">
      <w:pPr>
        <w:pBdr>
          <w:top w:val="nil"/>
          <w:left w:val="nil"/>
          <w:bottom w:val="nil"/>
          <w:right w:val="nil"/>
          <w:between w:val="nil"/>
          <w:bar w:val="nil"/>
        </w:pBdr>
        <w:jc w:val="both"/>
        <w:rPr>
          <w:rFonts w:ascii="Arial" w:eastAsia="Arial" w:hAnsi="Arial" w:cs="Arial"/>
          <w:bdr w:val="nil"/>
          <w:lang w:val="en-US"/>
        </w:rPr>
      </w:pPr>
      <w:r w:rsidRPr="00831457">
        <w:rPr>
          <w:rFonts w:ascii="Arial" w:eastAsia="Arial" w:hAnsi="Arial" w:cs="Arial"/>
          <w:lang w:val="en-US" w:bidi="en-US"/>
        </w:rPr>
        <w:t>There have been no significant changes since the date of the annual consolidated financial statements included in this annual report, other than those described in Note 16 “Subsequent events” of our annual consolidated financial statements.</w:t>
      </w:r>
    </w:p>
    <w:p w14:paraId="71F3EA72"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73" w14:textId="77777777" w:rsidR="00B37BED" w:rsidRPr="00325F24" w:rsidRDefault="003A4815" w:rsidP="00325F24">
      <w:pPr>
        <w:pStyle w:val="Heading1"/>
        <w:widowControl w:val="0"/>
        <w:pBdr>
          <w:top w:val="nil"/>
          <w:left w:val="nil"/>
          <w:bottom w:val="nil"/>
          <w:right w:val="nil"/>
          <w:between w:val="nil"/>
          <w:bar w:val="nil"/>
        </w:pBdr>
        <w:spacing w:before="0" w:after="0"/>
        <w:jc w:val="both"/>
        <w:rPr>
          <w:rFonts w:ascii="Arial" w:eastAsia="Arial" w:hAnsi="Arial" w:cs="Arial"/>
          <w:color w:val="auto"/>
          <w:kern w:val="0"/>
          <w:szCs w:val="28"/>
          <w:bdr w:val="nil"/>
          <w:lang w:eastAsia="el-GR" w:bidi="en-US"/>
        </w:rPr>
      </w:pPr>
      <w:bookmarkStart w:id="220" w:name="part1_item9"/>
      <w:bookmarkStart w:id="221" w:name="RG_MARKER_22986"/>
      <w:bookmarkStart w:id="222" w:name="RG_MARKER_23170"/>
      <w:bookmarkStart w:id="223" w:name="_Toc103668641"/>
      <w:bookmarkStart w:id="224" w:name="_Toc223262941"/>
      <w:bookmarkStart w:id="225" w:name="_Toc222553127"/>
      <w:bookmarkEnd w:id="220"/>
      <w:r w:rsidRPr="00325F24">
        <w:rPr>
          <w:rFonts w:ascii="Arial" w:eastAsia="Arial" w:hAnsi="Arial" w:cs="Arial"/>
          <w:color w:val="auto"/>
          <w:kern w:val="0"/>
          <w:szCs w:val="28"/>
          <w:lang w:eastAsia="el-GR" w:bidi="en-US"/>
        </w:rPr>
        <w:t>Item 9.</w:t>
      </w:r>
      <w:bookmarkEnd w:id="221"/>
      <w:bookmarkEnd w:id="222"/>
      <w:r w:rsidRPr="00325F24">
        <w:rPr>
          <w:rFonts w:ascii="Arial" w:eastAsia="Arial" w:hAnsi="Arial" w:cs="Arial"/>
          <w:color w:val="auto"/>
          <w:kern w:val="0"/>
          <w:szCs w:val="28"/>
          <w:lang w:eastAsia="el-GR" w:bidi="en-US"/>
        </w:rPr>
        <w:tab/>
      </w:r>
      <w:bookmarkEnd w:id="223"/>
      <w:bookmarkEnd w:id="224"/>
      <w:bookmarkEnd w:id="225"/>
      <w:r w:rsidRPr="00325F24">
        <w:rPr>
          <w:rFonts w:ascii="Arial" w:eastAsia="Arial" w:hAnsi="Arial" w:cs="Arial"/>
          <w:color w:val="auto"/>
          <w:kern w:val="0"/>
          <w:szCs w:val="28"/>
          <w:lang w:eastAsia="el-GR" w:bidi="en-US"/>
        </w:rPr>
        <w:t>The Offer and Listing</w:t>
      </w:r>
    </w:p>
    <w:p w14:paraId="71F3EA74" w14:textId="77777777" w:rsidR="006A3FE2" w:rsidRPr="00325F24" w:rsidRDefault="006A3FE2" w:rsidP="00325F24">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75" w14:textId="77777777" w:rsidR="00B41EE1" w:rsidRPr="00325F24" w:rsidRDefault="003A4815" w:rsidP="00325F24">
      <w:pPr>
        <w:pStyle w:val="Heading2"/>
        <w:keepLines/>
        <w:pBdr>
          <w:top w:val="nil"/>
          <w:left w:val="nil"/>
          <w:bottom w:val="nil"/>
          <w:right w:val="nil"/>
          <w:between w:val="nil"/>
          <w:bar w:val="nil"/>
        </w:pBdr>
        <w:ind w:left="714"/>
        <w:rPr>
          <w:rFonts w:ascii="Arial" w:eastAsia="Arial" w:hAnsi="Arial" w:cs="Arial"/>
          <w:color w:val="auto"/>
          <w:szCs w:val="24"/>
          <w:bdr w:val="nil"/>
          <w:lang w:bidi="en-US"/>
        </w:rPr>
      </w:pPr>
      <w:r w:rsidRPr="00325F24">
        <w:rPr>
          <w:rFonts w:ascii="Arial" w:eastAsia="Arial" w:hAnsi="Arial" w:cs="Arial"/>
          <w:color w:val="auto"/>
          <w:szCs w:val="24"/>
          <w:lang w:bidi="en-US"/>
        </w:rPr>
        <w:t>A.</w:t>
      </w:r>
      <w:r w:rsidRPr="00325F24">
        <w:rPr>
          <w:rFonts w:ascii="Arial" w:eastAsia="Arial" w:hAnsi="Arial" w:cs="Arial"/>
          <w:color w:val="auto"/>
          <w:szCs w:val="24"/>
          <w:lang w:bidi="en-US"/>
        </w:rPr>
        <w:tab/>
        <w:t>Offer and Listing Details</w:t>
      </w:r>
    </w:p>
    <w:p w14:paraId="71F3EA76" w14:textId="77777777" w:rsidR="00B41EE1" w:rsidRPr="00325F24" w:rsidRDefault="00B41EE1" w:rsidP="00325F24">
      <w:pPr>
        <w:keepNext/>
        <w:keepLines/>
        <w:pBdr>
          <w:top w:val="nil"/>
          <w:left w:val="nil"/>
          <w:bottom w:val="nil"/>
          <w:right w:val="nil"/>
          <w:between w:val="nil"/>
          <w:bar w:val="nil"/>
        </w:pBdr>
        <w:rPr>
          <w:rFonts w:ascii="Arial" w:eastAsia="Arial" w:hAnsi="Arial" w:cs="Arial"/>
          <w:bdr w:val="nil"/>
          <w:lang w:val="en-US"/>
        </w:rPr>
      </w:pPr>
    </w:p>
    <w:p w14:paraId="71F3EA77" w14:textId="77777777" w:rsidR="00FA5931" w:rsidRPr="00325F24" w:rsidRDefault="003A4815" w:rsidP="00325F24">
      <w:pPr>
        <w:pStyle w:val="Char115"/>
        <w:pBdr>
          <w:top w:val="nil"/>
          <w:left w:val="nil"/>
          <w:bottom w:val="nil"/>
          <w:right w:val="nil"/>
          <w:between w:val="nil"/>
          <w:bar w:val="nil"/>
        </w:pBdr>
        <w:spacing w:before="0" w:after="0"/>
        <w:rPr>
          <w:rFonts w:ascii="Arial" w:eastAsia="Arial" w:hAnsi="Arial" w:cs="Arial"/>
          <w:szCs w:val="22"/>
          <w:bdr w:val="nil"/>
        </w:rPr>
      </w:pPr>
      <w:r w:rsidRPr="00325F24">
        <w:rPr>
          <w:rFonts w:ascii="Arial" w:eastAsia="Arial" w:hAnsi="Arial" w:cs="Arial"/>
          <w:szCs w:val="22"/>
        </w:rPr>
        <w:t>The trading market for shares of our common stock is the NYSE, on which our shares trade under the symbol “DSX”</w:t>
      </w:r>
      <w:r>
        <w:rPr>
          <w:rFonts w:ascii="Arial" w:eastAsia="Arial" w:hAnsi="Arial" w:cs="Arial"/>
          <w:szCs w:val="22"/>
        </w:rPr>
        <w:t xml:space="preserve"> since March 23, 2005</w:t>
      </w:r>
      <w:r w:rsidRPr="00325F24">
        <w:rPr>
          <w:rFonts w:ascii="Arial" w:eastAsia="Arial" w:hAnsi="Arial" w:cs="Arial"/>
          <w:szCs w:val="22"/>
        </w:rPr>
        <w:t xml:space="preserve">. </w:t>
      </w:r>
    </w:p>
    <w:p w14:paraId="71F3EA78"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79" w14:textId="77777777" w:rsidR="000F3FF9" w:rsidRPr="00CD4FA3" w:rsidRDefault="003A4815" w:rsidP="00AC15D0">
      <w:pPr>
        <w:pBdr>
          <w:top w:val="nil"/>
          <w:left w:val="nil"/>
          <w:bottom w:val="nil"/>
          <w:right w:val="nil"/>
          <w:between w:val="nil"/>
          <w:bar w:val="nil"/>
        </w:pBdr>
        <w:jc w:val="both"/>
        <w:rPr>
          <w:rFonts w:ascii="Arial" w:eastAsia="Arial" w:hAnsi="Arial" w:cs="Arial"/>
          <w:bdr w:val="nil"/>
          <w:lang w:val="en-US"/>
        </w:rPr>
      </w:pPr>
      <w:bookmarkStart w:id="226" w:name="RG_MARKER_22988"/>
      <w:r w:rsidRPr="00CD4FA3">
        <w:rPr>
          <w:rFonts w:ascii="Arial" w:eastAsia="Arial" w:hAnsi="Arial" w:cs="Arial"/>
          <w:szCs w:val="24"/>
          <w:lang w:val="en-US" w:bidi="en-US"/>
        </w:rPr>
        <w:t xml:space="preserve">Our Series B Preferred Stock has traded on the NYSE under the symbol “DSXPRB” since February 21, 2014. </w:t>
      </w:r>
      <w:bookmarkEnd w:id="226"/>
    </w:p>
    <w:p w14:paraId="71F3EA7A"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7B" w14:textId="77777777" w:rsidR="000F3FF9" w:rsidRPr="00D5737E" w:rsidRDefault="003A4815" w:rsidP="00D5737E">
      <w:pPr>
        <w:pBdr>
          <w:top w:val="nil"/>
          <w:left w:val="nil"/>
          <w:bottom w:val="nil"/>
          <w:right w:val="nil"/>
          <w:between w:val="nil"/>
          <w:bar w:val="nil"/>
        </w:pBdr>
        <w:rPr>
          <w:rFonts w:ascii="Arial" w:eastAsia="Arial" w:hAnsi="Arial" w:cs="Arial"/>
          <w:bdr w:val="nil"/>
          <w:lang w:val="en-US"/>
        </w:rPr>
      </w:pPr>
      <w:bookmarkStart w:id="227" w:name="RG_MARKER_23151"/>
      <w:r>
        <w:rPr>
          <w:rFonts w:ascii="Arial" w:eastAsia="Arial" w:hAnsi="Arial" w:cs="Arial"/>
          <w:szCs w:val="24"/>
          <w:lang w:val="en-US" w:bidi="en-US"/>
        </w:rPr>
        <w:t>Our Warrants to Purchase Common Stock, expiring on or about December 14, 2026, have traded on the NYSE under the symbol “DSX WS” since December 14, 2023.</w:t>
      </w:r>
      <w:bookmarkEnd w:id="227"/>
    </w:p>
    <w:p w14:paraId="71F3EA7C"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A7D" w14:textId="77777777" w:rsidR="009735DD" w:rsidRPr="002037E9" w:rsidRDefault="003A4815" w:rsidP="001D4DE7">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bookmarkStart w:id="228" w:name="RG_MARKER_22990"/>
      <w:r w:rsidRPr="002037E9">
        <w:rPr>
          <w:rFonts w:ascii="Arial" w:eastAsia="Arial" w:hAnsi="Arial" w:cs="Arial"/>
          <w:color w:val="auto"/>
          <w:szCs w:val="24"/>
          <w:bdr w:val="none" w:sz="0" w:space="0" w:color="auto" w:frame="1"/>
          <w:lang w:bidi="en-US"/>
        </w:rPr>
        <w:t>B.</w:t>
      </w:r>
      <w:bookmarkEnd w:id="228"/>
      <w:r w:rsidRPr="002037E9">
        <w:rPr>
          <w:rFonts w:ascii="Arial" w:eastAsia="Arial" w:hAnsi="Arial" w:cs="Arial"/>
          <w:color w:val="auto"/>
          <w:szCs w:val="24"/>
          <w:bdr w:val="none" w:sz="0" w:space="0" w:color="auto" w:frame="1"/>
          <w:lang w:bidi="en-US"/>
        </w:rPr>
        <w:tab/>
        <w:t>Plan of distribution</w:t>
      </w:r>
    </w:p>
    <w:p w14:paraId="71F3EA7E" w14:textId="77777777" w:rsidR="00463233" w:rsidRPr="001D4DE7" w:rsidRDefault="00463233" w:rsidP="003A1399">
      <w:pPr>
        <w:keepNext/>
        <w:keepLines/>
        <w:pBdr>
          <w:top w:val="nil"/>
          <w:left w:val="nil"/>
          <w:bottom w:val="nil"/>
          <w:right w:val="nil"/>
          <w:between w:val="nil"/>
          <w:bar w:val="nil"/>
        </w:pBdr>
        <w:jc w:val="both"/>
        <w:rPr>
          <w:rFonts w:ascii="Arial" w:eastAsia="Arial" w:hAnsi="Arial" w:cs="Arial"/>
          <w:bdr w:val="nil"/>
          <w:lang w:val="en-US"/>
        </w:rPr>
      </w:pPr>
    </w:p>
    <w:p w14:paraId="71F3EA7F" w14:textId="77777777" w:rsidR="00463233" w:rsidRPr="001D4DE7" w:rsidRDefault="003A4815" w:rsidP="0027529E">
      <w:pPr>
        <w:pBdr>
          <w:top w:val="nil"/>
          <w:left w:val="nil"/>
          <w:bottom w:val="nil"/>
          <w:right w:val="nil"/>
          <w:between w:val="nil"/>
          <w:bar w:val="nil"/>
        </w:pBdr>
        <w:jc w:val="both"/>
        <w:rPr>
          <w:rFonts w:ascii="Arial" w:eastAsia="Arial" w:hAnsi="Arial" w:cs="Arial"/>
          <w:bdr w:val="nil"/>
          <w:lang w:val="en-US"/>
        </w:rPr>
      </w:pPr>
      <w:r w:rsidRPr="001D4DE7">
        <w:rPr>
          <w:rFonts w:ascii="Arial" w:eastAsia="Arial" w:hAnsi="Arial" w:cs="Arial"/>
          <w:lang w:val="en-US"/>
        </w:rPr>
        <w:t>Not Applicable.</w:t>
      </w:r>
    </w:p>
    <w:p w14:paraId="71F3EA80" w14:textId="77777777" w:rsidR="00463233" w:rsidRPr="001D4DE7" w:rsidRDefault="00463233" w:rsidP="00463233">
      <w:pPr>
        <w:widowControl w:val="0"/>
        <w:pBdr>
          <w:top w:val="nil"/>
          <w:left w:val="nil"/>
          <w:bottom w:val="nil"/>
          <w:right w:val="nil"/>
          <w:between w:val="nil"/>
          <w:bar w:val="nil"/>
        </w:pBdr>
        <w:ind w:firstLine="357"/>
        <w:jc w:val="both"/>
        <w:rPr>
          <w:rFonts w:ascii="Arial" w:eastAsia="Arial" w:hAnsi="Arial" w:cs="Arial"/>
          <w:bdr w:val="nil"/>
          <w:lang w:val="en-US"/>
        </w:rPr>
      </w:pPr>
    </w:p>
    <w:p w14:paraId="71F3EA81" w14:textId="77777777" w:rsidR="00463233" w:rsidRPr="002037E9" w:rsidRDefault="003A4815" w:rsidP="001D4DE7">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r w:rsidRPr="002037E9">
        <w:rPr>
          <w:rFonts w:ascii="Arial" w:eastAsia="Arial" w:hAnsi="Arial" w:cs="Arial"/>
          <w:color w:val="auto"/>
          <w:szCs w:val="24"/>
          <w:bdr w:val="none" w:sz="0" w:space="0" w:color="auto" w:frame="1"/>
          <w:lang w:bidi="en-US"/>
        </w:rPr>
        <w:t>C.</w:t>
      </w:r>
      <w:r w:rsidRPr="002037E9">
        <w:rPr>
          <w:rFonts w:ascii="Arial" w:eastAsia="Arial" w:hAnsi="Arial" w:cs="Arial"/>
          <w:color w:val="auto"/>
          <w:szCs w:val="24"/>
          <w:bdr w:val="none" w:sz="0" w:space="0" w:color="auto" w:frame="1"/>
          <w:lang w:bidi="en-US"/>
        </w:rPr>
        <w:tab/>
        <w:t>Markets</w:t>
      </w:r>
    </w:p>
    <w:p w14:paraId="71F3EA82" w14:textId="77777777" w:rsidR="00463233" w:rsidRPr="001D4DE7" w:rsidRDefault="00463233" w:rsidP="00691237">
      <w:pPr>
        <w:keepNext/>
        <w:keepLines/>
        <w:pBdr>
          <w:top w:val="nil"/>
          <w:left w:val="nil"/>
          <w:bottom w:val="nil"/>
          <w:right w:val="nil"/>
          <w:between w:val="nil"/>
          <w:bar w:val="nil"/>
        </w:pBdr>
        <w:jc w:val="both"/>
        <w:rPr>
          <w:rFonts w:ascii="Arial" w:eastAsia="Arial" w:hAnsi="Arial" w:cs="Arial"/>
          <w:bdr w:val="nil"/>
          <w:lang w:val="en-US" w:bidi="en-US"/>
        </w:rPr>
      </w:pPr>
    </w:p>
    <w:p w14:paraId="71F3EA83" w14:textId="77777777" w:rsidR="00463233" w:rsidRPr="001D4DE7" w:rsidRDefault="003A4815" w:rsidP="0027529E">
      <w:pPr>
        <w:pBdr>
          <w:top w:val="nil"/>
          <w:left w:val="nil"/>
          <w:bottom w:val="nil"/>
          <w:right w:val="nil"/>
          <w:between w:val="nil"/>
          <w:bar w:val="nil"/>
        </w:pBdr>
        <w:jc w:val="both"/>
        <w:rPr>
          <w:rFonts w:ascii="Arial" w:eastAsia="Arial" w:hAnsi="Arial" w:cs="Arial"/>
          <w:bdr w:val="nil"/>
          <w:lang w:val="en-US"/>
        </w:rPr>
      </w:pPr>
      <w:r w:rsidRPr="001D4DE7">
        <w:rPr>
          <w:rFonts w:ascii="Arial" w:eastAsia="Arial" w:hAnsi="Arial" w:cs="Arial"/>
          <w:lang w:val="en-US"/>
        </w:rPr>
        <w:t>Our common shares have traded on the NYSE since March 23, 2005 under the symbol “DSX,” our Series B Preferred Stock has traded on the NYSE under the symbol "DSXPRB" since February 21, 2014</w:t>
      </w:r>
      <w:r>
        <w:rPr>
          <w:rFonts w:ascii="Arial" w:eastAsia="Arial" w:hAnsi="Arial" w:cs="Arial"/>
          <w:lang w:val="en-US"/>
        </w:rPr>
        <w:t xml:space="preserve"> and our Warrants have traded on the NYSE under the symbol “DSX WS” since December 14, 2023</w:t>
      </w:r>
      <w:r w:rsidRPr="001D4DE7">
        <w:rPr>
          <w:rFonts w:ascii="Arial" w:eastAsia="Arial" w:hAnsi="Arial" w:cs="Arial"/>
          <w:lang w:val="en-US"/>
        </w:rPr>
        <w:t xml:space="preserve">. </w:t>
      </w:r>
      <w:r w:rsidRPr="001D4DE7">
        <w:rPr>
          <w:rFonts w:ascii="Arial" w:eastAsia="Arial" w:hAnsi="Arial" w:cs="Arial"/>
          <w:bdr w:val="none" w:sz="0" w:space="0" w:color="auto" w:frame="1"/>
          <w:lang w:val="en-US"/>
        </w:rPr>
        <w:t xml:space="preserve">Since </w:t>
      </w:r>
      <w:r>
        <w:rPr>
          <w:rFonts w:ascii="Arial" w:eastAsia="Arial" w:hAnsi="Arial" w:cs="Arial"/>
          <w:bdr w:val="none" w:sz="0" w:space="0" w:color="auto" w:frame="1"/>
          <w:lang w:val="en-US"/>
        </w:rPr>
        <w:t>July</w:t>
      </w:r>
      <w:r w:rsidRPr="001D4DE7">
        <w:rPr>
          <w:rFonts w:ascii="Arial" w:eastAsia="Arial" w:hAnsi="Arial" w:cs="Arial"/>
          <w:bdr w:val="none" w:sz="0" w:space="0" w:color="auto" w:frame="1"/>
          <w:lang w:val="en-US"/>
        </w:rPr>
        <w:t xml:space="preserve"> </w:t>
      </w:r>
      <w:r>
        <w:rPr>
          <w:rFonts w:ascii="Arial" w:eastAsia="Arial" w:hAnsi="Arial" w:cs="Arial"/>
          <w:bdr w:val="none" w:sz="0" w:space="0" w:color="auto" w:frame="1"/>
          <w:lang w:val="en-US"/>
        </w:rPr>
        <w:t>2</w:t>
      </w:r>
      <w:r w:rsidRPr="001D4DE7">
        <w:rPr>
          <w:rFonts w:ascii="Arial" w:eastAsia="Arial" w:hAnsi="Arial" w:cs="Arial"/>
          <w:bdr w:val="none" w:sz="0" w:space="0" w:color="auto" w:frame="1"/>
          <w:lang w:val="en-US"/>
        </w:rPr>
        <w:t>, 202</w:t>
      </w:r>
      <w:r>
        <w:rPr>
          <w:rFonts w:ascii="Arial" w:eastAsia="Arial" w:hAnsi="Arial" w:cs="Arial"/>
          <w:bdr w:val="none" w:sz="0" w:space="0" w:color="auto" w:frame="1"/>
          <w:lang w:val="en-US"/>
        </w:rPr>
        <w:t>4</w:t>
      </w:r>
      <w:r w:rsidRPr="001D4DE7">
        <w:rPr>
          <w:rFonts w:ascii="Arial" w:eastAsia="Arial" w:hAnsi="Arial" w:cs="Arial"/>
          <w:bdr w:val="none" w:sz="0" w:space="0" w:color="auto" w:frame="1"/>
          <w:lang w:val="en-US"/>
        </w:rPr>
        <w:t>, our 8.75% Senior Unsecured Bond due 202</w:t>
      </w:r>
      <w:r>
        <w:rPr>
          <w:rFonts w:ascii="Arial" w:eastAsia="Arial" w:hAnsi="Arial" w:cs="Arial"/>
          <w:bdr w:val="none" w:sz="0" w:space="0" w:color="auto" w:frame="1"/>
          <w:lang w:val="en-US"/>
        </w:rPr>
        <w:t>9</w:t>
      </w:r>
      <w:r w:rsidRPr="001D4DE7">
        <w:rPr>
          <w:rFonts w:ascii="Arial" w:eastAsia="Arial" w:hAnsi="Arial" w:cs="Arial"/>
          <w:bdr w:val="none" w:sz="0" w:space="0" w:color="auto" w:frame="1"/>
          <w:lang w:val="en-US"/>
        </w:rPr>
        <w:t xml:space="preserve"> commenced trading on the Oslo Stock Exchange, under the symbol "DIASH0</w:t>
      </w:r>
      <w:r>
        <w:rPr>
          <w:rFonts w:ascii="Arial" w:eastAsia="Arial" w:hAnsi="Arial" w:cs="Arial"/>
          <w:bdr w:val="none" w:sz="0" w:space="0" w:color="auto" w:frame="1"/>
          <w:lang w:val="en-US"/>
        </w:rPr>
        <w:t>3</w:t>
      </w:r>
      <w:r w:rsidRPr="001D4DE7">
        <w:rPr>
          <w:rFonts w:ascii="Arial" w:eastAsia="Arial" w:hAnsi="Arial" w:cs="Arial"/>
          <w:bdr w:val="none" w:sz="0" w:space="0" w:color="auto" w:frame="1"/>
          <w:lang w:val="en-US"/>
        </w:rPr>
        <w:t>."</w:t>
      </w:r>
    </w:p>
    <w:p w14:paraId="71F3EA84" w14:textId="77777777" w:rsidR="00463233" w:rsidRPr="001D4DE7" w:rsidRDefault="00463233" w:rsidP="00463233">
      <w:pPr>
        <w:widowControl w:val="0"/>
        <w:pBdr>
          <w:top w:val="nil"/>
          <w:left w:val="nil"/>
          <w:bottom w:val="nil"/>
          <w:right w:val="nil"/>
          <w:between w:val="nil"/>
          <w:bar w:val="nil"/>
        </w:pBdr>
        <w:ind w:firstLine="357"/>
        <w:jc w:val="both"/>
        <w:rPr>
          <w:rFonts w:ascii="Arial" w:eastAsia="Arial" w:hAnsi="Arial" w:cs="Arial"/>
          <w:bdr w:val="nil"/>
          <w:lang w:val="en-US"/>
        </w:rPr>
      </w:pPr>
    </w:p>
    <w:p w14:paraId="71F3EA85" w14:textId="77777777" w:rsidR="00463233" w:rsidRPr="002037E9" w:rsidRDefault="003A4815" w:rsidP="001D4DE7">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r w:rsidRPr="002037E9">
        <w:rPr>
          <w:rFonts w:ascii="Arial" w:eastAsia="Arial" w:hAnsi="Arial" w:cs="Arial"/>
          <w:color w:val="auto"/>
          <w:szCs w:val="24"/>
          <w:bdr w:val="none" w:sz="0" w:space="0" w:color="auto" w:frame="1"/>
          <w:lang w:bidi="en-US"/>
        </w:rPr>
        <w:t>D.</w:t>
      </w:r>
      <w:r w:rsidRPr="002037E9">
        <w:rPr>
          <w:rFonts w:ascii="Arial" w:eastAsia="Arial" w:hAnsi="Arial" w:cs="Arial"/>
          <w:color w:val="auto"/>
          <w:szCs w:val="24"/>
          <w:bdr w:val="none" w:sz="0" w:space="0" w:color="auto" w:frame="1"/>
          <w:lang w:bidi="en-US"/>
        </w:rPr>
        <w:tab/>
        <w:t>Selling Shareholders</w:t>
      </w:r>
    </w:p>
    <w:p w14:paraId="71F3EA86" w14:textId="77777777" w:rsidR="00463233" w:rsidRPr="001D4DE7" w:rsidRDefault="00463233" w:rsidP="00691237">
      <w:pPr>
        <w:keepNext/>
        <w:keepLines/>
        <w:pBdr>
          <w:top w:val="nil"/>
          <w:left w:val="nil"/>
          <w:bottom w:val="nil"/>
          <w:right w:val="nil"/>
          <w:between w:val="nil"/>
          <w:bar w:val="nil"/>
        </w:pBdr>
        <w:jc w:val="both"/>
        <w:rPr>
          <w:rFonts w:ascii="Arial" w:eastAsia="Arial" w:hAnsi="Arial" w:cs="Arial"/>
          <w:bdr w:val="nil"/>
          <w:lang w:val="en-US" w:bidi="en-US"/>
        </w:rPr>
      </w:pPr>
    </w:p>
    <w:p w14:paraId="71F3EA87" w14:textId="77777777" w:rsidR="00463233" w:rsidRPr="001D4DE7" w:rsidRDefault="003A4815" w:rsidP="0027529E">
      <w:pPr>
        <w:pBdr>
          <w:top w:val="nil"/>
          <w:left w:val="nil"/>
          <w:bottom w:val="nil"/>
          <w:right w:val="nil"/>
          <w:between w:val="nil"/>
          <w:bar w:val="nil"/>
        </w:pBdr>
        <w:jc w:val="both"/>
        <w:rPr>
          <w:rFonts w:ascii="Arial" w:eastAsia="Arial" w:hAnsi="Arial" w:cs="Arial"/>
          <w:bdr w:val="nil"/>
          <w:lang w:val="en-US"/>
        </w:rPr>
      </w:pPr>
      <w:r w:rsidRPr="001D4DE7">
        <w:rPr>
          <w:rFonts w:ascii="Arial" w:eastAsia="Arial" w:hAnsi="Arial" w:cs="Arial"/>
          <w:lang w:val="en-US"/>
        </w:rPr>
        <w:t>Not Applicable.</w:t>
      </w:r>
    </w:p>
    <w:p w14:paraId="71F3EA88" w14:textId="77777777" w:rsidR="00463233" w:rsidRPr="001D4DE7" w:rsidRDefault="00463233" w:rsidP="00463233">
      <w:pPr>
        <w:widowControl w:val="0"/>
        <w:pBdr>
          <w:top w:val="nil"/>
          <w:left w:val="nil"/>
          <w:bottom w:val="nil"/>
          <w:right w:val="nil"/>
          <w:between w:val="nil"/>
          <w:bar w:val="nil"/>
        </w:pBdr>
        <w:ind w:firstLine="357"/>
        <w:jc w:val="both"/>
        <w:rPr>
          <w:rFonts w:ascii="Arial" w:eastAsia="Arial" w:hAnsi="Arial" w:cs="Arial"/>
          <w:bdr w:val="nil"/>
          <w:lang w:val="en-US"/>
        </w:rPr>
      </w:pPr>
    </w:p>
    <w:p w14:paraId="71F3EA89" w14:textId="77777777" w:rsidR="00463233" w:rsidRPr="002037E9" w:rsidRDefault="003A4815" w:rsidP="001D4DE7">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r w:rsidRPr="002037E9">
        <w:rPr>
          <w:rFonts w:ascii="Arial" w:eastAsia="Arial" w:hAnsi="Arial" w:cs="Arial"/>
          <w:color w:val="auto"/>
          <w:szCs w:val="24"/>
          <w:bdr w:val="none" w:sz="0" w:space="0" w:color="auto" w:frame="1"/>
          <w:lang w:bidi="en-US"/>
        </w:rPr>
        <w:t>E.</w:t>
      </w:r>
      <w:r w:rsidRPr="002037E9">
        <w:rPr>
          <w:rFonts w:ascii="Arial" w:eastAsia="Arial" w:hAnsi="Arial" w:cs="Arial"/>
          <w:color w:val="auto"/>
          <w:szCs w:val="24"/>
          <w:bdr w:val="none" w:sz="0" w:space="0" w:color="auto" w:frame="1"/>
          <w:lang w:bidi="en-US"/>
        </w:rPr>
        <w:tab/>
        <w:t>Dilution</w:t>
      </w:r>
    </w:p>
    <w:p w14:paraId="71F3EA8A" w14:textId="77777777" w:rsidR="00463233" w:rsidRPr="001D4DE7" w:rsidRDefault="00463233" w:rsidP="00691237">
      <w:pPr>
        <w:keepNext/>
        <w:keepLines/>
        <w:pBdr>
          <w:top w:val="nil"/>
          <w:left w:val="nil"/>
          <w:bottom w:val="nil"/>
          <w:right w:val="nil"/>
          <w:between w:val="nil"/>
          <w:bar w:val="nil"/>
        </w:pBdr>
        <w:jc w:val="both"/>
        <w:rPr>
          <w:rFonts w:ascii="Arial" w:eastAsia="Arial" w:hAnsi="Arial" w:cs="Arial"/>
          <w:bdr w:val="nil"/>
          <w:lang w:val="en-US" w:bidi="en-US"/>
        </w:rPr>
      </w:pPr>
    </w:p>
    <w:p w14:paraId="71F3EA8B" w14:textId="77777777" w:rsidR="00463233" w:rsidRPr="001D4DE7" w:rsidRDefault="003A4815" w:rsidP="0027529E">
      <w:pPr>
        <w:pBdr>
          <w:top w:val="nil"/>
          <w:left w:val="nil"/>
          <w:bottom w:val="nil"/>
          <w:right w:val="nil"/>
          <w:between w:val="nil"/>
          <w:bar w:val="nil"/>
        </w:pBdr>
        <w:jc w:val="both"/>
        <w:rPr>
          <w:rFonts w:ascii="Arial" w:eastAsia="Arial" w:hAnsi="Arial" w:cs="Arial"/>
          <w:bdr w:val="nil"/>
          <w:lang w:val="en-US"/>
        </w:rPr>
      </w:pPr>
      <w:r w:rsidRPr="001D4DE7">
        <w:rPr>
          <w:rFonts w:ascii="Arial" w:eastAsia="Arial" w:hAnsi="Arial" w:cs="Arial"/>
          <w:lang w:val="en-US"/>
        </w:rPr>
        <w:t>Not Applicable.</w:t>
      </w:r>
    </w:p>
    <w:p w14:paraId="71F3EA8C" w14:textId="77777777" w:rsidR="00463233" w:rsidRPr="001D4DE7" w:rsidRDefault="00463233" w:rsidP="00463233">
      <w:pPr>
        <w:widowControl w:val="0"/>
        <w:pBdr>
          <w:top w:val="nil"/>
          <w:left w:val="nil"/>
          <w:bottom w:val="nil"/>
          <w:right w:val="nil"/>
          <w:between w:val="nil"/>
          <w:bar w:val="nil"/>
        </w:pBdr>
        <w:ind w:firstLine="357"/>
        <w:jc w:val="both"/>
        <w:rPr>
          <w:rFonts w:ascii="Arial" w:eastAsia="Arial" w:hAnsi="Arial" w:cs="Arial"/>
          <w:bdr w:val="nil"/>
          <w:lang w:val="en-US"/>
        </w:rPr>
      </w:pPr>
    </w:p>
    <w:p w14:paraId="71F3EA8D" w14:textId="77777777" w:rsidR="00463233" w:rsidRPr="002037E9" w:rsidRDefault="003A4815" w:rsidP="001D4DE7">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r w:rsidRPr="002037E9">
        <w:rPr>
          <w:rFonts w:ascii="Arial" w:eastAsia="Arial" w:hAnsi="Arial" w:cs="Arial"/>
          <w:color w:val="auto"/>
          <w:szCs w:val="24"/>
          <w:bdr w:val="none" w:sz="0" w:space="0" w:color="auto" w:frame="1"/>
          <w:lang w:bidi="en-US"/>
        </w:rPr>
        <w:t>F.</w:t>
      </w:r>
      <w:r w:rsidRPr="002037E9">
        <w:rPr>
          <w:rFonts w:ascii="Arial" w:eastAsia="Arial" w:hAnsi="Arial" w:cs="Arial"/>
          <w:color w:val="auto"/>
          <w:szCs w:val="24"/>
          <w:bdr w:val="none" w:sz="0" w:space="0" w:color="auto" w:frame="1"/>
          <w:lang w:bidi="en-US"/>
        </w:rPr>
        <w:tab/>
        <w:t>Expenses of the Issue</w:t>
      </w:r>
    </w:p>
    <w:p w14:paraId="71F3EA8E" w14:textId="77777777" w:rsidR="00463233" w:rsidRPr="001D4DE7" w:rsidRDefault="00463233" w:rsidP="00691237">
      <w:pPr>
        <w:keepNext/>
        <w:keepLines/>
        <w:pBdr>
          <w:top w:val="nil"/>
          <w:left w:val="nil"/>
          <w:bottom w:val="nil"/>
          <w:right w:val="nil"/>
          <w:between w:val="nil"/>
          <w:bar w:val="nil"/>
        </w:pBdr>
        <w:jc w:val="both"/>
        <w:rPr>
          <w:rFonts w:ascii="Arial" w:eastAsia="Arial" w:hAnsi="Arial" w:cs="Arial"/>
          <w:bdr w:val="nil"/>
          <w:lang w:val="en-US" w:bidi="en-US"/>
        </w:rPr>
      </w:pPr>
    </w:p>
    <w:p w14:paraId="71F3EA8F" w14:textId="77777777" w:rsidR="00463233" w:rsidRPr="001D4DE7" w:rsidRDefault="003A4815" w:rsidP="0027529E">
      <w:pPr>
        <w:pBdr>
          <w:top w:val="nil"/>
          <w:left w:val="nil"/>
          <w:bottom w:val="nil"/>
          <w:right w:val="nil"/>
          <w:between w:val="nil"/>
          <w:bar w:val="nil"/>
        </w:pBdr>
        <w:jc w:val="both"/>
        <w:rPr>
          <w:rFonts w:ascii="Arial" w:eastAsia="Arial" w:hAnsi="Arial" w:cs="Arial"/>
          <w:bdr w:val="nil"/>
          <w:lang w:val="en-US"/>
        </w:rPr>
      </w:pPr>
      <w:r w:rsidRPr="001D4DE7">
        <w:rPr>
          <w:rFonts w:ascii="Arial" w:eastAsia="Arial" w:hAnsi="Arial" w:cs="Arial"/>
          <w:lang w:val="en-US"/>
        </w:rPr>
        <w:t>Not Applicable.</w:t>
      </w:r>
    </w:p>
    <w:p w14:paraId="71F3EA90"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91" w14:textId="77777777" w:rsidR="000756F6" w:rsidRPr="00C35729" w:rsidRDefault="003A4815" w:rsidP="00C35729">
      <w:pPr>
        <w:pStyle w:val="Heading1"/>
        <w:keepLines/>
        <w:pBdr>
          <w:top w:val="nil"/>
          <w:left w:val="nil"/>
          <w:bottom w:val="nil"/>
          <w:right w:val="nil"/>
          <w:between w:val="nil"/>
          <w:bar w:val="nil"/>
        </w:pBdr>
        <w:spacing w:before="0" w:after="0"/>
        <w:rPr>
          <w:rFonts w:ascii="Arial" w:eastAsia="Arial" w:hAnsi="Arial" w:cs="Arial"/>
          <w:color w:val="auto"/>
          <w:kern w:val="0"/>
          <w:szCs w:val="28"/>
          <w:bdr w:val="nil"/>
          <w:lang w:eastAsia="el-GR"/>
        </w:rPr>
      </w:pPr>
      <w:bookmarkStart w:id="229" w:name="part1_item10"/>
      <w:bookmarkStart w:id="230" w:name="RG_MARKER_22991"/>
      <w:bookmarkStart w:id="231" w:name="RG_MARKER_23171"/>
      <w:bookmarkStart w:id="232" w:name="_Toc222553128"/>
      <w:bookmarkStart w:id="233" w:name="_Toc223262942"/>
      <w:bookmarkStart w:id="234" w:name="_Toc103668642"/>
      <w:bookmarkEnd w:id="229"/>
      <w:r w:rsidRPr="00C35729">
        <w:rPr>
          <w:rFonts w:ascii="Arial" w:eastAsia="Arial" w:hAnsi="Arial" w:cs="Arial"/>
          <w:color w:val="auto"/>
          <w:kern w:val="0"/>
          <w:szCs w:val="28"/>
          <w:lang w:eastAsia="el-GR"/>
        </w:rPr>
        <w:t>Item 10.</w:t>
      </w:r>
      <w:bookmarkEnd w:id="230"/>
      <w:bookmarkEnd w:id="231"/>
      <w:r w:rsidRPr="00C35729">
        <w:rPr>
          <w:rFonts w:ascii="Arial" w:eastAsia="Arial" w:hAnsi="Arial" w:cs="Arial"/>
          <w:color w:val="auto"/>
          <w:kern w:val="0"/>
          <w:szCs w:val="28"/>
          <w:lang w:eastAsia="el-GR"/>
        </w:rPr>
        <w:tab/>
        <w:t>Additional Information</w:t>
      </w:r>
      <w:bookmarkEnd w:id="232"/>
      <w:bookmarkEnd w:id="233"/>
      <w:bookmarkEnd w:id="234"/>
    </w:p>
    <w:p w14:paraId="71F3EA92" w14:textId="77777777" w:rsidR="000A2D4A" w:rsidRPr="00C35729" w:rsidRDefault="000A2D4A" w:rsidP="00C35729">
      <w:pPr>
        <w:keepNext/>
        <w:keepLines/>
        <w:pBdr>
          <w:top w:val="nil"/>
          <w:left w:val="nil"/>
          <w:bottom w:val="nil"/>
          <w:right w:val="nil"/>
          <w:between w:val="nil"/>
          <w:bar w:val="nil"/>
        </w:pBdr>
        <w:rPr>
          <w:rFonts w:ascii="Arial" w:eastAsia="Arial" w:hAnsi="Arial" w:cs="Arial"/>
          <w:bdr w:val="nil"/>
          <w:lang w:val="en-US" w:eastAsia="el-GR"/>
        </w:rPr>
      </w:pPr>
    </w:p>
    <w:p w14:paraId="71F3EA93" w14:textId="77777777" w:rsidR="00F4250B" w:rsidRPr="00C35729" w:rsidRDefault="003A4815" w:rsidP="00C35729">
      <w:pPr>
        <w:pStyle w:val="Heading2"/>
        <w:keepLines/>
        <w:pBdr>
          <w:top w:val="nil"/>
          <w:left w:val="nil"/>
          <w:bottom w:val="nil"/>
          <w:right w:val="nil"/>
          <w:between w:val="nil"/>
          <w:bar w:val="nil"/>
        </w:pBdr>
        <w:ind w:left="714"/>
        <w:rPr>
          <w:rFonts w:ascii="Arial" w:eastAsia="Arial" w:hAnsi="Arial" w:cs="Arial"/>
          <w:color w:val="auto"/>
          <w:szCs w:val="24"/>
          <w:bdr w:val="nil"/>
          <w:lang w:val="en-GB" w:eastAsia="el-GR"/>
        </w:rPr>
      </w:pPr>
      <w:r w:rsidRPr="00C35729">
        <w:rPr>
          <w:rFonts w:ascii="Arial" w:eastAsia="Arial" w:hAnsi="Arial" w:cs="Arial"/>
          <w:color w:val="auto"/>
          <w:szCs w:val="24"/>
          <w:bdr w:val="none" w:sz="0" w:space="0" w:color="auto" w:frame="1"/>
          <w:lang w:val="en-GB" w:eastAsia="el-GR"/>
        </w:rPr>
        <w:t>A.</w:t>
      </w:r>
      <w:r w:rsidRPr="00C35729">
        <w:rPr>
          <w:rFonts w:ascii="Arial" w:eastAsia="Arial" w:hAnsi="Arial" w:cs="Arial"/>
          <w:color w:val="auto"/>
          <w:szCs w:val="24"/>
          <w:bdr w:val="none" w:sz="0" w:space="0" w:color="auto" w:frame="1"/>
          <w:lang w:val="en-GB" w:eastAsia="el-GR"/>
        </w:rPr>
        <w:tab/>
        <w:t xml:space="preserve">Share </w:t>
      </w:r>
      <w:r>
        <w:rPr>
          <w:rFonts w:ascii="Arial" w:eastAsia="Arial" w:hAnsi="Arial" w:cs="Arial"/>
          <w:color w:val="auto"/>
          <w:szCs w:val="24"/>
          <w:bdr w:val="none" w:sz="0" w:space="0" w:color="auto" w:frame="1"/>
          <w:lang w:val="en-GB" w:eastAsia="el-GR"/>
        </w:rPr>
        <w:t>C</w:t>
      </w:r>
      <w:r w:rsidRPr="00C35729">
        <w:rPr>
          <w:rFonts w:ascii="Arial" w:eastAsia="Arial" w:hAnsi="Arial" w:cs="Arial"/>
          <w:color w:val="auto"/>
          <w:szCs w:val="24"/>
          <w:bdr w:val="none" w:sz="0" w:space="0" w:color="auto" w:frame="1"/>
          <w:lang w:val="en-GB" w:eastAsia="el-GR"/>
        </w:rPr>
        <w:t>apital</w:t>
      </w:r>
    </w:p>
    <w:p w14:paraId="71F3EA94" w14:textId="77777777" w:rsidR="00571432" w:rsidRPr="00C35729" w:rsidRDefault="00571432" w:rsidP="00C35729">
      <w:pPr>
        <w:keepNext/>
        <w:keepLines/>
        <w:pBdr>
          <w:top w:val="nil"/>
          <w:left w:val="nil"/>
          <w:bottom w:val="nil"/>
          <w:right w:val="nil"/>
          <w:between w:val="nil"/>
          <w:bar w:val="nil"/>
        </w:pBdr>
        <w:rPr>
          <w:rFonts w:ascii="Arial" w:eastAsia="Arial" w:hAnsi="Arial" w:cs="Arial"/>
          <w:bdr w:val="nil"/>
          <w:lang w:val="en-GB"/>
        </w:rPr>
      </w:pPr>
    </w:p>
    <w:p w14:paraId="71F3EA95" w14:textId="77777777" w:rsidR="00012281" w:rsidRPr="00C35729" w:rsidRDefault="003A4815" w:rsidP="00C35729">
      <w:pPr>
        <w:pBdr>
          <w:top w:val="nil"/>
          <w:left w:val="nil"/>
          <w:bottom w:val="nil"/>
          <w:right w:val="nil"/>
          <w:between w:val="nil"/>
          <w:bar w:val="nil"/>
        </w:pBdr>
        <w:rPr>
          <w:rFonts w:ascii="Arial" w:eastAsia="Arial" w:hAnsi="Arial" w:cs="Arial"/>
          <w:bdr w:val="nil"/>
          <w:lang w:val="en-US" w:eastAsia="el-GR"/>
        </w:rPr>
      </w:pPr>
      <w:r w:rsidRPr="00C35729">
        <w:rPr>
          <w:rFonts w:ascii="Arial" w:eastAsia="Arial" w:hAnsi="Arial" w:cs="Arial"/>
          <w:lang w:val="en-US" w:eastAsia="el-GR"/>
        </w:rPr>
        <w:t>Not Applicable.</w:t>
      </w:r>
    </w:p>
    <w:p w14:paraId="71F3EA96"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A97" w14:textId="77777777" w:rsidR="0033018C" w:rsidRPr="00853F74" w:rsidRDefault="003A4815" w:rsidP="00853F74">
      <w:pPr>
        <w:pStyle w:val="Heading2"/>
        <w:keepLines/>
        <w:pBdr>
          <w:top w:val="nil"/>
          <w:left w:val="nil"/>
          <w:bottom w:val="nil"/>
          <w:right w:val="nil"/>
          <w:between w:val="nil"/>
          <w:bar w:val="nil"/>
        </w:pBdr>
        <w:autoSpaceDN w:val="0"/>
        <w:ind w:left="714"/>
        <w:rPr>
          <w:rFonts w:ascii="Arial" w:eastAsia="Arial" w:hAnsi="Arial" w:cs="Arial"/>
          <w:szCs w:val="24"/>
          <w:bdr w:val="nil"/>
          <w:lang w:val="en-GB" w:bidi="en-US"/>
        </w:rPr>
      </w:pPr>
      <w:bookmarkStart w:id="235" w:name="RG_MARKER_22992"/>
      <w:r w:rsidRPr="00853F74">
        <w:rPr>
          <w:rFonts w:ascii="Arial" w:eastAsia="Arial" w:hAnsi="Arial" w:cs="Arial"/>
          <w:szCs w:val="24"/>
          <w:bdr w:val="none" w:sz="0" w:space="0" w:color="auto" w:frame="1"/>
          <w:lang w:val="en-GB" w:bidi="en-US"/>
        </w:rPr>
        <w:t>B.</w:t>
      </w:r>
      <w:bookmarkEnd w:id="235"/>
      <w:r w:rsidRPr="00853F74">
        <w:rPr>
          <w:rFonts w:ascii="Arial" w:eastAsia="Arial" w:hAnsi="Arial" w:cs="Arial"/>
          <w:szCs w:val="24"/>
          <w:bdr w:val="none" w:sz="0" w:space="0" w:color="auto" w:frame="1"/>
          <w:lang w:val="en-GB" w:bidi="en-US"/>
        </w:rPr>
        <w:tab/>
        <w:t xml:space="preserve">Memorandum and </w:t>
      </w:r>
      <w:r>
        <w:rPr>
          <w:rFonts w:ascii="Arial" w:eastAsia="Arial" w:hAnsi="Arial" w:cs="Arial"/>
          <w:szCs w:val="24"/>
          <w:bdr w:val="none" w:sz="0" w:space="0" w:color="auto" w:frame="1"/>
          <w:lang w:val="en-GB" w:bidi="en-US"/>
        </w:rPr>
        <w:t>A</w:t>
      </w:r>
      <w:r w:rsidRPr="00853F74">
        <w:rPr>
          <w:rFonts w:ascii="Arial" w:eastAsia="Arial" w:hAnsi="Arial" w:cs="Arial"/>
          <w:szCs w:val="24"/>
          <w:bdr w:val="none" w:sz="0" w:space="0" w:color="auto" w:frame="1"/>
          <w:lang w:val="en-GB" w:bidi="en-US"/>
        </w:rPr>
        <w:t xml:space="preserve">rticles of </w:t>
      </w:r>
      <w:r>
        <w:rPr>
          <w:rFonts w:ascii="Arial" w:eastAsia="Arial" w:hAnsi="Arial" w:cs="Arial"/>
          <w:szCs w:val="24"/>
          <w:bdr w:val="none" w:sz="0" w:space="0" w:color="auto" w:frame="1"/>
          <w:lang w:val="en-GB" w:bidi="en-US"/>
        </w:rPr>
        <w:t>A</w:t>
      </w:r>
      <w:r w:rsidRPr="00853F74">
        <w:rPr>
          <w:rFonts w:ascii="Arial" w:eastAsia="Arial" w:hAnsi="Arial" w:cs="Arial"/>
          <w:szCs w:val="24"/>
          <w:bdr w:val="none" w:sz="0" w:space="0" w:color="auto" w:frame="1"/>
          <w:lang w:val="en-GB" w:bidi="en-US"/>
        </w:rPr>
        <w:t>ssociation</w:t>
      </w:r>
    </w:p>
    <w:p w14:paraId="71F3EA98" w14:textId="77777777" w:rsidR="006409E9" w:rsidRPr="003A2B75" w:rsidRDefault="006409E9" w:rsidP="00853F74">
      <w:pPr>
        <w:pBdr>
          <w:top w:val="nil"/>
          <w:left w:val="nil"/>
          <w:bottom w:val="nil"/>
          <w:right w:val="nil"/>
          <w:between w:val="nil"/>
          <w:bar w:val="nil"/>
        </w:pBdr>
        <w:jc w:val="both"/>
        <w:rPr>
          <w:rFonts w:ascii="Arial" w:eastAsia="Arial" w:hAnsi="Arial" w:cs="Arial"/>
          <w:bdr w:val="nil"/>
          <w:lang w:val="en-US"/>
        </w:rPr>
      </w:pPr>
    </w:p>
    <w:p w14:paraId="71F3EA99" w14:textId="77777777" w:rsidR="003A2B75" w:rsidRDefault="003A4815" w:rsidP="00853F74">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szCs w:val="24"/>
          <w:lang w:val="en-US" w:bidi="en-US"/>
        </w:rPr>
        <w:t>Our current amended and restated articles of incorporation are filed as exhibit 1.1 hereto, and our current amended and restated bylaws are filed as exhibit 1.2 hereto. The information contained in these exhibits is incorporated by reference herein.</w:t>
      </w:r>
    </w:p>
    <w:p w14:paraId="71F3EA9A" w14:textId="77777777" w:rsidR="006409E9" w:rsidRPr="003A2B75" w:rsidRDefault="006409E9" w:rsidP="00853F74">
      <w:pPr>
        <w:pBdr>
          <w:top w:val="nil"/>
          <w:left w:val="nil"/>
          <w:bottom w:val="nil"/>
          <w:right w:val="nil"/>
          <w:between w:val="nil"/>
          <w:bar w:val="nil"/>
        </w:pBdr>
        <w:jc w:val="both"/>
        <w:rPr>
          <w:rFonts w:ascii="Arial" w:eastAsia="Arial" w:hAnsi="Arial" w:cs="Arial"/>
          <w:bdr w:val="nil"/>
          <w:lang w:val="en-US"/>
        </w:rPr>
      </w:pPr>
    </w:p>
    <w:p w14:paraId="71F3EA9B" w14:textId="77777777" w:rsidR="003A2B75" w:rsidRDefault="003A4815" w:rsidP="003A2B75">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szCs w:val="24"/>
          <w:lang w:val="en-US" w:bidi="en-US"/>
        </w:rPr>
        <w:t>Information regarding the rights, preferences and restrictions attaching to each class of our shares is described in Exhibit 2.</w:t>
      </w:r>
      <w:r w:rsidR="00A06182">
        <w:rPr>
          <w:rFonts w:ascii="Arial" w:eastAsia="Arial" w:hAnsi="Arial" w:cs="Arial"/>
          <w:szCs w:val="24"/>
          <w:lang w:val="en-US" w:bidi="en-US"/>
        </w:rPr>
        <w:t>6</w:t>
      </w:r>
      <w:r>
        <w:rPr>
          <w:rFonts w:ascii="Arial" w:eastAsia="Arial" w:hAnsi="Arial" w:cs="Arial"/>
          <w:szCs w:val="24"/>
          <w:lang w:val="en-US" w:bidi="en-US"/>
        </w:rPr>
        <w:t xml:space="preserve"> to this annual report titled “Description of Securities Registered Pursuant to Section 12 of the Securities Exchange Act of 1934.” </w:t>
      </w:r>
    </w:p>
    <w:p w14:paraId="71F3EA9C" w14:textId="77777777" w:rsidR="003C5E2F" w:rsidRPr="003A2B75" w:rsidRDefault="003C5E2F" w:rsidP="003A2B75">
      <w:pPr>
        <w:pBdr>
          <w:top w:val="nil"/>
          <w:left w:val="nil"/>
          <w:bottom w:val="nil"/>
          <w:right w:val="nil"/>
          <w:between w:val="nil"/>
          <w:bar w:val="nil"/>
        </w:pBdr>
        <w:jc w:val="both"/>
        <w:rPr>
          <w:rFonts w:ascii="Arial" w:eastAsia="Arial" w:hAnsi="Arial" w:cs="Arial"/>
          <w:bdr w:val="nil"/>
          <w:lang w:val="en-US"/>
        </w:rPr>
      </w:pPr>
    </w:p>
    <w:p w14:paraId="71F3EA9D" w14:textId="77777777" w:rsidR="003C5E2F" w:rsidRPr="00853F74" w:rsidRDefault="003A4815" w:rsidP="00853F74">
      <w:pPr>
        <w:pStyle w:val="Heading332"/>
        <w:keepNext/>
        <w:keepLines/>
        <w:pBdr>
          <w:top w:val="nil"/>
          <w:left w:val="nil"/>
          <w:bottom w:val="nil"/>
          <w:right w:val="nil"/>
          <w:between w:val="nil"/>
          <w:bar w:val="nil"/>
        </w:pBdr>
        <w:rPr>
          <w:rFonts w:ascii="Arial" w:eastAsia="Arial" w:hAnsi="Arial" w:cs="Arial"/>
          <w:sz w:val="22"/>
          <w:bdr w:val="nil"/>
        </w:rPr>
      </w:pPr>
      <w:r w:rsidRPr="00853F74">
        <w:rPr>
          <w:rFonts w:ascii="Arial" w:eastAsia="Arial" w:hAnsi="Arial" w:cs="Arial"/>
          <w:sz w:val="22"/>
        </w:rPr>
        <w:t>Stockholders Rights Agreement</w:t>
      </w:r>
    </w:p>
    <w:p w14:paraId="71F3EA9E" w14:textId="77777777" w:rsidR="00342E1B" w:rsidRPr="00853F74" w:rsidRDefault="00342E1B" w:rsidP="00853F74">
      <w:pPr>
        <w:keepNext/>
        <w:keepLines/>
        <w:pBdr>
          <w:top w:val="nil"/>
          <w:left w:val="nil"/>
          <w:bottom w:val="nil"/>
          <w:right w:val="nil"/>
          <w:between w:val="nil"/>
          <w:bar w:val="nil"/>
        </w:pBdr>
        <w:jc w:val="both"/>
        <w:rPr>
          <w:rFonts w:ascii="Arial" w:eastAsia="Arial" w:hAnsi="Arial" w:cs="Arial"/>
          <w:bdr w:val="nil"/>
          <w:lang w:val="en-US"/>
        </w:rPr>
      </w:pPr>
    </w:p>
    <w:p w14:paraId="71F3EA9F" w14:textId="77777777" w:rsidR="003C5E2F" w:rsidRPr="004936B8" w:rsidRDefault="003A4815" w:rsidP="00853F74">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szCs w:val="24"/>
          <w:lang w:val="en-US" w:bidi="en-US"/>
        </w:rPr>
        <w:t>On February 2, 2024, we entered into an Amended and Restated Stockholders Rights Agreement with Computershare Trust Company, N.A., as Rights Agent, to amend and restate the Stockholders Rights Agreement, dated January 15, 2016</w:t>
      </w:r>
      <w:r w:rsidRPr="00853F74">
        <w:rPr>
          <w:rFonts w:ascii="Arial" w:eastAsia="Arial" w:hAnsi="Arial" w:cs="Arial"/>
          <w:lang w:val="en-US" w:bidi="en-US"/>
        </w:rPr>
        <w:t>.</w:t>
      </w:r>
    </w:p>
    <w:p w14:paraId="71F3EAA0" w14:textId="77777777" w:rsidR="003C5E2F" w:rsidRPr="00853F74" w:rsidRDefault="003C5E2F" w:rsidP="00853F74">
      <w:pPr>
        <w:pBdr>
          <w:top w:val="nil"/>
          <w:left w:val="nil"/>
          <w:bottom w:val="nil"/>
          <w:right w:val="nil"/>
          <w:between w:val="nil"/>
          <w:bar w:val="nil"/>
        </w:pBdr>
        <w:jc w:val="both"/>
        <w:rPr>
          <w:rFonts w:ascii="Arial" w:eastAsia="Arial" w:hAnsi="Arial" w:cs="Arial"/>
          <w:bdr w:val="nil"/>
          <w:lang w:val="en-US"/>
        </w:rPr>
      </w:pPr>
    </w:p>
    <w:p w14:paraId="71F3EAA1" w14:textId="77777777" w:rsidR="003C5E2F" w:rsidRPr="00853F74" w:rsidRDefault="003A4815" w:rsidP="00853F74">
      <w:pPr>
        <w:pBdr>
          <w:top w:val="nil"/>
          <w:left w:val="nil"/>
          <w:bottom w:val="nil"/>
          <w:right w:val="nil"/>
          <w:between w:val="nil"/>
          <w:bar w:val="nil"/>
        </w:pBdr>
        <w:jc w:val="both"/>
        <w:rPr>
          <w:rFonts w:ascii="Arial" w:eastAsia="Arial" w:hAnsi="Arial" w:cs="Arial"/>
          <w:bdr w:val="nil"/>
          <w:lang w:val="en-US"/>
        </w:rPr>
      </w:pPr>
      <w:r w:rsidRPr="00853F74">
        <w:rPr>
          <w:rFonts w:ascii="Arial" w:eastAsia="Arial" w:hAnsi="Arial" w:cs="Arial"/>
          <w:lang w:val="en-US" w:bidi="en-US"/>
        </w:rPr>
        <w:t>Under the</w:t>
      </w:r>
      <w:r>
        <w:rPr>
          <w:rFonts w:ascii="Arial" w:eastAsia="Arial" w:hAnsi="Arial" w:cs="Arial"/>
          <w:lang w:val="en-US" w:bidi="en-US"/>
        </w:rPr>
        <w:t xml:space="preserve"> </w:t>
      </w:r>
      <w:r>
        <w:rPr>
          <w:rFonts w:ascii="Arial" w:eastAsia="Arial" w:hAnsi="Arial" w:cs="Arial"/>
          <w:szCs w:val="24"/>
          <w:lang w:val="en-US" w:bidi="en-US"/>
        </w:rPr>
        <w:t>Amended and Restated</w:t>
      </w:r>
      <w:r w:rsidRPr="00853F74">
        <w:rPr>
          <w:rFonts w:ascii="Arial" w:eastAsia="Arial" w:hAnsi="Arial" w:cs="Arial"/>
          <w:lang w:val="en-US" w:bidi="en-US"/>
        </w:rPr>
        <w:t xml:space="preserve"> Stockholders Rights Agreement, we declared a dividend payable of one preferred stock purchase right, or Right, for each share of common stock outstanding at the close of business on January 26, 2016. Each Right entitles the registered holder to purchase from us one one-thousandth of a share of Series A participating preferred stock, par value $0.01 per share, at an exercise price of $</w:t>
      </w:r>
      <w:r>
        <w:rPr>
          <w:rFonts w:ascii="Arial" w:eastAsia="Arial" w:hAnsi="Arial" w:cs="Arial"/>
          <w:lang w:val="en-US" w:bidi="en-US"/>
        </w:rPr>
        <w:t>25</w:t>
      </w:r>
      <w:r w:rsidRPr="00853F74">
        <w:rPr>
          <w:rFonts w:ascii="Arial" w:eastAsia="Arial" w:hAnsi="Arial" w:cs="Arial"/>
          <w:lang w:val="en-US" w:bidi="en-US"/>
        </w:rPr>
        <w:t>.00 per share. The Rights will separate from the common stock and become exercisable only if a person or group acquires beneficial ownership of 1</w:t>
      </w:r>
      <w:r>
        <w:rPr>
          <w:rFonts w:ascii="Arial" w:eastAsia="Arial" w:hAnsi="Arial" w:cs="Arial"/>
          <w:lang w:val="en-US" w:bidi="en-US"/>
        </w:rPr>
        <w:t>5</w:t>
      </w:r>
      <w:r w:rsidRPr="00853F74">
        <w:rPr>
          <w:rFonts w:ascii="Arial" w:eastAsia="Arial" w:hAnsi="Arial" w:cs="Arial"/>
          <w:lang w:val="en-US" w:bidi="en-US"/>
        </w:rPr>
        <w:t>% or more of our common stock (including through entry into certain derivative positions) in a transaction not approved by our Board of Directors. In that situation, each holder of a Right (other than the acquiring person, whose Rights will become void and will not be exercisable) will have the right to purchase, upon payment of the exercise price, a number of shares of our common stock having a then-current market value equal to twice the exercise price. In addition, if the Company is acquired in a merger or other business combination after an acquiring person acquires 1</w:t>
      </w:r>
      <w:r>
        <w:rPr>
          <w:rFonts w:ascii="Arial" w:eastAsia="Arial" w:hAnsi="Arial" w:cs="Arial"/>
          <w:lang w:val="en-US" w:bidi="en-US"/>
        </w:rPr>
        <w:t>5</w:t>
      </w:r>
      <w:r w:rsidRPr="00853F74">
        <w:rPr>
          <w:rFonts w:ascii="Arial" w:eastAsia="Arial" w:hAnsi="Arial" w:cs="Arial"/>
          <w:lang w:val="en-US" w:bidi="en-US"/>
        </w:rPr>
        <w:t>% or more of our common stock, each holder of the Right will thereafter have the right to purchase, upon payment of the exercise price, a number of shares of common stock of the acquiring person having a then-current market value equal to twice the exercise price. The acquiring person will not be entitled to exercise these Rights.  Under the</w:t>
      </w:r>
      <w:r>
        <w:rPr>
          <w:rFonts w:ascii="Arial" w:eastAsia="Arial" w:hAnsi="Arial" w:cs="Arial"/>
          <w:lang w:val="en-US" w:bidi="en-US"/>
        </w:rPr>
        <w:t xml:space="preserve"> </w:t>
      </w:r>
      <w:r>
        <w:rPr>
          <w:rFonts w:ascii="Arial" w:eastAsia="Arial" w:hAnsi="Arial" w:cs="Arial"/>
          <w:szCs w:val="24"/>
          <w:lang w:val="en-US" w:bidi="en-US"/>
        </w:rPr>
        <w:t>Amended and Restated</w:t>
      </w:r>
      <w:r w:rsidRPr="00853F74">
        <w:rPr>
          <w:rFonts w:ascii="Arial" w:eastAsia="Arial" w:hAnsi="Arial" w:cs="Arial"/>
          <w:lang w:val="en-US" w:bidi="en-US"/>
        </w:rPr>
        <w:t xml:space="preserve"> Stockholders Rights Agreement's terms, it will expire on </w:t>
      </w:r>
      <w:r>
        <w:rPr>
          <w:rFonts w:ascii="Arial" w:eastAsia="Arial" w:hAnsi="Arial" w:cs="Arial"/>
          <w:szCs w:val="24"/>
          <w:lang w:val="en-US" w:bidi="en-US"/>
        </w:rPr>
        <w:t>February 1, 2034</w:t>
      </w:r>
      <w:r w:rsidRPr="00853F74">
        <w:rPr>
          <w:rFonts w:ascii="Arial" w:eastAsia="Arial" w:hAnsi="Arial" w:cs="Arial"/>
          <w:lang w:val="en-US" w:bidi="en-US"/>
        </w:rPr>
        <w:t>. A copy of the</w:t>
      </w:r>
      <w:r>
        <w:rPr>
          <w:rFonts w:ascii="Arial" w:eastAsia="Arial" w:hAnsi="Arial" w:cs="Arial"/>
          <w:lang w:val="en-US" w:bidi="en-US"/>
        </w:rPr>
        <w:t xml:space="preserve"> </w:t>
      </w:r>
      <w:r>
        <w:rPr>
          <w:rFonts w:ascii="Arial" w:eastAsia="Arial" w:hAnsi="Arial" w:cs="Arial"/>
          <w:szCs w:val="24"/>
          <w:lang w:val="en-US" w:bidi="en-US"/>
        </w:rPr>
        <w:t>Amended and Restated</w:t>
      </w:r>
      <w:r w:rsidRPr="00853F74">
        <w:rPr>
          <w:rFonts w:ascii="Arial" w:eastAsia="Arial" w:hAnsi="Arial" w:cs="Arial"/>
          <w:lang w:val="en-US" w:bidi="en-US"/>
        </w:rPr>
        <w:t xml:space="preserve"> Stockholders Rights Agreement and a summary of its terms are contained in the Form 8-A12B filed with the SEC on January 15, 2016, with file number 001-32458</w:t>
      </w:r>
      <w:r>
        <w:rPr>
          <w:rFonts w:ascii="Arial" w:eastAsia="Arial" w:hAnsi="Arial" w:cs="Arial"/>
          <w:lang w:val="en-US" w:bidi="en-US"/>
        </w:rPr>
        <w:t xml:space="preserve">, </w:t>
      </w:r>
      <w:r>
        <w:rPr>
          <w:rFonts w:ascii="Arial" w:eastAsia="Arial" w:hAnsi="Arial" w:cs="Arial"/>
          <w:szCs w:val="24"/>
          <w:lang w:val="en-US" w:bidi="en-US"/>
        </w:rPr>
        <w:t>as amended on February 2, 2024</w:t>
      </w:r>
      <w:r w:rsidRPr="00853F74">
        <w:rPr>
          <w:rFonts w:ascii="Arial" w:eastAsia="Arial" w:hAnsi="Arial" w:cs="Arial"/>
          <w:lang w:val="en-US" w:bidi="en-US"/>
        </w:rPr>
        <w:t>.</w:t>
      </w:r>
    </w:p>
    <w:p w14:paraId="71F3EAA2" w14:textId="77777777" w:rsidR="00510CAA" w:rsidRDefault="00510CAA">
      <w:pPr>
        <w:keepNext/>
        <w:keepLines/>
        <w:pBdr>
          <w:top w:val="nil"/>
          <w:left w:val="nil"/>
          <w:bottom w:val="nil"/>
          <w:right w:val="nil"/>
          <w:between w:val="nil"/>
          <w:bar w:val="nil"/>
        </w:pBdr>
        <w:rPr>
          <w:rFonts w:ascii="Arial" w:eastAsia="Arial" w:hAnsi="Arial" w:cs="Arial"/>
          <w:bdr w:val="nil"/>
          <w:lang w:val="en-US"/>
        </w:rPr>
      </w:pPr>
    </w:p>
    <w:p w14:paraId="71F3EAA3" w14:textId="77777777" w:rsidR="00021120" w:rsidRPr="002E0844" w:rsidRDefault="003A4815" w:rsidP="002E0844">
      <w:pPr>
        <w:pStyle w:val="Heading2"/>
        <w:keepLines/>
        <w:pBdr>
          <w:top w:val="nil"/>
          <w:left w:val="nil"/>
          <w:bottom w:val="nil"/>
          <w:right w:val="nil"/>
          <w:between w:val="nil"/>
          <w:bar w:val="nil"/>
        </w:pBdr>
        <w:ind w:left="714"/>
        <w:rPr>
          <w:rFonts w:ascii="Arial" w:eastAsia="Arial" w:hAnsi="Arial" w:cs="Arial"/>
          <w:color w:val="auto"/>
          <w:szCs w:val="24"/>
          <w:bdr w:val="nil"/>
          <w:lang w:val="en-GB" w:bidi="en-US"/>
        </w:rPr>
      </w:pPr>
      <w:bookmarkStart w:id="236" w:name="RG_MARKER_22993"/>
      <w:r w:rsidRPr="002E0844">
        <w:rPr>
          <w:rFonts w:ascii="Arial" w:eastAsia="Arial" w:hAnsi="Arial" w:cs="Arial"/>
          <w:color w:val="auto"/>
          <w:szCs w:val="24"/>
          <w:bdr w:val="none" w:sz="0" w:space="0" w:color="auto" w:frame="1"/>
          <w:lang w:val="en-GB" w:eastAsia="el-GR" w:bidi="en-US"/>
        </w:rPr>
        <w:t>C.</w:t>
      </w:r>
      <w:bookmarkEnd w:id="236"/>
      <w:r w:rsidRPr="002E0844">
        <w:rPr>
          <w:rFonts w:ascii="Arial" w:eastAsia="Arial" w:hAnsi="Arial" w:cs="Arial"/>
          <w:color w:val="auto"/>
          <w:szCs w:val="24"/>
          <w:bdr w:val="none" w:sz="0" w:space="0" w:color="auto" w:frame="1"/>
          <w:lang w:val="en-GB" w:eastAsia="el-GR" w:bidi="en-US"/>
        </w:rPr>
        <w:tab/>
        <w:t xml:space="preserve">Material </w:t>
      </w:r>
      <w:r>
        <w:rPr>
          <w:rFonts w:ascii="Arial" w:eastAsia="Arial" w:hAnsi="Arial" w:cs="Arial"/>
          <w:color w:val="auto"/>
          <w:szCs w:val="24"/>
          <w:bdr w:val="none" w:sz="0" w:space="0" w:color="auto" w:frame="1"/>
          <w:lang w:val="en-GB" w:eastAsia="el-GR" w:bidi="en-US"/>
        </w:rPr>
        <w:t>C</w:t>
      </w:r>
      <w:r w:rsidRPr="002E0844">
        <w:rPr>
          <w:rFonts w:ascii="Arial" w:eastAsia="Arial" w:hAnsi="Arial" w:cs="Arial"/>
          <w:color w:val="auto"/>
          <w:szCs w:val="24"/>
          <w:bdr w:val="none" w:sz="0" w:space="0" w:color="auto" w:frame="1"/>
          <w:lang w:val="en-GB" w:eastAsia="el-GR" w:bidi="en-US"/>
        </w:rPr>
        <w:t>ontracts</w:t>
      </w:r>
    </w:p>
    <w:p w14:paraId="71F3EAA4" w14:textId="77777777" w:rsidR="00EC7C7C" w:rsidRPr="002E0844" w:rsidRDefault="00EC7C7C" w:rsidP="002E0844">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AA5" w14:textId="77777777" w:rsidR="00B54FC4" w:rsidRPr="002E0844" w:rsidRDefault="003A4815" w:rsidP="002E0844">
      <w:pPr>
        <w:pStyle w:val="Char120"/>
        <w:keepNext w:val="0"/>
        <w:keepLines w:val="0"/>
        <w:widowControl/>
        <w:pBdr>
          <w:top w:val="nil"/>
          <w:left w:val="nil"/>
          <w:bottom w:val="nil"/>
          <w:right w:val="nil"/>
          <w:between w:val="nil"/>
          <w:bar w:val="nil"/>
        </w:pBdr>
        <w:spacing w:before="0" w:after="0"/>
        <w:rPr>
          <w:rFonts w:ascii="Arial" w:eastAsia="Arial" w:hAnsi="Arial" w:cs="Arial"/>
          <w:szCs w:val="22"/>
          <w:bdr w:val="nil"/>
        </w:rPr>
      </w:pPr>
      <w:r w:rsidRPr="002E0844">
        <w:rPr>
          <w:rFonts w:ascii="Arial" w:eastAsia="Arial" w:hAnsi="Arial" w:cs="Arial"/>
          <w:szCs w:val="22"/>
        </w:rPr>
        <w:t xml:space="preserve">Attached as exhibits to this annual report are the contracts we consider to be both material and not entered into in the ordinary course of business, </w:t>
      </w:r>
      <w:r w:rsidRPr="002E0844">
        <w:rPr>
          <w:rFonts w:ascii="Arial" w:eastAsia="Arial" w:hAnsi="Arial" w:cs="Arial"/>
          <w:szCs w:val="22"/>
          <w:lang w:eastAsia="en-US"/>
        </w:rPr>
        <w:t xml:space="preserve">which (i) are to be performed in whole or in part on or after the filing date of this annual </w:t>
      </w:r>
      <w:r w:rsidRPr="002E0844">
        <w:rPr>
          <w:rFonts w:ascii="Arial" w:eastAsia="Arial" w:hAnsi="Arial" w:cs="Arial"/>
          <w:szCs w:val="22"/>
        </w:rPr>
        <w:t>report or (ii) were entered into not more than two years before the filing date of this annual report. Other than these agreements, we have no material contracts, other than contracts entered into in the ordinary course of business, to which the Company or any member of the group is a party. A description of these is included in our description of our agreements generally: we refer you to Item 5.B for a discussion of our loan facilities.</w:t>
      </w:r>
    </w:p>
    <w:p w14:paraId="71F3EAA6"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AA7" w14:textId="77777777" w:rsidR="00FD466D" w:rsidRPr="00B770FB" w:rsidRDefault="003A4815" w:rsidP="00ED3214">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bookmarkStart w:id="237" w:name="RG_MARKER_22994"/>
      <w:r w:rsidRPr="00B770FB">
        <w:rPr>
          <w:rFonts w:ascii="Arial" w:eastAsia="Arial" w:hAnsi="Arial" w:cs="Arial"/>
          <w:color w:val="auto"/>
          <w:szCs w:val="24"/>
          <w:lang w:eastAsia="el-GR" w:bidi="en-US"/>
        </w:rPr>
        <w:t>D.</w:t>
      </w:r>
      <w:bookmarkEnd w:id="237"/>
      <w:r w:rsidRPr="00B770FB">
        <w:rPr>
          <w:rFonts w:ascii="Arial" w:eastAsia="Arial" w:hAnsi="Arial" w:cs="Arial"/>
          <w:color w:val="auto"/>
          <w:szCs w:val="24"/>
          <w:lang w:eastAsia="el-GR" w:bidi="en-US"/>
        </w:rPr>
        <w:tab/>
        <w:t>Exchange Controls</w:t>
      </w:r>
    </w:p>
    <w:p w14:paraId="71F3EAA8" w14:textId="77777777" w:rsidR="002A6780" w:rsidRPr="00B770FB" w:rsidRDefault="002A6780" w:rsidP="00ED3214">
      <w:pPr>
        <w:keepNext/>
        <w:keepLines/>
        <w:pBdr>
          <w:top w:val="nil"/>
          <w:left w:val="nil"/>
          <w:bottom w:val="nil"/>
          <w:right w:val="nil"/>
          <w:between w:val="nil"/>
          <w:bar w:val="nil"/>
        </w:pBdr>
        <w:jc w:val="both"/>
        <w:rPr>
          <w:rFonts w:ascii="Arial" w:eastAsia="Arial" w:hAnsi="Arial" w:cs="Arial"/>
          <w:bdr w:val="nil"/>
          <w:lang w:val="en-US"/>
        </w:rPr>
      </w:pPr>
    </w:p>
    <w:p w14:paraId="71F3EAA9" w14:textId="77777777" w:rsidR="00FD466D" w:rsidRPr="00B770FB" w:rsidRDefault="003A4815" w:rsidP="0037796C">
      <w:pPr>
        <w:pBdr>
          <w:top w:val="nil"/>
          <w:left w:val="nil"/>
          <w:bottom w:val="nil"/>
          <w:right w:val="nil"/>
          <w:between w:val="nil"/>
          <w:bar w:val="nil"/>
        </w:pBdr>
        <w:jc w:val="both"/>
        <w:rPr>
          <w:rFonts w:ascii="Arial" w:eastAsia="Arial" w:hAnsi="Arial" w:cs="Arial"/>
          <w:bdr w:val="nil"/>
          <w:lang w:val="en-US"/>
        </w:rPr>
      </w:pPr>
      <w:r w:rsidRPr="00B770FB">
        <w:rPr>
          <w:rFonts w:ascii="Arial" w:eastAsia="Arial" w:hAnsi="Arial" w:cs="Arial"/>
          <w:lang w:val="en-US" w:bidi="en-US"/>
        </w:rPr>
        <w:t>Under Marshall Islands, Panamanian, Cypriot and Greek law, there are currently no restrictions on the export or import of capital, including foreign exchange controls or restrictions that affect the remittance of dividends, interest or other payments to non-resident holders of our securities.</w:t>
      </w:r>
    </w:p>
    <w:p w14:paraId="71F3EAAA"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AAB" w14:textId="77777777" w:rsidR="00194264" w:rsidRPr="00F34D0F" w:rsidRDefault="003A4815" w:rsidP="00041894">
      <w:pPr>
        <w:pStyle w:val="Heading2"/>
        <w:keepLines/>
        <w:pBdr>
          <w:top w:val="nil"/>
          <w:left w:val="nil"/>
          <w:bottom w:val="nil"/>
          <w:right w:val="nil"/>
          <w:between w:val="nil"/>
          <w:bar w:val="nil"/>
        </w:pBdr>
        <w:ind w:left="714"/>
        <w:rPr>
          <w:rFonts w:ascii="Arial" w:eastAsia="Arial" w:hAnsi="Arial"/>
          <w:color w:val="auto"/>
          <w:szCs w:val="24"/>
          <w:bdr w:val="nil"/>
        </w:rPr>
      </w:pPr>
      <w:bookmarkStart w:id="238" w:name="RG_MARKER_22995"/>
      <w:r w:rsidRPr="00F34D0F">
        <w:rPr>
          <w:rFonts w:ascii="Arial" w:eastAsia="Arial" w:hAnsi="Arial" w:cs="Arial"/>
          <w:color w:val="auto"/>
          <w:szCs w:val="24"/>
          <w:bdr w:val="none" w:sz="0" w:space="0" w:color="auto" w:frame="1"/>
        </w:rPr>
        <w:t>E.</w:t>
      </w:r>
      <w:bookmarkEnd w:id="238"/>
      <w:r w:rsidRPr="00F34D0F">
        <w:rPr>
          <w:rFonts w:ascii="Arial" w:eastAsia="Arial" w:hAnsi="Arial" w:cs="Arial"/>
          <w:color w:val="auto"/>
          <w:szCs w:val="24"/>
          <w:bdr w:val="none" w:sz="0" w:space="0" w:color="auto" w:frame="1"/>
        </w:rPr>
        <w:tab/>
        <w:t>Taxation</w:t>
      </w:r>
    </w:p>
    <w:p w14:paraId="71F3EAAC" w14:textId="77777777" w:rsidR="00194264" w:rsidRPr="00041894" w:rsidRDefault="00194264" w:rsidP="009E37E4">
      <w:pPr>
        <w:keepNext/>
        <w:keepLines/>
        <w:pBdr>
          <w:top w:val="nil"/>
          <w:left w:val="nil"/>
          <w:bottom w:val="nil"/>
          <w:right w:val="nil"/>
          <w:between w:val="nil"/>
          <w:bar w:val="nil"/>
        </w:pBdr>
        <w:rPr>
          <w:rFonts w:ascii="Arial" w:eastAsia="Arial" w:hAnsi="Arial" w:cs="Arial"/>
          <w:bdr w:val="nil"/>
          <w:lang w:val="en-US"/>
        </w:rPr>
      </w:pPr>
    </w:p>
    <w:p w14:paraId="71F3EAAD"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bdr w:val="none" w:sz="0" w:space="0" w:color="auto" w:frame="1"/>
          <w:lang w:val="en-US"/>
        </w:rPr>
        <w:t xml:space="preserve">In the opinion of Seward &amp; Kissel LLP, the </w:t>
      </w:r>
      <w:r w:rsidRPr="00041894">
        <w:rPr>
          <w:rFonts w:ascii="Arial" w:eastAsia="Arial" w:hAnsi="Arial" w:cs="Arial"/>
          <w:color w:val="000000"/>
          <w:lang w:val="en-US"/>
        </w:rPr>
        <w:t>following is a discussion of the material Marshall Islands and U.S. federal income tax considerations of the ownership and disposition by a U.S. Holder and a Non-U.S. Holder, each as defined below, of the common stock. This discussion does not purport to deal with the tax consequences of owning common stock to all categories of investors, some of which, such as dealers in securities or commodities, financial institutions, insurance companies, tax-exempt organizations, U.S. expatriates, persons liable for the alternative minimum tax, persons who hold common stock as part of a straddle, hedge, conversion transaction or integrated investment, U.S. Holders whose functional currency is not the United States dollar, persons required to recognize income for U.S. federal income tax purposes no later than when such income is reported on an “applicable financial statement,” investors subject to the “base erosion and anti-avoidance” tax  and investors that own, actually or under applicable constructive ownership rules, 10% or more of the Company’s common stock, may be subject to special rules. This discussion deals only with holders who hold the common stock as a capital asset. You are encouraged to consult your own tax advisors concerning the overall tax consequences arising in your own particular situation under U.S. federal, state, local or foreign law of the ownership of common stock.</w:t>
      </w:r>
    </w:p>
    <w:p w14:paraId="71F3EAAE"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AF"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b/>
          <w:bCs/>
          <w:color w:val="000000"/>
          <w:bdr w:val="nil"/>
          <w:lang w:val="en-US"/>
        </w:rPr>
      </w:pPr>
      <w:r w:rsidRPr="00041894">
        <w:rPr>
          <w:rFonts w:ascii="Arial" w:eastAsia="Arial" w:hAnsi="Arial" w:cs="Arial"/>
          <w:b/>
          <w:bCs/>
          <w:color w:val="000000"/>
          <w:lang w:val="en-US"/>
        </w:rPr>
        <w:t>Marshall Islands Tax Considerations</w:t>
      </w:r>
    </w:p>
    <w:p w14:paraId="71F3EAB0"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B1"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Company is incorporated in the Marshall Islands. Under current Marshall Islands law, the company is not subject to tax on income or capital gains, and no Marshall Islands withholding tax will be imposed upon payments of dividends by us to our shareholders. </w:t>
      </w:r>
    </w:p>
    <w:p w14:paraId="71F3EAB2"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B3"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b/>
          <w:bCs/>
          <w:color w:val="000000"/>
          <w:bdr w:val="nil"/>
          <w:lang w:val="en-US"/>
        </w:rPr>
      </w:pPr>
      <w:r w:rsidRPr="00041894">
        <w:rPr>
          <w:rFonts w:ascii="Arial" w:eastAsia="Arial" w:hAnsi="Arial" w:cs="Arial"/>
          <w:b/>
          <w:bCs/>
          <w:color w:val="000000"/>
          <w:lang w:val="en-US"/>
        </w:rPr>
        <w:t>United States Federal Income Taxation</w:t>
      </w:r>
    </w:p>
    <w:p w14:paraId="71F3EAB4"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B5"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following discussion is based upon the provisions of the U.S. Internal Revenue Code of 1986, as amended (the “Code”), existing and proposed U.S. Treasury Department regulations, (the “Treasury Regulations”), administrative rulings, pronouncements and judicial decisions, all as of the date of this Annual Report.  This discussion assumes that we do not have an office or other fixed place of business in the United States. Unless the context otherwise requires, the reference to Company below shall be meant to refer to both the Company and its vessel-owning and operating subsidiaries.</w:t>
      </w:r>
    </w:p>
    <w:p w14:paraId="71F3EAB6"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B7"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Taxation of the Company’s Shipping Income</w:t>
      </w:r>
    </w:p>
    <w:p w14:paraId="71F3EAB8" w14:textId="77777777" w:rsidR="00D44F23" w:rsidRPr="00041894" w:rsidRDefault="00D44F23" w:rsidP="00041894">
      <w:pPr>
        <w:keepNext/>
        <w:keepLines/>
        <w:pBdr>
          <w:top w:val="nil"/>
          <w:left w:val="nil"/>
          <w:bottom w:val="nil"/>
          <w:right w:val="nil"/>
          <w:between w:val="nil"/>
          <w:bar w:val="nil"/>
        </w:pBdr>
        <w:jc w:val="both"/>
        <w:rPr>
          <w:rFonts w:ascii="Arial" w:eastAsia="Arial" w:hAnsi="Arial" w:cs="Arial"/>
          <w:bdr w:val="nil"/>
          <w:lang w:val="en-US"/>
        </w:rPr>
      </w:pPr>
    </w:p>
    <w:p w14:paraId="71F3EAB9"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In General</w:t>
      </w:r>
    </w:p>
    <w:p w14:paraId="71F3EABA"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BB"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Company anticipates that it will derive substantially all of its gross income from the use and operation of vessels in international commerce and that this income will principally consist of freights from the transportation of cargoes, hire or lease from time or voyage charters and the performance of services directly related thereto, which the Company refers to as “Shipping Income.” </w:t>
      </w:r>
    </w:p>
    <w:p w14:paraId="71F3EABC"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BD"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Shipping Income that is attributable to transportation that begins or ends, but that does not both begin and end, in the United States will be considered to be 50% derived from sources within the United States. Shipping Income attributable to transportation that both begins and ends in the United States will be considered to be 100% derived from sources within the United States. The Company is not permitted by law to engage in transportation that gives rise to 100% U.S. source Shipping Income. Shipping Income attributable to transportation exclusively between non-U.S. ports will be considered to be 100% derived from sources outside the United States. Shipping Income derived from sources outside the United States will not be subject to U.S. federal income tax.</w:t>
      </w:r>
    </w:p>
    <w:p w14:paraId="71F3EABE"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BF"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Based upon the Company’s anticipated shipping operations, the Company’s vessels will operate in various parts of the world, including to or from U.S. ports. Unless exempt from U.S. federal income taxation under Section 883 of the Code, the Company will be subject to U.S. federal income taxation, in the manner discussed below, to the extent its Shipping Income is considered derived from sources within the United States.</w:t>
      </w:r>
    </w:p>
    <w:p w14:paraId="71F3EAC0"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C1"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In the year ended December 31, 2025, approximately 6.5% of the Company’s shipping income was attributable to the transportation of cargoes either to or from a U.S. port. Accordingly, approximately 3.3% of the Company’s shipping income would be treated as derived from U.S. sources for the year ended December 31, 2025. In the absence of exemption from U.S. federal income tax under Section 883 of the Code, the Company would have been subject to a 4% tax on its gross U.S. source Shipping Income, equal to $0.3</w:t>
      </w:r>
      <w:r>
        <w:rPr>
          <w:rFonts w:ascii="Arial" w:eastAsia="Arial" w:hAnsi="Arial" w:cs="Arial"/>
          <w:color w:val="000000"/>
          <w:lang w:val="en-US"/>
        </w:rPr>
        <w:t xml:space="preserve"> million</w:t>
      </w:r>
      <w:r w:rsidRPr="00041894">
        <w:rPr>
          <w:rFonts w:ascii="Arial" w:eastAsia="Arial" w:hAnsi="Arial" w:cs="Arial"/>
          <w:color w:val="000000"/>
          <w:lang w:val="en-US"/>
        </w:rPr>
        <w:t xml:space="preserve"> for the year ended December 31, 2025.</w:t>
      </w:r>
    </w:p>
    <w:p w14:paraId="71F3EAC2"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C3"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Application of Exemption under Section 883 of the Code</w:t>
      </w:r>
    </w:p>
    <w:p w14:paraId="71F3EAC4"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C5"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Under the relevant provisions of Section 883 of the Code and the final Treasury Regulations promulgated thereunder, a foreign corporation will be exempt from U.S. federal income taxation on its U.S. source Shipping Income if:</w:t>
      </w:r>
    </w:p>
    <w:p w14:paraId="71F3EAC6" w14:textId="77777777" w:rsidR="00D44F23" w:rsidRPr="00041894" w:rsidRDefault="00D44F23" w:rsidP="00041894">
      <w:pPr>
        <w:pBdr>
          <w:top w:val="nil"/>
          <w:left w:val="nil"/>
          <w:bottom w:val="nil"/>
          <w:right w:val="nil"/>
          <w:between w:val="nil"/>
          <w:bar w:val="nil"/>
        </w:pBdr>
        <w:jc w:val="both"/>
        <w:rPr>
          <w:rFonts w:ascii="Arial" w:eastAsia="Arial" w:hAnsi="Arial" w:cs="Arial"/>
          <w:color w:val="000000"/>
          <w:bdr w:val="nil"/>
          <w:lang w:val="en-US"/>
        </w:rPr>
      </w:pPr>
    </w:p>
    <w:p w14:paraId="71F3EAC7" w14:textId="77777777" w:rsidR="00D44F23" w:rsidRPr="00041894" w:rsidRDefault="003A4815" w:rsidP="00041894">
      <w:pPr>
        <w:pBdr>
          <w:top w:val="nil"/>
          <w:left w:val="nil"/>
          <w:bottom w:val="nil"/>
          <w:right w:val="nil"/>
          <w:between w:val="nil"/>
          <w:bar w:val="nil"/>
        </w:pBdr>
        <w:ind w:left="1080" w:hanging="720"/>
        <w:jc w:val="both"/>
        <w:rPr>
          <w:rFonts w:ascii="Arial" w:eastAsia="Arial" w:hAnsi="Arial" w:cs="Arial"/>
          <w:color w:val="000000"/>
          <w:bdr w:val="nil"/>
          <w:lang w:val="en-US"/>
        </w:rPr>
      </w:pPr>
      <w:r w:rsidRPr="00041894">
        <w:rPr>
          <w:rFonts w:ascii="Arial" w:eastAsia="Arial" w:hAnsi="Arial" w:cs="Arial"/>
          <w:color w:val="000000"/>
          <w:lang w:val="en-US"/>
        </w:rPr>
        <w:t>(1)</w:t>
      </w:r>
      <w:r w:rsidRPr="00041894">
        <w:rPr>
          <w:rFonts w:ascii="Arial" w:eastAsia="Arial" w:hAnsi="Arial" w:cs="Arial"/>
          <w:color w:val="000000"/>
          <w:lang w:val="en-US"/>
        </w:rPr>
        <w:tab/>
        <w:t>It is organized in a qualified foreign country which, as defined, is one that grants an equivalent exemption from tax to corporations organized in the United States in respect of the Shipping Income for which exemption is being claimed under Section 883 of the Code, or the “Country of Organization Requirement”; and</w:t>
      </w:r>
    </w:p>
    <w:p w14:paraId="71F3EAC8" w14:textId="77777777" w:rsidR="00D44F23" w:rsidRPr="00041894" w:rsidRDefault="00D44F23" w:rsidP="00041894">
      <w:pPr>
        <w:pBdr>
          <w:top w:val="nil"/>
          <w:left w:val="nil"/>
          <w:bottom w:val="nil"/>
          <w:right w:val="nil"/>
          <w:between w:val="nil"/>
          <w:bar w:val="nil"/>
        </w:pBdr>
        <w:jc w:val="both"/>
        <w:rPr>
          <w:rFonts w:ascii="Arial" w:eastAsia="Arial" w:hAnsi="Arial" w:cs="Arial"/>
          <w:color w:val="000000"/>
          <w:bdr w:val="nil"/>
          <w:lang w:val="en-US"/>
        </w:rPr>
      </w:pPr>
    </w:p>
    <w:p w14:paraId="71F3EAC9" w14:textId="77777777" w:rsidR="00D44F23" w:rsidRPr="00041894" w:rsidRDefault="003A4815" w:rsidP="00041894">
      <w:pPr>
        <w:pBdr>
          <w:top w:val="nil"/>
          <w:left w:val="nil"/>
          <w:bottom w:val="nil"/>
          <w:right w:val="nil"/>
          <w:between w:val="nil"/>
          <w:bar w:val="nil"/>
        </w:pBdr>
        <w:ind w:left="1080" w:hanging="720"/>
        <w:jc w:val="both"/>
        <w:rPr>
          <w:rFonts w:ascii="Arial" w:eastAsia="Arial" w:hAnsi="Arial" w:cs="Arial"/>
          <w:color w:val="000000"/>
          <w:bdr w:val="nil"/>
          <w:lang w:val="en-US"/>
        </w:rPr>
      </w:pPr>
      <w:r w:rsidRPr="00041894">
        <w:rPr>
          <w:rFonts w:ascii="Arial" w:eastAsia="Arial" w:hAnsi="Arial" w:cs="Arial"/>
          <w:color w:val="000000"/>
          <w:lang w:val="en-US"/>
        </w:rPr>
        <w:t>(2)</w:t>
      </w:r>
      <w:r w:rsidRPr="00041894">
        <w:rPr>
          <w:rFonts w:ascii="Arial" w:eastAsia="Arial" w:hAnsi="Arial" w:cs="Arial"/>
          <w:color w:val="000000"/>
          <w:lang w:val="en-US"/>
        </w:rPr>
        <w:tab/>
        <w:t>It can satisfy any one of the following two stock ownership requirements:</w:t>
      </w:r>
    </w:p>
    <w:p w14:paraId="71F3EACA" w14:textId="77777777" w:rsidR="00D44F23" w:rsidRPr="00041894" w:rsidRDefault="00D44F23" w:rsidP="00041894">
      <w:pPr>
        <w:pStyle w:val="ListParagraph"/>
        <w:pBdr>
          <w:top w:val="nil"/>
          <w:left w:val="nil"/>
          <w:bottom w:val="nil"/>
          <w:right w:val="nil"/>
          <w:between w:val="nil"/>
          <w:bar w:val="nil"/>
        </w:pBdr>
        <w:ind w:left="1080"/>
        <w:jc w:val="both"/>
        <w:rPr>
          <w:rFonts w:ascii="Arial" w:eastAsia="Arial" w:hAnsi="Arial" w:cs="Arial"/>
          <w:color w:val="000000"/>
          <w:bdr w:val="nil"/>
          <w:lang w:val="en-US"/>
        </w:rPr>
      </w:pPr>
    </w:p>
    <w:p w14:paraId="71F3EACB" w14:textId="77777777" w:rsidR="00D44F23" w:rsidRPr="00041894" w:rsidRDefault="003A4815" w:rsidP="00041894">
      <w:pPr>
        <w:pBdr>
          <w:top w:val="nil"/>
          <w:left w:val="nil"/>
          <w:bottom w:val="nil"/>
          <w:right w:val="nil"/>
          <w:between w:val="nil"/>
          <w:bar w:val="nil"/>
        </w:pBdr>
        <w:ind w:left="1800"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more than 50% of its stock, in terms of value, is beneficially owned by qualified shareholders which, as defined, includes individuals who are residents of a qualified foreign country, or the “50% Ownership Test”; or</w:t>
      </w:r>
    </w:p>
    <w:p w14:paraId="71F3EACC" w14:textId="77777777" w:rsidR="00D44F23" w:rsidRPr="00041894" w:rsidRDefault="003A4815" w:rsidP="00041894">
      <w:pPr>
        <w:pBdr>
          <w:top w:val="nil"/>
          <w:left w:val="nil"/>
          <w:bottom w:val="nil"/>
          <w:right w:val="nil"/>
          <w:between w:val="nil"/>
          <w:bar w:val="nil"/>
        </w:pBdr>
        <w:ind w:left="1800"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its stock is “primarily and regularly” traded on an established securities market located in the United States or a qualified foreign country, or the “Publicly Traded Test”.</w:t>
      </w:r>
    </w:p>
    <w:p w14:paraId="71F3EACD" w14:textId="77777777" w:rsidR="00D44F23" w:rsidRPr="00041894" w:rsidRDefault="00D44F23" w:rsidP="00041894">
      <w:pPr>
        <w:pBdr>
          <w:top w:val="nil"/>
          <w:left w:val="nil"/>
          <w:bottom w:val="nil"/>
          <w:right w:val="nil"/>
          <w:between w:val="nil"/>
          <w:bar w:val="nil"/>
        </w:pBdr>
        <w:jc w:val="both"/>
        <w:rPr>
          <w:rFonts w:ascii="Arial" w:eastAsia="Arial" w:hAnsi="Arial" w:cs="Arial"/>
          <w:color w:val="000000"/>
          <w:bdr w:val="nil"/>
          <w:lang w:val="en-US"/>
        </w:rPr>
      </w:pPr>
    </w:p>
    <w:p w14:paraId="71F3EACE" w14:textId="77777777" w:rsidR="00D44F23"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U.S. Treasury Department has recognized the Marshall Islands, Panama and Cyprus the countries of incorporation of each of the Company and its subsidiaries that earns Shipping Income, as a qualified foreign country. Accordingly, the Company and each of the subsidiaries satisfy the Country of Organization Requirement.  </w:t>
      </w:r>
    </w:p>
    <w:p w14:paraId="71F3EACF" w14:textId="77777777" w:rsidR="00506A4D" w:rsidRDefault="00506A4D" w:rsidP="00041894">
      <w:pPr>
        <w:pBdr>
          <w:top w:val="nil"/>
          <w:left w:val="nil"/>
          <w:bottom w:val="nil"/>
          <w:right w:val="nil"/>
          <w:between w:val="nil"/>
          <w:bar w:val="nil"/>
        </w:pBdr>
        <w:jc w:val="both"/>
        <w:rPr>
          <w:rFonts w:ascii="Arial" w:eastAsia="Arial" w:hAnsi="Arial" w:cs="Arial"/>
          <w:color w:val="000000"/>
          <w:bdr w:val="nil"/>
          <w:lang w:val="en-US"/>
        </w:rPr>
      </w:pPr>
    </w:p>
    <w:p w14:paraId="71F3EAD0" w14:textId="77777777" w:rsidR="00506A4D" w:rsidRPr="00506A4D" w:rsidRDefault="003A4815" w:rsidP="00506A4D">
      <w:pPr>
        <w:pBdr>
          <w:top w:val="nil"/>
          <w:left w:val="nil"/>
          <w:bottom w:val="nil"/>
          <w:right w:val="nil"/>
          <w:between w:val="nil"/>
          <w:bar w:val="nil"/>
        </w:pBdr>
        <w:jc w:val="both"/>
        <w:rPr>
          <w:rFonts w:ascii="Arial" w:eastAsia="Arial" w:hAnsi="Arial" w:cs="Arial"/>
          <w:color w:val="000000"/>
          <w:bdr w:val="nil"/>
          <w:lang w:val="en-US"/>
        </w:rPr>
      </w:pPr>
      <w:r w:rsidRPr="00506A4D">
        <w:rPr>
          <w:rFonts w:ascii="Arial" w:eastAsia="Arial" w:hAnsi="Arial" w:cs="Arial"/>
          <w:color w:val="000000"/>
          <w:lang w:val="en-US"/>
        </w:rPr>
        <w:t>For the 2025 taxable year, the eligibility of the Company and each subsidiary to qualify for exemption under Section 883 of the Code is wholly dependent upon the Company’s ability to satisfy either the 50% Ownership Test or the Publicly Traded Test.</w:t>
      </w:r>
    </w:p>
    <w:p w14:paraId="71F3EAD1" w14:textId="77777777" w:rsidR="00506A4D" w:rsidRPr="00506A4D" w:rsidRDefault="00506A4D" w:rsidP="00506A4D">
      <w:pPr>
        <w:pBdr>
          <w:top w:val="nil"/>
          <w:left w:val="nil"/>
          <w:bottom w:val="nil"/>
          <w:right w:val="nil"/>
          <w:between w:val="nil"/>
          <w:bar w:val="nil"/>
        </w:pBdr>
        <w:jc w:val="both"/>
        <w:rPr>
          <w:rFonts w:ascii="Arial" w:eastAsia="Arial" w:hAnsi="Arial" w:cs="Arial"/>
          <w:color w:val="000000"/>
          <w:bdr w:val="nil"/>
          <w:lang w:val="en-US"/>
        </w:rPr>
      </w:pPr>
    </w:p>
    <w:p w14:paraId="71F3EAD2" w14:textId="77777777" w:rsidR="00506A4D" w:rsidRPr="00506A4D" w:rsidRDefault="003A4815" w:rsidP="00506A4D">
      <w:pPr>
        <w:pBdr>
          <w:top w:val="nil"/>
          <w:left w:val="nil"/>
          <w:bottom w:val="nil"/>
          <w:right w:val="nil"/>
          <w:between w:val="nil"/>
          <w:bar w:val="nil"/>
        </w:pBdr>
        <w:jc w:val="both"/>
        <w:rPr>
          <w:rFonts w:ascii="Arial" w:eastAsia="Arial" w:hAnsi="Arial" w:cs="Arial"/>
          <w:b/>
          <w:bCs/>
          <w:i/>
          <w:iCs/>
          <w:color w:val="000000"/>
          <w:bdr w:val="nil"/>
          <w:lang w:val="en-US"/>
        </w:rPr>
      </w:pPr>
      <w:r w:rsidRPr="00506A4D">
        <w:rPr>
          <w:rFonts w:ascii="Arial" w:eastAsia="Arial" w:hAnsi="Arial" w:cs="Arial"/>
          <w:b/>
          <w:bCs/>
          <w:i/>
          <w:iCs/>
          <w:color w:val="000000"/>
          <w:lang w:val="en-US"/>
        </w:rPr>
        <w:t>The 50% Ownership Test</w:t>
      </w:r>
    </w:p>
    <w:p w14:paraId="71F3EAD3" w14:textId="77777777" w:rsidR="00506A4D" w:rsidRPr="00506A4D" w:rsidRDefault="003A4815" w:rsidP="00506A4D">
      <w:pPr>
        <w:pBdr>
          <w:top w:val="nil"/>
          <w:left w:val="nil"/>
          <w:bottom w:val="nil"/>
          <w:right w:val="nil"/>
          <w:between w:val="nil"/>
          <w:bar w:val="nil"/>
        </w:pBdr>
        <w:jc w:val="both"/>
        <w:rPr>
          <w:rFonts w:ascii="Arial" w:eastAsia="Arial" w:hAnsi="Arial" w:cs="Arial"/>
          <w:color w:val="000000"/>
          <w:bdr w:val="nil"/>
          <w:lang w:val="en-US"/>
        </w:rPr>
      </w:pPr>
      <w:r w:rsidRPr="00506A4D">
        <w:rPr>
          <w:rFonts w:ascii="Arial" w:eastAsia="Arial" w:hAnsi="Arial" w:cs="Arial"/>
          <w:color w:val="000000"/>
          <w:lang w:val="en-US"/>
        </w:rPr>
        <w:t xml:space="preserve"> </w:t>
      </w:r>
    </w:p>
    <w:p w14:paraId="71F3EAD4" w14:textId="77777777" w:rsidR="00506A4D" w:rsidRPr="00506A4D" w:rsidRDefault="003A4815" w:rsidP="00506A4D">
      <w:pPr>
        <w:pBdr>
          <w:top w:val="nil"/>
          <w:left w:val="nil"/>
          <w:bottom w:val="nil"/>
          <w:right w:val="nil"/>
          <w:between w:val="nil"/>
          <w:bar w:val="nil"/>
        </w:pBdr>
        <w:jc w:val="both"/>
        <w:rPr>
          <w:rFonts w:ascii="Arial" w:eastAsia="Arial" w:hAnsi="Arial" w:cs="Arial"/>
          <w:color w:val="000000"/>
          <w:bdr w:val="nil"/>
          <w:lang w:val="en-US"/>
        </w:rPr>
      </w:pPr>
      <w:r w:rsidRPr="00506A4D">
        <w:rPr>
          <w:rFonts w:ascii="Arial" w:eastAsia="Arial" w:hAnsi="Arial" w:cs="Arial"/>
          <w:color w:val="000000"/>
          <w:lang w:val="en-US"/>
        </w:rPr>
        <w:t>For purposes of the 50% Ownership Test, “qualified shareholders” include: (i) individuals who are “residents” (as defined in the Treasury regulations promulgated under Section 883 of the Code (the “Section 883 Regulations”) of qualified foreign countries, (ii) corporations organized in qualified foreign countries that meet the Publicly-Traded Test (discussed below), (iii) governments (or subdivisions thereof) of qualified foreign countries, (iv) non-profit organizations organized in qualified foreign countries, and (v) certain beneficiaries of pension funds organized in qualified foreign countries, in each case, that do not beneficially own the shares in the foreign corporation claiming the Section 883 Exemption, directly or indirectly (at any point in the chain of ownership), in the form of bearer shares (as described in the Section 883 Regulations). For this purpose, certain constructive ownership rules under the Section 883 Regulations require looking through the ownership of entities to the owners of the interests in those entities. The foreign corporation claiming the Section 883 Exemption based on the 50% Ownership Test must obtain all the facts necessary to satisfy the IRS that the 50% Ownership Test has been satisfied (as detailed in the Section 883 Regulations) and must meet certain substantiation and reporting requirements.</w:t>
      </w:r>
    </w:p>
    <w:p w14:paraId="71F3EAD5" w14:textId="77777777" w:rsidR="00506A4D" w:rsidRPr="00506A4D" w:rsidRDefault="00506A4D" w:rsidP="00506A4D">
      <w:pPr>
        <w:pBdr>
          <w:top w:val="nil"/>
          <w:left w:val="nil"/>
          <w:bottom w:val="nil"/>
          <w:right w:val="nil"/>
          <w:between w:val="nil"/>
          <w:bar w:val="nil"/>
        </w:pBdr>
        <w:jc w:val="both"/>
        <w:rPr>
          <w:rFonts w:ascii="Arial" w:eastAsia="Arial" w:hAnsi="Arial" w:cs="Arial"/>
          <w:color w:val="000000"/>
          <w:bdr w:val="nil"/>
          <w:lang w:val="en-US"/>
        </w:rPr>
      </w:pPr>
    </w:p>
    <w:p w14:paraId="71F3EAD6" w14:textId="77777777" w:rsidR="00506A4D" w:rsidRPr="00506A4D" w:rsidRDefault="003A4815" w:rsidP="00506A4D">
      <w:pPr>
        <w:pBdr>
          <w:top w:val="nil"/>
          <w:left w:val="nil"/>
          <w:bottom w:val="nil"/>
          <w:right w:val="nil"/>
          <w:between w:val="nil"/>
          <w:bar w:val="nil"/>
        </w:pBdr>
        <w:jc w:val="both"/>
        <w:rPr>
          <w:rFonts w:ascii="Arial" w:eastAsia="Arial" w:hAnsi="Arial" w:cs="Arial"/>
          <w:b/>
          <w:bCs/>
          <w:i/>
          <w:iCs/>
          <w:color w:val="000000"/>
          <w:u w:val="single"/>
          <w:bdr w:val="nil"/>
          <w:lang w:val="en-US"/>
        </w:rPr>
      </w:pPr>
      <w:r w:rsidRPr="00506A4D">
        <w:rPr>
          <w:rFonts w:ascii="Arial" w:eastAsia="Arial" w:hAnsi="Arial" w:cs="Arial"/>
          <w:b/>
          <w:bCs/>
          <w:i/>
          <w:iCs/>
          <w:color w:val="000000"/>
          <w:u w:val="single"/>
          <w:lang w:val="en-US"/>
        </w:rPr>
        <w:t>The Publicly-Traded Test</w:t>
      </w:r>
    </w:p>
    <w:p w14:paraId="71F3EAD7" w14:textId="77777777" w:rsidR="00506A4D" w:rsidRPr="00506A4D" w:rsidRDefault="00506A4D" w:rsidP="00506A4D">
      <w:pPr>
        <w:pBdr>
          <w:top w:val="nil"/>
          <w:left w:val="nil"/>
          <w:bottom w:val="nil"/>
          <w:right w:val="nil"/>
          <w:between w:val="nil"/>
          <w:bar w:val="nil"/>
        </w:pBdr>
        <w:jc w:val="both"/>
        <w:rPr>
          <w:rFonts w:ascii="Arial" w:eastAsia="Arial" w:hAnsi="Arial" w:cs="Arial"/>
          <w:color w:val="000000"/>
          <w:bdr w:val="nil"/>
          <w:lang w:val="en-US"/>
        </w:rPr>
      </w:pPr>
    </w:p>
    <w:p w14:paraId="71F3EAD8" w14:textId="77777777" w:rsidR="00506A4D" w:rsidRPr="00041894" w:rsidRDefault="003A4815" w:rsidP="00506A4D">
      <w:pPr>
        <w:pBdr>
          <w:top w:val="nil"/>
          <w:left w:val="nil"/>
          <w:bottom w:val="nil"/>
          <w:right w:val="nil"/>
          <w:between w:val="nil"/>
          <w:bar w:val="nil"/>
        </w:pBdr>
        <w:jc w:val="both"/>
        <w:rPr>
          <w:rFonts w:ascii="Arial" w:eastAsia="Arial" w:hAnsi="Arial" w:cs="Arial"/>
          <w:color w:val="000000"/>
          <w:bdr w:val="nil"/>
          <w:lang w:val="en-US"/>
        </w:rPr>
      </w:pPr>
      <w:r w:rsidRPr="00506A4D">
        <w:rPr>
          <w:rFonts w:ascii="Arial" w:eastAsia="Arial" w:hAnsi="Arial" w:cs="Arial"/>
          <w:color w:val="000000"/>
          <w:lang w:val="en-US"/>
        </w:rPr>
        <w:t>Under the Treasury Regulations, stock of a foreign corporation is considered “primarily traded” on an established securities market in a country if the number of shares of each class of stock that is traded during the taxable year on all established securities markets in that country exceeds the number of shares in each such class that is traded during that year on established securities markets in any other single country. </w:t>
      </w:r>
    </w:p>
    <w:p w14:paraId="71F3EAD9"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DA"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Under the Treasury Regulations, the Company’s common</w:t>
      </w:r>
      <w:r w:rsidR="00506A4D">
        <w:rPr>
          <w:rFonts w:ascii="Arial" w:eastAsia="Arial" w:hAnsi="Arial" w:cs="Arial"/>
          <w:color w:val="000000"/>
          <w:lang w:val="en-US"/>
        </w:rPr>
        <w:t xml:space="preserve"> and preferred</w:t>
      </w:r>
      <w:r w:rsidRPr="00041894">
        <w:rPr>
          <w:rFonts w:ascii="Arial" w:eastAsia="Arial" w:hAnsi="Arial" w:cs="Arial"/>
          <w:color w:val="000000"/>
          <w:lang w:val="en-US"/>
        </w:rPr>
        <w:t xml:space="preserve"> stock will be considered to be “regularly traded” on the NYSE if: (1) more than 50% of its common stock, by voting power and total value, is listed on the NYSE, referred to as the “Listing Threshold”, (2) its common stock is traded on the NYSE, other than in minimal quantities, on at least 60 days during the taxable year (or one-sixth of the days during a short taxable year), which is referred to as the “Trading Frequency Test”; and (3) the aggregate number of shares of its common stock traded on the NYSE during the taxable year is at least 10% of the average number of shares of its common stock outstanding during such taxable year (as appropriately adjusted in the case of a short taxable year), which is referred to as the “Trading Volume Test”. The Trading Frequency Test and Trading Volume Test are deemed to be satisfied under the Treasury Regulations if the Company’s common stock is regularly quoted by dealers making a market in the common stock.</w:t>
      </w:r>
    </w:p>
    <w:p w14:paraId="71F3EADB"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DC"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Notwithstanding the foregoing, the Treasury Regulations provide, in pertinent part, that stock of a foreign corporation will not be considered to be “regularly traded” on an established securities market for any taxable year during which 50% or more of such stock is owned, actually or constructively under specified stock attribution rules, on more than half the days during the taxable year by persons, or “5% Shareholders”, who each own 5% or more of the value of such stock, or the “5% Override Rule.”  For purposes of determining the persons who are 5% Shareholders, a foreign corporation may rely on Schedules 13D and 13G filings with the SEC.</w:t>
      </w:r>
    </w:p>
    <w:p w14:paraId="71F3EADD"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DE" w14:textId="77777777" w:rsidR="00506A4D" w:rsidRPr="00506A4D" w:rsidRDefault="003A4815" w:rsidP="00506A4D">
      <w:pPr>
        <w:pBdr>
          <w:top w:val="nil"/>
          <w:left w:val="nil"/>
          <w:bottom w:val="nil"/>
          <w:right w:val="nil"/>
          <w:between w:val="nil"/>
          <w:bar w:val="nil"/>
        </w:pBdr>
        <w:jc w:val="both"/>
        <w:rPr>
          <w:rFonts w:ascii="Arial" w:eastAsia="Arial" w:hAnsi="Arial" w:cs="Arial"/>
          <w:color w:val="000000"/>
          <w:bdr w:val="nil"/>
          <w:lang w:val="en-US"/>
        </w:rPr>
      </w:pPr>
      <w:r w:rsidRPr="00506A4D">
        <w:rPr>
          <w:rFonts w:ascii="Arial" w:eastAsia="Arial" w:hAnsi="Arial" w:cs="Arial"/>
          <w:color w:val="000000"/>
          <w:lang w:val="en-US"/>
        </w:rPr>
        <w:t xml:space="preserve">However, the requirements of establishing these exemptions are onerous and there can be no assurance that the Company will either satisfy the </w:t>
      </w:r>
      <w:r w:rsidRPr="00506A4D">
        <w:rPr>
          <w:rFonts w:ascii="Arial" w:eastAsia="Arial" w:hAnsi="Arial" w:cs="Arial"/>
          <w:i/>
          <w:iCs/>
          <w:color w:val="000000"/>
          <w:lang w:val="en-US"/>
        </w:rPr>
        <w:t xml:space="preserve"> 50% Ownership Test or the</w:t>
      </w:r>
      <w:r w:rsidRPr="00506A4D">
        <w:rPr>
          <w:rFonts w:ascii="Arial" w:eastAsia="Arial" w:hAnsi="Arial" w:cs="Arial"/>
          <w:color w:val="000000"/>
          <w:lang w:val="en-US"/>
        </w:rPr>
        <w:t xml:space="preserve"> Publicly Traded Test in 2025 or in future taxable years. </w:t>
      </w:r>
    </w:p>
    <w:p w14:paraId="71F3EADF"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E0" w14:textId="77777777" w:rsidR="00D44F23" w:rsidRPr="00041894" w:rsidRDefault="003A4815" w:rsidP="00041894">
      <w:pPr>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Taxation in Absence of Exemption Under Section 883 of the Code</w:t>
      </w:r>
    </w:p>
    <w:p w14:paraId="71F3EAE1"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E2"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To the extent the benefits of Section 883 of the Code are unavailable with respect to any item of U.S. source Shipping Income, the Company and each of its subsidiaries would be subject to a 4% tax imposed on such income by Section 887 of the Code on a gross basis, without the benefit of deductions, which is referred to as the “4% Gross Basis Tax Regime”. Since under the sourcing rules described above, no more than 50% of the Company’s Shipping Income would be treated as being derived from U.S. sources, the maximum effective rate of U.S. federal income tax on the Company’s Shipping Income would never exceed 2% under the 4% Gross Basis Tax Regime.</w:t>
      </w:r>
    </w:p>
    <w:p w14:paraId="71F3EAE3"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E4"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xml:space="preserve">Based on its U.S. source Shipping Income for the </w:t>
      </w:r>
      <w:r>
        <w:rPr>
          <w:rFonts w:ascii="Arial" w:eastAsia="Arial" w:hAnsi="Arial" w:cs="Arial"/>
          <w:color w:val="000000"/>
          <w:lang w:val="en-US"/>
        </w:rPr>
        <w:t xml:space="preserve">2025 </w:t>
      </w:r>
      <w:r w:rsidRPr="00041894">
        <w:rPr>
          <w:rFonts w:ascii="Arial" w:eastAsia="Arial" w:hAnsi="Arial" w:cs="Arial"/>
          <w:color w:val="000000"/>
          <w:lang w:val="en-US"/>
        </w:rPr>
        <w:t xml:space="preserve">taxable year and in the absence of exemption under Section 883 of the Code, the Company would be subject to $0.3 </w:t>
      </w:r>
      <w:r w:rsidR="00AC59DC">
        <w:rPr>
          <w:rFonts w:ascii="Arial" w:eastAsia="Arial" w:hAnsi="Arial" w:cs="Arial"/>
          <w:color w:val="000000"/>
          <w:lang w:val="en-US"/>
        </w:rPr>
        <w:t xml:space="preserve">million </w:t>
      </w:r>
      <w:r w:rsidRPr="00041894">
        <w:rPr>
          <w:rFonts w:ascii="Arial" w:eastAsia="Arial" w:hAnsi="Arial" w:cs="Arial"/>
          <w:color w:val="000000"/>
          <w:lang w:val="en-US"/>
        </w:rPr>
        <w:t>of U.S. federal income tax under the 4% Gross Basis Tax Regime.</w:t>
      </w:r>
    </w:p>
    <w:p w14:paraId="71F3EAE5"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E6"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4% Gross Basis Tax Regime would not apply to U.S. source Shipping Income to the extent considered to be “effectively connected” with the conduct of a U.S. trade or business.  In the absence of exemption under Section 883 of the Code, such “effectively connected” U.S. source Shipping Income, net of applicable deductions, would be subject to U.S. federal income tax currently imposed at a rate of 21%.  In addition, earnings “effectively connected” with the conduct of such U.S. trade or business, as determined after allowance for certain adjustments, and certain interest paid or deemed paid attributable to the conduct of the U.S. trade or business may be subject to U.S. federal branch profits tax imposed at a rate of 30%.  The Company’s U.S. source Shipping Income would be considered “effectively connected” with the conduct of a U.S. trade or business only if: (1) the Company has, or is considered to have, a fixed place or business in the United States involved in the earning of Shipping Income; and (2) substantially all of the Company’s U.S. source Shipping Income is attributable to regularly scheduled transportation, such as the operation of a vessel that followed a published schedule with repeated sailings at regular intervals between the same points for voyages that begin or end in the United States, or, in the case of income from the chartering of a vessel, is attributable to a fixed place of business in the United States.  We do not intend to have, or permit circumstances that would result in having a vessel operating to the United States on a regularly scheduled basis.  Based on the foregoing and on the expected mode of our shipping operations and other activities, we believe that none of our U.S. source Shipping Income will be effectively connected with the conduct of a U.S. trade or business.</w:t>
      </w:r>
    </w:p>
    <w:p w14:paraId="71F3EAE7"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E8"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Gain on Sale of Vessels</w:t>
      </w:r>
    </w:p>
    <w:p w14:paraId="71F3EAE9"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EA"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Regardless of whether we qualify for exemption under Section 883 of the Code, we will not be subject to U.S. federal income taxation with respect to gain realized on a sale of a vessel, provided the sale is considered to occur outside of the United States under U.S. federal income tax principles.  In general, a sale of a vessel will be considered to occur outside of the United States for this purpose if title to the vessel, and risk of loss with respect to the vessel, pass to the buyer outside of the United States.  It is expected that any sale of a vessel by us will be considered to occur outside of the United States.</w:t>
      </w:r>
    </w:p>
    <w:p w14:paraId="71F3EAEB" w14:textId="77777777" w:rsidR="00D44F23" w:rsidRPr="00041894" w:rsidRDefault="003A4815" w:rsidP="00041894">
      <w:pPr>
        <w:pBdr>
          <w:top w:val="nil"/>
          <w:left w:val="nil"/>
          <w:bottom w:val="nil"/>
          <w:right w:val="nil"/>
          <w:between w:val="nil"/>
          <w:bar w:val="nil"/>
        </w:pBdr>
        <w:jc w:val="both"/>
        <w:rPr>
          <w:rFonts w:ascii="Arial" w:eastAsia="Arial" w:hAnsi="Arial" w:cs="Arial"/>
          <w:bdr w:val="nil"/>
          <w:lang w:val="en-US"/>
        </w:rPr>
      </w:pPr>
      <w:r w:rsidRPr="00041894">
        <w:rPr>
          <w:rFonts w:ascii="Arial" w:eastAsia="Arial" w:hAnsi="Arial" w:cs="Arial"/>
          <w:color w:val="000000"/>
          <w:lang w:val="en-US"/>
        </w:rPr>
        <w:t> </w:t>
      </w:r>
    </w:p>
    <w:p w14:paraId="71F3EAEC"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b/>
          <w:bCs/>
          <w:color w:val="000000"/>
          <w:bdr w:val="nil"/>
          <w:lang w:val="en-US"/>
        </w:rPr>
      </w:pPr>
      <w:r w:rsidRPr="00041894">
        <w:rPr>
          <w:rFonts w:ascii="Arial" w:eastAsia="Arial" w:hAnsi="Arial" w:cs="Arial"/>
          <w:b/>
          <w:bCs/>
          <w:color w:val="000000"/>
          <w:lang w:val="en-US"/>
        </w:rPr>
        <w:t>United States Taxation of U.S. Holders</w:t>
      </w:r>
    </w:p>
    <w:p w14:paraId="71F3EAED"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EE"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 following is a discussion of the material U.S. federal income tax considerations relevant to an investment decision by a U.S. Holder, as defined below, with respect to our common stock. This discussion does not purport to deal with the tax consequences of owning our common stock to all categories of investors, some of which may be subject to special rules. You are encouraged to consult your own tax advisors concerning the overall tax consequences arising in your own particular situation under U.S. federal, state, local or foreign law of the ownership of our common stock.</w:t>
      </w:r>
    </w:p>
    <w:p w14:paraId="71F3EAEF"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F0"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As used herein, the term “U.S. Holder” means a beneficial owner of our common stock that (i) is a U.S. citizen or resident, a U.S. corporation or other U.S. entity taxable as a corporation, an estate, the income of which is subject to U.S. federal income taxation regardless of its source, or a trust if (a) a court within the United States is able to exercise primary jurisdiction over the administration of the trust and one or more U.S. persons have the authority to control all substantial decisions of the trust or (b) it has an election in place to be treated as a United States person; and (ii) owns the common stock as a capital asset, generally, for investment purposes.</w:t>
      </w:r>
    </w:p>
    <w:p w14:paraId="71F3EAF1"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F2"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If a partnership holds our common stock, the tax treatment of a partner will generally depend upon the status of the partner and upon the activities of the partnership. If you are a partner in a partnership holding our common stock, you are encouraged to consult your own tax advisor on this issue.</w:t>
      </w:r>
    </w:p>
    <w:p w14:paraId="71F3EAF3"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F4"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Distributions</w:t>
      </w:r>
    </w:p>
    <w:p w14:paraId="71F3EAF5"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F6"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Subject to the discussion of passive foreign investment companies below, any distributions made by the Company with respect to its common stock to a U.S. Holder will generally constitute dividends, which may be taxable as ordinary income or “qualified dividend income” as described in more detail below, to the extent of the Company’s current or accumulated earnings and profits, as determined under U.S. federal income tax principles. Distributions in excess of the Company’s earnings and profits will be treated first as a non-taxable return of capital to the extent of the U.S. Holder’s tax basis in his common stock on a dollar-for-dollar basis and thereafter as capital gain. Because the Company is not a U.S. corporation, U.S. Holders that are corporations will generally not be entitled to claim a dividends-received deduction with respect to any distributions they receive from the Company.</w:t>
      </w:r>
    </w:p>
    <w:p w14:paraId="71F3EAF7"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F8"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xml:space="preserve">Dividends paid to a U.S. Holder which is an individual, trust, or estate, referred to herein as a “U.S. Non-Corporate Holder,” will generally be treated as “qualified dividend income” that is taxable to Holders at preferential U.S. federal income tax rates, provided that (1) the common stock is readily tradable on an established securities market in the United States (such as the NYSE on which the common stock is listed); (2) the Company is not a </w:t>
      </w:r>
      <w:r>
        <w:rPr>
          <w:rFonts w:ascii="Arial" w:eastAsia="Arial" w:hAnsi="Arial" w:cs="Arial"/>
          <w:color w:val="000000"/>
          <w:szCs w:val="24"/>
          <w:lang w:val="en-US"/>
        </w:rPr>
        <w:t>PFIC</w:t>
      </w:r>
      <w:r w:rsidRPr="00041894">
        <w:rPr>
          <w:rFonts w:ascii="Arial" w:eastAsia="Arial" w:hAnsi="Arial" w:cs="Arial"/>
          <w:color w:val="000000"/>
          <w:lang w:val="en-US"/>
        </w:rPr>
        <w:t xml:space="preserve"> for the taxable year during which the dividend is paid or the immediately preceding taxable year (which the Company does not believe it is, has been or will be); (3) the U.S. Non-Corporate Holder has owned the common stock for more than 60 days in the 121-day period beginning 60 days before the date on which the common stock becomes ex-dividend; and (4) the U.S. Non-Corporate Holder is not under an obligation (whether pursuant to a short sale or otherwise) to make payments with respect to positions in substantially similar or related property.  There is no assurance that any dividends paid on our common stock will be eligible for these preferential rates in the hands of a U.S. Non-Corporate Holder. Any dividends paid by the Company which are not eligible for these preferential rates will be taxed as ordinary income to a U.S. Non-Corporate Holder. Special rules may apply to any “extraordinary dividend,” generally, a dividend paid by us in an amount which is equal to or in excess of ten percent of a U.S. Holder’s adjusted tax basis, or fair market value in certain circumstances, in a share of our common stock. If we pay an “extraordinary dividend” on our common stock that is treated as “qualified dividend income,” then any loss derived by a U.S. Individual Holder from the sale or exchange of such common stock will be treated as long-term capital loss to the extent of such dividend.</w:t>
      </w:r>
    </w:p>
    <w:p w14:paraId="71F3EAF9"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FA"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Sale, Exchange or other Disposition of Common Stock</w:t>
      </w:r>
    </w:p>
    <w:p w14:paraId="71F3EAFB"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AFC"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Subject to the discussion of the PFIC rules below, a U.S. Holder generally will recognize taxable gain or loss upon a sale, exchange or other disposition of the Company’s common stock in an amount equal to the difference between the amount realized by the U.S. Holder from such sale, exchange or other disposition and the U.S. Holder’s tax basis in such stock. Such gain or loss will be treated as long-term capital gain or loss if the U.S. Holder’s holding period in the common stock is greater than one year at the time of the sale, exchange or other disposition. Long-term capital gain of a U.S. Non-Corporate Holder is taxable at preferential U.S. Federal income tax rates. A U.S. Holder’s ability to deduct capital losses is subject to certain limitations.</w:t>
      </w:r>
    </w:p>
    <w:p w14:paraId="71F3EAFD"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AFE"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PFIC Status and Significant Tax Consequences</w:t>
      </w:r>
    </w:p>
    <w:p w14:paraId="71F3EAFF" w14:textId="77777777" w:rsidR="00D44F23" w:rsidRPr="00041894" w:rsidRDefault="00D44F23" w:rsidP="00041894">
      <w:pPr>
        <w:keepNext/>
        <w:keepLines/>
        <w:pBdr>
          <w:top w:val="nil"/>
          <w:left w:val="nil"/>
          <w:bottom w:val="nil"/>
          <w:right w:val="nil"/>
          <w:between w:val="nil"/>
          <w:bar w:val="nil"/>
        </w:pBdr>
        <w:jc w:val="both"/>
        <w:rPr>
          <w:rFonts w:ascii="Arial" w:eastAsia="Arial" w:hAnsi="Arial" w:cs="Arial"/>
          <w:color w:val="000000"/>
          <w:bdr w:val="nil"/>
          <w:lang w:val="en-US"/>
        </w:rPr>
      </w:pPr>
    </w:p>
    <w:p w14:paraId="71F3EB00"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Special U.S. federal income tax rules apply to a U.S. Holder that holds stock in a foreign corporation classified as a passive foreign investment company, or a “PFIC”, for U.S. federal income tax purposes. In general, the Company will be treated as a PFIC with respect to a U.S. Holder if, for any taxable year in which such Holder held the Company’s common stock, either:</w:t>
      </w:r>
    </w:p>
    <w:p w14:paraId="71F3EB01"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B02" w14:textId="77777777" w:rsidR="00D44F23" w:rsidRPr="00041894" w:rsidRDefault="003A4815" w:rsidP="00041894">
      <w:pPr>
        <w:pBdr>
          <w:top w:val="nil"/>
          <w:left w:val="nil"/>
          <w:bottom w:val="nil"/>
          <w:right w:val="nil"/>
          <w:between w:val="nil"/>
          <w:bar w:val="nil"/>
        </w:pBdr>
        <w:ind w:left="1797" w:hanging="720"/>
        <w:rPr>
          <w:rFonts w:ascii="Arial" w:eastAsia="Arial" w:hAnsi="Arial" w:cs="Arial"/>
          <w:bdr w:val="nil"/>
          <w:lang w:val="en-US"/>
        </w:rPr>
      </w:pPr>
      <w:r w:rsidRPr="00041894">
        <w:rPr>
          <w:rFonts w:ascii="Arial" w:eastAsia="Arial" w:hAnsi="Arial" w:cs="Arial"/>
          <w:lang w:val="en-US"/>
        </w:rPr>
        <w:t>•</w:t>
      </w:r>
      <w:r w:rsidRPr="00041894">
        <w:rPr>
          <w:rFonts w:ascii="Arial" w:eastAsia="Arial" w:hAnsi="Arial" w:cs="Arial"/>
          <w:lang w:val="en-US"/>
        </w:rPr>
        <w:tab/>
        <w:t>at least 75% of the Company’s gross income for such taxable year consists of passive income (e.g., dividends, interest, capital gains and rents derived other than in the active conduct of a rental business), or</w:t>
      </w:r>
    </w:p>
    <w:p w14:paraId="71F3EB03"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B04" w14:textId="77777777" w:rsidR="00D44F23" w:rsidRPr="00041894" w:rsidRDefault="003A4815" w:rsidP="00041894">
      <w:pPr>
        <w:pBdr>
          <w:top w:val="nil"/>
          <w:left w:val="nil"/>
          <w:bottom w:val="nil"/>
          <w:right w:val="nil"/>
          <w:between w:val="nil"/>
          <w:bar w:val="nil"/>
        </w:pBdr>
        <w:ind w:left="1800" w:hanging="720"/>
        <w:rPr>
          <w:rFonts w:ascii="Arial" w:eastAsia="Arial" w:hAnsi="Arial" w:cs="Arial"/>
          <w:bdr w:val="nil"/>
          <w:lang w:val="en-US"/>
        </w:rPr>
      </w:pPr>
      <w:r w:rsidRPr="00041894">
        <w:rPr>
          <w:rFonts w:ascii="Arial" w:eastAsia="Arial" w:hAnsi="Arial" w:cs="Arial"/>
          <w:lang w:val="en-US"/>
        </w:rPr>
        <w:t>•</w:t>
      </w:r>
      <w:r w:rsidRPr="00041894">
        <w:rPr>
          <w:rFonts w:ascii="Arial" w:eastAsia="Arial" w:hAnsi="Arial" w:cs="Arial"/>
          <w:lang w:val="en-US"/>
        </w:rPr>
        <w:tab/>
        <w:t>at least 50% of the average value of the assets held by the corporation during such taxable year produce, or are held for the production of, such passive income.</w:t>
      </w:r>
    </w:p>
    <w:p w14:paraId="71F3EB05"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06"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For purposes of determining whether the Company is a PFIC, the Company will be treated as earning and owning its proportionate share of the income and assets, respectively, of any of its subsidiary corporations in which it owns at least 25% of the value of the subsidiary’s stock.</w:t>
      </w:r>
      <w:r>
        <w:rPr>
          <w:rFonts w:ascii="Arial" w:eastAsia="Arial" w:hAnsi="Arial" w:cs="Arial"/>
          <w:color w:val="000000"/>
          <w:lang w:val="en-US"/>
        </w:rPr>
        <w:t xml:space="preserve"> </w:t>
      </w:r>
      <w:r w:rsidRPr="00041894">
        <w:rPr>
          <w:rFonts w:ascii="Arial" w:eastAsia="Arial" w:hAnsi="Arial" w:cs="Arial"/>
          <w:color w:val="000000"/>
          <w:lang w:val="en-US"/>
        </w:rPr>
        <w:t>Income earned, or deemed earned, by the Company in connection with the performance of services would not constitute passive income. By contrast, rental income would generally constitute passive income unless the Company is treated under specific rules as deriving its rental income in the active conduct of a trade or business.</w:t>
      </w:r>
    </w:p>
    <w:p w14:paraId="71F3EB07"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08" w14:textId="77777777" w:rsidR="00D44F23" w:rsidRPr="00041894" w:rsidRDefault="003A4815" w:rsidP="00041894">
      <w:pPr>
        <w:pBdr>
          <w:top w:val="nil"/>
          <w:left w:val="nil"/>
          <w:bottom w:val="nil"/>
          <w:right w:val="nil"/>
          <w:between w:val="nil"/>
          <w:bar w:val="nil"/>
        </w:pBdr>
        <w:jc w:val="both"/>
        <w:rPr>
          <w:rFonts w:ascii="Arial" w:eastAsia="Arial" w:hAnsi="Arial" w:cs="Arial"/>
          <w:bdr w:val="nil"/>
          <w:lang w:val="en-US"/>
        </w:rPr>
      </w:pPr>
      <w:r w:rsidRPr="00041894">
        <w:rPr>
          <w:rFonts w:ascii="Arial" w:eastAsia="Arial" w:hAnsi="Arial" w:cs="Arial"/>
          <w:color w:val="000000"/>
          <w:lang w:val="en-US"/>
        </w:rPr>
        <w:t>Based on the Company’s current operations and future projections, the Company does not believe that it is, nor does it expect to become, a PFIC with respect to any taxable year. Although there is no legal authority directly on point, the Company’s belief is based principally on the position that, for purposes of determining whether the Company is a PFIC, the gross income the Company derives or is deemed to derive from the time chartering and voyage chartering activities of its wholly-owned subsidiaries should constitute services income, rather than rental income. Correspondingly, the Company believes that such income does not constitute passive income, and the assets that the Company or its wholly-owned subsidiaries own and operate in connection with the production of such income, in particular, the vessels, do not constitute assets that produce or are held for the production of passive income for purposes of determining whether the Company is a PFIC.  The Company believes there is substantial legal authority supporting its position consisting of case law and Internal Revenue Service, or the “IRS”, pronouncements concerning the characterization of income derived from time charters and voyage charters as services income for other tax purposes. </w:t>
      </w:r>
      <w:r w:rsidRPr="00041894">
        <w:rPr>
          <w:rFonts w:ascii="Arial" w:eastAsia="Arial" w:hAnsi="Arial" w:cs="Arial"/>
          <w:lang w:val="en-US"/>
        </w:rPr>
        <w:t>However, there is also authority which characterizes time charter income as rental income rather than services income for other tax purposes.  </w:t>
      </w:r>
      <w:r w:rsidRPr="00041894">
        <w:rPr>
          <w:rFonts w:ascii="Arial" w:eastAsia="Arial" w:hAnsi="Arial" w:cs="Arial"/>
          <w:color w:val="000000"/>
          <w:lang w:val="en-US"/>
        </w:rPr>
        <w:t>It should be noted that in the absence of any legal authority specifically relating to the statutory provisions governing PFICs, the IRS or a court could disagree with this position. In addition, although the Company intends to conduct its affairs in a manner to avoid being classified as a PFIC with respect to any taxable year, there can be no assurance that the nature of its operations will not change in the future.</w:t>
      </w:r>
    </w:p>
    <w:p w14:paraId="71F3EB09"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0A"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As discussed more fully below, if the Company were to be treated as a PFIC for any taxable year, a U.S. Holder would be subject to different U.S. federal income taxation rules depending on whether the U.S. Holder makes an election to treat the Company as a “Qualified Electing Fund,” which election is referred to as a “QEF Election.” As discussed below, as an alternative to making a QEF Election, a U.S. Holder should be able to make a “mark-to-market” election with respect to the common stock, which election is referred to as a “Mark-to-Market Election”. If the Company were to be treated as a PFIC, a U.S. Holder would be required to file with respect to taxable years ending on or after December 31, 2013 IRS Form 8621 to report certain information regarding the Company.</w:t>
      </w:r>
    </w:p>
    <w:p w14:paraId="71F3EB0B"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0C"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Taxation of U.S. Holders Making a Timely QEF Election</w:t>
      </w:r>
    </w:p>
    <w:p w14:paraId="71F3EB0D"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b/>
          <w:bCs/>
          <w:color w:val="000000"/>
          <w:bdr w:val="nil"/>
          <w:lang w:val="en-US"/>
        </w:rPr>
      </w:pPr>
      <w:r w:rsidRPr="00041894">
        <w:rPr>
          <w:rFonts w:ascii="Arial" w:eastAsia="Arial" w:hAnsi="Arial" w:cs="Arial"/>
          <w:b/>
          <w:bCs/>
          <w:color w:val="000000"/>
          <w:lang w:val="en-US"/>
        </w:rPr>
        <w:t> </w:t>
      </w:r>
    </w:p>
    <w:p w14:paraId="71F3EB0E"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If a U.S. Holder makes a timely QEF Election, which U.S. Holder is referred to as an “Electing Holder”, the Electing Holder must report each year for U.S. federal income tax purposes his pro rata share of the Company’s ordinary earnings and net capital gain, if any, for the Company’s taxable year that ends with or within the taxable year of the Electing Holder, regardless of whether or not distributions were received by the Electing Holder from the Company. The Electing Holder’s adjusted tax basis in the common stock will be increased to reflect amounts included in the Electing Holder’s income.  Distributions received by an Electing Holder that had been previously taxed will result in a corresponding reduction in the adjusted tax basis in the common stock and will not be taxed again once distributed. An Electing Holder would generally recognize capital gain or loss on the sale, exchange or other disposition of the common stock.</w:t>
      </w:r>
    </w:p>
    <w:p w14:paraId="71F3EB0F"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B10"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Taxation of U.S. Holders Making a Mark-to-Market Election</w:t>
      </w:r>
    </w:p>
    <w:p w14:paraId="71F3EB11"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12"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Alternatively, if the Company were to be treated as a PFIC for any taxable year and, as anticipated, the common stock is treated as “marketable stock,” a U.S. Holder would be allowed to make a Mark-to-Market Election with respect to the Company’s common stock. If that election is made, the U.S. Holder generally would include as ordinary income in each taxable year the excess, if any, of the fair market value of the common stock at the end of the taxable year over such Holder’s adjusted tax basis in the common stock. The U.S. Holder would also be permitted an ordinary loss in respect of the excess, if any, of the U.S. Holder’s adjusted tax basis in the common stock over its fair market value at the end of the taxable year, but only to the extent of the net amount previously included in income as a result of the Mark-to-Market Election. A U.S. Holder’s tax basis in his common stock would be adjusted to reflect any such income or loss amount. Gain realized on the sale, exchange or other disposition of the common stock would be treated as ordinary income, and any loss realized on the sale, exchange or other disposition of the common stock would be treated as ordinary loss to the extent that such loss does not exceed the net mark-to-market gains previously included by the U.S. Holder.</w:t>
      </w:r>
    </w:p>
    <w:p w14:paraId="71F3EB13"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14"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Taxation of U.S. Holders Not Making a Timely QEF Election or Mark-to-Market Election</w:t>
      </w:r>
    </w:p>
    <w:p w14:paraId="71F3EB15"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16"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Finally, if the Company were to be treated as a PFIC for any taxable year, a U.S. Holder who does not make either a QEF Election or a Mark-to-Market Election for that year, whom is referred to as a “Non-Electing Holder”, would be subject to special U.S. federal income tax rules with respect to (1) any excess distribution (i.e., the portion of any distributions received by the Non-Electing Holder on the common stock in a taxable year in excess of 125% of the average annual distributions received by the Non-Electing Holder in the three (3) preceding taxable years, or, if shorter, the Non-Electing Holder’s holding period for the common stock), and (2) any gain realized on the sale, exchange or other disposition of the common stock. Under these special rules:</w:t>
      </w:r>
    </w:p>
    <w:p w14:paraId="71F3EB17" w14:textId="77777777" w:rsidR="007F1F23" w:rsidRPr="00041894" w:rsidRDefault="007F1F23" w:rsidP="00041894">
      <w:pPr>
        <w:pBdr>
          <w:top w:val="nil"/>
          <w:left w:val="nil"/>
          <w:bottom w:val="nil"/>
          <w:right w:val="nil"/>
          <w:between w:val="nil"/>
          <w:bar w:val="nil"/>
        </w:pBdr>
        <w:jc w:val="both"/>
        <w:rPr>
          <w:rFonts w:ascii="Arial" w:eastAsia="Arial" w:hAnsi="Arial" w:cs="Arial"/>
          <w:color w:val="000000"/>
          <w:bdr w:val="nil"/>
          <w:lang w:val="en-US"/>
        </w:rPr>
      </w:pPr>
    </w:p>
    <w:p w14:paraId="71F3EB18" w14:textId="77777777" w:rsidR="007F1F23" w:rsidRPr="00041894" w:rsidRDefault="003A4815" w:rsidP="00041894">
      <w:pPr>
        <w:pBdr>
          <w:top w:val="nil"/>
          <w:left w:val="nil"/>
          <w:bottom w:val="nil"/>
          <w:right w:val="nil"/>
          <w:between w:val="nil"/>
          <w:bar w:val="nil"/>
        </w:pBdr>
        <w:ind w:left="1797"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the excess distribution or gain would be allocated ratably over the Non-Electing Holder’s aggregate holding period for the common stock;</w:t>
      </w:r>
    </w:p>
    <w:p w14:paraId="71F3EB19" w14:textId="77777777" w:rsidR="007F1F23" w:rsidRPr="00041894" w:rsidRDefault="003A4815" w:rsidP="00041894">
      <w:pPr>
        <w:pBdr>
          <w:top w:val="nil"/>
          <w:left w:val="nil"/>
          <w:bottom w:val="nil"/>
          <w:right w:val="nil"/>
          <w:between w:val="nil"/>
          <w:bar w:val="nil"/>
        </w:pBdr>
        <w:ind w:left="1797"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the amount allocated to the current taxable year and any taxable years before the Company became a PFIC would be taxed as ordinary income; and</w:t>
      </w:r>
    </w:p>
    <w:p w14:paraId="71F3EB1A" w14:textId="77777777" w:rsidR="007F1F23" w:rsidRPr="00041894" w:rsidRDefault="003A4815" w:rsidP="00041894">
      <w:pPr>
        <w:pBdr>
          <w:top w:val="nil"/>
          <w:left w:val="nil"/>
          <w:bottom w:val="nil"/>
          <w:right w:val="nil"/>
          <w:between w:val="nil"/>
          <w:bar w:val="nil"/>
        </w:pBdr>
        <w:ind w:left="1797"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the amount allocated to each of the other taxable years would be subject to tax at the highest rate of tax in effect for the applicable class of taxpayer for that year, and an interest charge for the deemed tax  deferral benefit would be imposed with respect to the resulting tax attributable to each such other taxable year.</w:t>
      </w:r>
    </w:p>
    <w:p w14:paraId="71F3EB1B"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1C"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These penalties would not apply to a pension or profit sharing trust or other tax-exempt organization that did not borrow funds or otherwise utilize leverage in connection with its acquisition of the common stock.  If a Non-Electing Holder who is an individual dies while owning the common stock, such Holder’s successor generally would not receive a step-up in tax basis with respect to such stock.</w:t>
      </w:r>
    </w:p>
    <w:p w14:paraId="71F3EB1D"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1E"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b/>
          <w:bCs/>
          <w:color w:val="000000"/>
          <w:bdr w:val="nil"/>
          <w:lang w:val="en-US"/>
        </w:rPr>
      </w:pPr>
      <w:r w:rsidRPr="00041894">
        <w:rPr>
          <w:rFonts w:ascii="Arial" w:eastAsia="Arial" w:hAnsi="Arial" w:cs="Arial"/>
          <w:b/>
          <w:bCs/>
          <w:color w:val="000000"/>
          <w:lang w:val="en-US"/>
        </w:rPr>
        <w:t>U.S. Federal Income Taxation of “Non-U.S. Holders”</w:t>
      </w:r>
    </w:p>
    <w:p w14:paraId="71F3EB1F"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20"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A beneficial owner of our common stock that is not a U.S. Holder (other than a partnership) is referred to herein as a “Non-U.S. Holder.”</w:t>
      </w:r>
    </w:p>
    <w:p w14:paraId="71F3EB21"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22"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Dividends on Common Stock</w:t>
      </w:r>
    </w:p>
    <w:p w14:paraId="71F3EB23"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24"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Non-U.S. Holders generally will not be subject to U.S. federal income or withholding tax on dividends received from us with respect to our common stock, unless that income is effectively connected with the Non-U.S. Holder’s conduct of a trade or business in the United States. If the Non-U.S. Holder is entitled to the benefits of a U.S. income tax treaty with respect to those dividends, that income is taxable in the United States only if attributable to a permanent establishment maintained by the Non-U.S. Holder in the United States.</w:t>
      </w:r>
    </w:p>
    <w:p w14:paraId="71F3EB25" w14:textId="77777777" w:rsidR="00D44F23" w:rsidRPr="00041894" w:rsidRDefault="003A4815" w:rsidP="00041894">
      <w:pPr>
        <w:pBdr>
          <w:top w:val="nil"/>
          <w:left w:val="nil"/>
          <w:bottom w:val="nil"/>
          <w:right w:val="nil"/>
          <w:between w:val="nil"/>
          <w:bar w:val="nil"/>
        </w:pBdr>
        <w:jc w:val="both"/>
        <w:rPr>
          <w:rFonts w:ascii="Arial" w:eastAsia="Arial" w:hAnsi="Arial" w:cs="Arial"/>
          <w:bdr w:val="nil"/>
          <w:lang w:val="en-US"/>
        </w:rPr>
      </w:pPr>
      <w:r w:rsidRPr="00041894">
        <w:rPr>
          <w:rFonts w:ascii="Arial" w:eastAsia="Arial" w:hAnsi="Arial" w:cs="Arial"/>
          <w:color w:val="000000"/>
          <w:lang w:val="en-US"/>
        </w:rPr>
        <w:t> </w:t>
      </w:r>
    </w:p>
    <w:p w14:paraId="71F3EB26"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Sale, Exchange or Other Disposition of Common Stock</w:t>
      </w:r>
    </w:p>
    <w:p w14:paraId="71F3EB27"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28"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Non-U.S. Holders generally will not be subject to U.S. federal income or withholding tax on any gain realized upon the sale, exchange or other disposition of our common stock, unless:</w:t>
      </w:r>
    </w:p>
    <w:p w14:paraId="71F3EB29" w14:textId="77777777" w:rsidR="007F1F23" w:rsidRPr="00041894" w:rsidRDefault="007F1F23" w:rsidP="00041894">
      <w:pPr>
        <w:pBdr>
          <w:top w:val="nil"/>
          <w:left w:val="nil"/>
          <w:bottom w:val="nil"/>
          <w:right w:val="nil"/>
          <w:between w:val="nil"/>
          <w:bar w:val="nil"/>
        </w:pBdr>
        <w:jc w:val="both"/>
        <w:rPr>
          <w:rFonts w:ascii="Arial" w:eastAsia="Arial" w:hAnsi="Arial" w:cs="Arial"/>
          <w:color w:val="000000"/>
          <w:bdr w:val="nil"/>
          <w:lang w:val="en-US"/>
        </w:rPr>
      </w:pPr>
    </w:p>
    <w:p w14:paraId="71F3EB2A" w14:textId="77777777" w:rsidR="007F1F23" w:rsidRPr="00041894" w:rsidRDefault="003A4815" w:rsidP="00041894">
      <w:pPr>
        <w:pBdr>
          <w:top w:val="nil"/>
          <w:left w:val="nil"/>
          <w:bottom w:val="nil"/>
          <w:right w:val="nil"/>
          <w:between w:val="nil"/>
          <w:bar w:val="nil"/>
        </w:pBdr>
        <w:ind w:left="1797"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the gain is effectively connected with the Non-U.S. Holder’s conduct of a trade or business in the United States. If the Non-U.S. Holder is entitled to the benefits of a U.S. income tax treaty with respect to that gain, the gain is taxable in the United States only if attributable to a permanent establishment maintained by the Non-U.S. Holder in the United States; or</w:t>
      </w:r>
    </w:p>
    <w:p w14:paraId="71F3EB2B" w14:textId="77777777" w:rsidR="007F1F23" w:rsidRPr="00041894" w:rsidRDefault="007F1F23" w:rsidP="00041894">
      <w:pPr>
        <w:pBdr>
          <w:top w:val="nil"/>
          <w:left w:val="nil"/>
          <w:bottom w:val="nil"/>
          <w:right w:val="nil"/>
          <w:between w:val="nil"/>
          <w:bar w:val="nil"/>
        </w:pBdr>
        <w:jc w:val="both"/>
        <w:rPr>
          <w:rFonts w:ascii="Arial" w:eastAsia="Arial" w:hAnsi="Arial" w:cs="Arial"/>
          <w:color w:val="000000"/>
          <w:bdr w:val="nil"/>
          <w:lang w:val="en-US"/>
        </w:rPr>
      </w:pPr>
    </w:p>
    <w:p w14:paraId="71F3EB2C" w14:textId="77777777" w:rsidR="007F1F23" w:rsidRPr="00041894" w:rsidRDefault="003A4815" w:rsidP="00041894">
      <w:pPr>
        <w:pBdr>
          <w:top w:val="nil"/>
          <w:left w:val="nil"/>
          <w:bottom w:val="nil"/>
          <w:right w:val="nil"/>
          <w:between w:val="nil"/>
          <w:bar w:val="nil"/>
        </w:pBdr>
        <w:ind w:left="1797" w:hanging="720"/>
        <w:jc w:val="both"/>
        <w:rPr>
          <w:rFonts w:ascii="Arial" w:eastAsia="Arial" w:hAnsi="Arial" w:cs="Arial"/>
          <w:color w:val="000000"/>
          <w:bdr w:val="nil"/>
          <w:lang w:val="en-US"/>
        </w:rPr>
      </w:pPr>
      <w:r w:rsidRPr="00041894">
        <w:rPr>
          <w:rFonts w:ascii="Arial" w:eastAsia="Arial" w:hAnsi="Arial" w:cs="Arial"/>
          <w:color w:val="000000"/>
          <w:lang w:val="en-US"/>
        </w:rPr>
        <w:t>•</w:t>
      </w:r>
      <w:r w:rsidRPr="00041894">
        <w:rPr>
          <w:rFonts w:ascii="Arial" w:eastAsia="Arial" w:hAnsi="Arial" w:cs="Arial"/>
          <w:color w:val="000000"/>
          <w:lang w:val="en-US"/>
        </w:rPr>
        <w:tab/>
        <w:t>the Non-U.S. Holder is an individual who is present in the United States for 183 days or more during the taxable year of disposition and other conditions are met.</w:t>
      </w:r>
    </w:p>
    <w:p w14:paraId="71F3EB2D" w14:textId="77777777" w:rsidR="007F1F23" w:rsidRPr="00041894" w:rsidRDefault="007F1F23" w:rsidP="00041894">
      <w:pPr>
        <w:pBdr>
          <w:top w:val="nil"/>
          <w:left w:val="nil"/>
          <w:bottom w:val="nil"/>
          <w:right w:val="nil"/>
          <w:between w:val="nil"/>
          <w:bar w:val="nil"/>
        </w:pBdr>
        <w:jc w:val="both"/>
        <w:rPr>
          <w:rFonts w:ascii="Arial" w:eastAsia="Arial" w:hAnsi="Arial" w:cs="Arial"/>
          <w:color w:val="000000"/>
          <w:bdr w:val="nil"/>
          <w:lang w:val="en-US"/>
        </w:rPr>
      </w:pPr>
    </w:p>
    <w:p w14:paraId="71F3EB2E"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If the Non-U.S. Holder is engaged in a U.S. trade or business for U.S. federal income tax purposes, the income from our common stock, including dividends and the gain from the sale, exchange or other disposition of the common stock, that is effectively connected with the conduct of that U.S. trade or business will generally be subject to U.S. federal income tax in the same manner as discussed in the previous section relating to the taxation of U.S. Holders. In addition, in the case of a corporate Non-U.S. Holder, such Holder’s earnings and profits that are attributable to the effectively connected income, subject to certain adjustments, may be subject to an additional U.S. federal branch profits tax at a rate of 30%, or at a lower rate as may be specified by an applicable U.S. income tax treaty.</w:t>
      </w:r>
    </w:p>
    <w:p w14:paraId="71F3EB2F" w14:textId="77777777" w:rsidR="00D44F23" w:rsidRPr="00041894" w:rsidRDefault="00D44F23" w:rsidP="00041894">
      <w:pPr>
        <w:pBdr>
          <w:top w:val="nil"/>
          <w:left w:val="nil"/>
          <w:bottom w:val="nil"/>
          <w:right w:val="nil"/>
          <w:between w:val="nil"/>
          <w:bar w:val="nil"/>
        </w:pBdr>
        <w:rPr>
          <w:rFonts w:ascii="Arial" w:eastAsia="Arial" w:hAnsi="Arial" w:cs="Arial"/>
          <w:bdr w:val="nil"/>
          <w:lang w:val="en-US"/>
        </w:rPr>
      </w:pPr>
    </w:p>
    <w:p w14:paraId="71F3EB30" w14:textId="77777777" w:rsidR="00D44F23" w:rsidRPr="00041894" w:rsidRDefault="003A4815" w:rsidP="00041894">
      <w:pPr>
        <w:keepNext/>
        <w:keepLines/>
        <w:pBdr>
          <w:top w:val="nil"/>
          <w:left w:val="nil"/>
          <w:bottom w:val="nil"/>
          <w:right w:val="nil"/>
          <w:between w:val="nil"/>
          <w:bar w:val="nil"/>
        </w:pBdr>
        <w:jc w:val="both"/>
        <w:rPr>
          <w:rFonts w:ascii="Arial" w:eastAsia="Arial" w:hAnsi="Arial" w:cs="Arial"/>
          <w:i/>
          <w:iCs/>
          <w:color w:val="000000"/>
          <w:bdr w:val="nil"/>
          <w:lang w:val="en-US"/>
        </w:rPr>
      </w:pPr>
      <w:r w:rsidRPr="00041894">
        <w:rPr>
          <w:rFonts w:ascii="Arial" w:eastAsia="Arial" w:hAnsi="Arial" w:cs="Arial"/>
          <w:i/>
          <w:iCs/>
          <w:color w:val="000000"/>
          <w:lang w:val="en-US"/>
        </w:rPr>
        <w:t>Backup Withholding and Information Reporting</w:t>
      </w:r>
    </w:p>
    <w:p w14:paraId="71F3EB31" w14:textId="77777777" w:rsidR="00D44F23" w:rsidRPr="00041894" w:rsidRDefault="00D44F23" w:rsidP="00041894">
      <w:pPr>
        <w:keepNext/>
        <w:keepLines/>
        <w:pBdr>
          <w:top w:val="nil"/>
          <w:left w:val="nil"/>
          <w:bottom w:val="nil"/>
          <w:right w:val="nil"/>
          <w:between w:val="nil"/>
          <w:bar w:val="nil"/>
        </w:pBdr>
        <w:jc w:val="both"/>
        <w:rPr>
          <w:rFonts w:ascii="Arial" w:eastAsia="Arial" w:hAnsi="Arial" w:cs="Arial"/>
          <w:bdr w:val="nil"/>
          <w:lang w:val="en-US"/>
        </w:rPr>
      </w:pPr>
    </w:p>
    <w:p w14:paraId="71F3EB32" w14:textId="77777777" w:rsidR="00D44F23" w:rsidRPr="00041894" w:rsidRDefault="003A4815" w:rsidP="00041894">
      <w:pPr>
        <w:pBdr>
          <w:top w:val="nil"/>
          <w:left w:val="nil"/>
          <w:bottom w:val="nil"/>
          <w:right w:val="nil"/>
          <w:between w:val="nil"/>
          <w:bar w:val="nil"/>
        </w:pBdr>
        <w:jc w:val="both"/>
        <w:rPr>
          <w:rFonts w:ascii="Arial" w:eastAsia="Arial" w:hAnsi="Arial" w:cs="Arial"/>
          <w:color w:val="000000"/>
          <w:bdr w:val="nil"/>
          <w:lang w:val="en-US"/>
        </w:rPr>
      </w:pPr>
      <w:r w:rsidRPr="00041894">
        <w:rPr>
          <w:rFonts w:ascii="Arial" w:eastAsia="Arial" w:hAnsi="Arial" w:cs="Arial"/>
          <w:color w:val="000000"/>
          <w:lang w:val="en-US"/>
        </w:rPr>
        <w:t>In general, dividend payments, or other taxable distributions, made within the United States to a holder will be subject to U.S. federal information reporting requirements. Such payments will also be subject to U.S. federal “backup withholding” if paid to a non-corporate U.S. holder who:</w:t>
      </w:r>
    </w:p>
    <w:p w14:paraId="71F3EB33" w14:textId="77777777" w:rsidR="007F1F23" w:rsidRPr="00041894" w:rsidRDefault="007F1F23" w:rsidP="00041894">
      <w:pPr>
        <w:pBdr>
          <w:top w:val="nil"/>
          <w:left w:val="nil"/>
          <w:bottom w:val="nil"/>
          <w:right w:val="nil"/>
          <w:between w:val="nil"/>
          <w:bar w:val="nil"/>
        </w:pBdr>
        <w:rPr>
          <w:rFonts w:ascii="Arial" w:eastAsia="Arial" w:hAnsi="Arial" w:cs="Arial"/>
          <w:bdr w:val="nil"/>
          <w:lang w:val="en-US"/>
        </w:rPr>
      </w:pPr>
    </w:p>
    <w:p w14:paraId="71F3EB34" w14:textId="77777777" w:rsidR="007F1F23" w:rsidRPr="00041894" w:rsidRDefault="003A4815" w:rsidP="00041894">
      <w:pPr>
        <w:pBdr>
          <w:top w:val="nil"/>
          <w:left w:val="nil"/>
          <w:bottom w:val="nil"/>
          <w:right w:val="nil"/>
          <w:between w:val="nil"/>
          <w:bar w:val="nil"/>
        </w:pBdr>
        <w:ind w:left="1797" w:hanging="720"/>
        <w:rPr>
          <w:rFonts w:ascii="Arial" w:eastAsia="Arial" w:hAnsi="Arial" w:cs="Arial"/>
          <w:bdr w:val="nil"/>
          <w:lang w:val="en-US"/>
        </w:rPr>
      </w:pPr>
      <w:r w:rsidRPr="00041894">
        <w:rPr>
          <w:rFonts w:ascii="Arial" w:eastAsia="Arial" w:hAnsi="Arial" w:cs="Arial"/>
          <w:lang w:val="en-US"/>
        </w:rPr>
        <w:t>•</w:t>
      </w:r>
      <w:r w:rsidRPr="00041894">
        <w:rPr>
          <w:rFonts w:ascii="Arial" w:eastAsia="Arial" w:hAnsi="Arial" w:cs="Arial"/>
          <w:lang w:val="en-US"/>
        </w:rPr>
        <w:tab/>
        <w:t>fails to provide an accurate taxpayer identification number;</w:t>
      </w:r>
    </w:p>
    <w:p w14:paraId="71F3EB35" w14:textId="77777777" w:rsidR="007F1F23" w:rsidRPr="00041894" w:rsidRDefault="003A4815" w:rsidP="00041894">
      <w:pPr>
        <w:pBdr>
          <w:top w:val="nil"/>
          <w:left w:val="nil"/>
          <w:bottom w:val="nil"/>
          <w:right w:val="nil"/>
          <w:between w:val="nil"/>
          <w:bar w:val="nil"/>
        </w:pBdr>
        <w:ind w:left="1797" w:hanging="720"/>
        <w:rPr>
          <w:rFonts w:ascii="Arial" w:eastAsia="Arial" w:hAnsi="Arial" w:cs="Arial"/>
          <w:bdr w:val="nil"/>
          <w:lang w:val="en-US"/>
        </w:rPr>
      </w:pPr>
      <w:r w:rsidRPr="00041894">
        <w:rPr>
          <w:rFonts w:ascii="Arial" w:eastAsia="Arial" w:hAnsi="Arial" w:cs="Arial"/>
          <w:lang w:val="en-US"/>
        </w:rPr>
        <w:t>•</w:t>
      </w:r>
      <w:r w:rsidRPr="00041894">
        <w:rPr>
          <w:rFonts w:ascii="Arial" w:eastAsia="Arial" w:hAnsi="Arial" w:cs="Arial"/>
          <w:lang w:val="en-US"/>
        </w:rPr>
        <w:tab/>
        <w:t>is notified by the IRS that he has failed to report all interest or dividends required to be shown on his U.S. federal income tax returns; or</w:t>
      </w:r>
    </w:p>
    <w:p w14:paraId="71F3EB36" w14:textId="77777777" w:rsidR="007F1F23" w:rsidRPr="00041894" w:rsidRDefault="003A4815" w:rsidP="00041894">
      <w:pPr>
        <w:pBdr>
          <w:top w:val="nil"/>
          <w:left w:val="nil"/>
          <w:bottom w:val="nil"/>
          <w:right w:val="nil"/>
          <w:between w:val="nil"/>
          <w:bar w:val="nil"/>
        </w:pBdr>
        <w:ind w:left="1797" w:hanging="720"/>
        <w:rPr>
          <w:rFonts w:ascii="Arial" w:eastAsia="Arial" w:hAnsi="Arial" w:cs="Arial"/>
          <w:bdr w:val="nil"/>
          <w:lang w:val="en-US"/>
        </w:rPr>
      </w:pPr>
      <w:r w:rsidRPr="00041894">
        <w:rPr>
          <w:rFonts w:ascii="Arial" w:eastAsia="Arial" w:hAnsi="Arial" w:cs="Arial"/>
          <w:lang w:val="en-US"/>
        </w:rPr>
        <w:t>•</w:t>
      </w:r>
      <w:r w:rsidRPr="00041894">
        <w:rPr>
          <w:rFonts w:ascii="Arial" w:eastAsia="Arial" w:hAnsi="Arial" w:cs="Arial"/>
          <w:lang w:val="en-US"/>
        </w:rPr>
        <w:tab/>
        <w:t>in certain circumstances, fails to comply with applicable certification requirements.</w:t>
      </w:r>
    </w:p>
    <w:p w14:paraId="71F3EB37" w14:textId="77777777" w:rsidR="00D44F23" w:rsidRPr="00041894"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38" w14:textId="77777777" w:rsidR="00D44F23" w:rsidRPr="00041894"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Non-U.S. Holders may be required to establish their exemption from information reporting and backup withholding by certifying their status on an applicable IRS Form W-8.</w:t>
      </w:r>
    </w:p>
    <w:p w14:paraId="71F3EB39" w14:textId="77777777" w:rsidR="00D44F23" w:rsidRPr="00041894" w:rsidRDefault="00D44F23" w:rsidP="00041894">
      <w:pPr>
        <w:pBdr>
          <w:top w:val="nil"/>
          <w:left w:val="nil"/>
          <w:bottom w:val="nil"/>
          <w:right w:val="nil"/>
          <w:between w:val="nil"/>
          <w:bar w:val="nil"/>
        </w:pBdr>
        <w:shd w:val="clear" w:color="auto" w:fill="FFFFFF"/>
        <w:rPr>
          <w:rFonts w:ascii="Arial" w:eastAsia="Arial" w:hAnsi="Arial" w:cs="Arial"/>
          <w:color w:val="000000"/>
          <w:bdr w:val="nil"/>
          <w:lang w:val="en-US"/>
        </w:rPr>
      </w:pPr>
    </w:p>
    <w:p w14:paraId="71F3EB3A" w14:textId="77777777" w:rsidR="00D44F23" w:rsidRPr="00041894"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If a holder sells his common stock to or through a U.S. office of a broker, the payment of the proceeds is subject to both backup withholding and information reporting unless the holder establishes an exemption. If a holder sells his common stock through a non-U.S. office of a non-U.S. broker and the sales proceeds are paid to the holder outside the United States, then information reporting and backup withholding generally will not apply to that payment. However, information reporting requirements, but not backup withholding, will apply to a payment of sales proceeds, including a payment made to a holder outside the United States, if the holder sells his common stock through a non-U.S. office of a broker that is a U.S. person or has some other contacts with the United States.</w:t>
      </w:r>
    </w:p>
    <w:p w14:paraId="71F3EB3B" w14:textId="77777777" w:rsidR="00D44F23" w:rsidRPr="00041894"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 </w:t>
      </w:r>
    </w:p>
    <w:p w14:paraId="71F3EB3C" w14:textId="77777777" w:rsidR="00D44F23" w:rsidRPr="00041894"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Backup withholding is not an additional tax. Rather, a taxpayer generally may obtain a refund of any amounts withheld under backup withholding rules that exceed the taxpayer’s U.S. federal income tax liability by filing a refund claim with the IRS.</w:t>
      </w:r>
    </w:p>
    <w:p w14:paraId="71F3EB3D" w14:textId="77777777" w:rsidR="00D44F23" w:rsidRPr="00041894" w:rsidRDefault="00D44F23" w:rsidP="00041894">
      <w:pPr>
        <w:pBdr>
          <w:top w:val="nil"/>
          <w:left w:val="nil"/>
          <w:bottom w:val="nil"/>
          <w:right w:val="nil"/>
          <w:between w:val="nil"/>
          <w:bar w:val="nil"/>
        </w:pBdr>
        <w:shd w:val="clear" w:color="auto" w:fill="FFFFFF"/>
        <w:rPr>
          <w:rFonts w:ascii="Arial" w:eastAsia="Arial" w:hAnsi="Arial" w:cs="Arial"/>
          <w:color w:val="000000"/>
          <w:bdr w:val="nil"/>
          <w:lang w:val="en-US"/>
        </w:rPr>
      </w:pPr>
    </w:p>
    <w:p w14:paraId="71F3EB3E" w14:textId="77777777" w:rsidR="00D44F23" w:rsidRDefault="003A4815"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r w:rsidRPr="00041894">
        <w:rPr>
          <w:rFonts w:ascii="Arial" w:eastAsia="Arial" w:hAnsi="Arial" w:cs="Arial"/>
          <w:color w:val="000000"/>
          <w:lang w:val="en-US"/>
        </w:rPr>
        <w:t>U.S. Holders who are individuals (and to the extent specified in applicable Treasury Regulations, certain U.S. entities) who hold “specified foreign financial assets” (as defined in Section 6038D of the Code) are required to file IRS Form 8938 with information relating to the asset for each taxable year in which the aggregate value of all such assets exceeds $75,000 at any time during the taxable year or $50,000 on the last day of the taxable year (or such higher dollar amount as prescribed by applicable Treasury Regulations).  Specified foreign financial assets would include, among other assets, our common stock, unless the common stock is held through an account maintained with a U.S. financial institution. Substantial penalties apply to any failure to timely file IRS Form 8938, unless the failure is shown to be due to reasonable cause and not due to willful neglect. Additionally, in the event a U.S. Holder who is an individual (and to the extent specified in applicable Treasury regulations, a U.S. entity) that is required to file IRS Form 8938 does not file such form, the statute of limitations on the assessment and collection of U.S. federal income taxes of such holder for the related tax year may not close until three (3) years after the date that the required information is filed.</w:t>
      </w:r>
    </w:p>
    <w:p w14:paraId="71F3EB3F" w14:textId="77777777" w:rsidR="00400230" w:rsidRDefault="00400230" w:rsidP="00041894">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EB40" w14:textId="77777777" w:rsidR="00400230" w:rsidRDefault="003A4815" w:rsidP="00400230">
      <w:pPr>
        <w:pBdr>
          <w:top w:val="nil"/>
          <w:left w:val="nil"/>
          <w:bottom w:val="nil"/>
          <w:right w:val="nil"/>
          <w:between w:val="nil"/>
          <w:bar w:val="nil"/>
        </w:pBdr>
        <w:shd w:val="clear" w:color="auto" w:fill="FFFFFF"/>
        <w:jc w:val="both"/>
        <w:rPr>
          <w:rFonts w:ascii="Arial" w:eastAsia="Arial" w:hAnsi="Arial" w:cs="Arial"/>
          <w:b/>
          <w:bCs/>
          <w:i/>
          <w:iCs/>
          <w:color w:val="000000"/>
          <w:bdr w:val="nil"/>
          <w:lang w:val="en-US"/>
        </w:rPr>
      </w:pPr>
      <w:r>
        <w:rPr>
          <w:rFonts w:ascii="Arial" w:eastAsia="Arial" w:hAnsi="Arial" w:cs="Arial"/>
          <w:b/>
          <w:bCs/>
          <w:i/>
          <w:iCs/>
          <w:color w:val="000000"/>
          <w:szCs w:val="24"/>
          <w:lang w:val="en-US"/>
        </w:rPr>
        <w:t xml:space="preserve">Changes in Global Tax Laws </w:t>
      </w:r>
    </w:p>
    <w:p w14:paraId="71F3EB41" w14:textId="77777777" w:rsidR="00400230" w:rsidRDefault="00400230" w:rsidP="00400230">
      <w:pPr>
        <w:pBdr>
          <w:top w:val="nil"/>
          <w:left w:val="nil"/>
          <w:bottom w:val="nil"/>
          <w:right w:val="nil"/>
          <w:between w:val="nil"/>
          <w:bar w:val="nil"/>
        </w:pBdr>
        <w:shd w:val="clear" w:color="auto" w:fill="FFFFFF"/>
        <w:jc w:val="both"/>
        <w:rPr>
          <w:rFonts w:ascii="Arial" w:eastAsia="Arial" w:hAnsi="Arial" w:cs="Arial"/>
          <w:b/>
          <w:bCs/>
          <w:i/>
          <w:iCs/>
          <w:color w:val="000000"/>
          <w:bdr w:val="nil"/>
          <w:lang w:val="en-US"/>
        </w:rPr>
      </w:pPr>
    </w:p>
    <w:p w14:paraId="71F3EB42" w14:textId="77777777" w:rsidR="00400230" w:rsidRDefault="003A4815" w:rsidP="00400230">
      <w:pPr>
        <w:pBdr>
          <w:top w:val="nil"/>
          <w:left w:val="nil"/>
          <w:bottom w:val="nil"/>
          <w:right w:val="nil"/>
          <w:between w:val="nil"/>
          <w:bar w:val="nil"/>
        </w:pBdr>
        <w:shd w:val="clear" w:color="auto" w:fill="FFFFFF"/>
        <w:jc w:val="both"/>
        <w:rPr>
          <w:rFonts w:ascii="Arial" w:eastAsia="Arial" w:hAnsi="Arial" w:cs="Arial"/>
          <w:color w:val="000000"/>
          <w:bdr w:val="nil"/>
          <w:lang w:val="en-US"/>
        </w:rPr>
      </w:pPr>
      <w:r>
        <w:rPr>
          <w:rFonts w:ascii="Arial" w:eastAsia="Arial" w:hAnsi="Arial" w:cs="Arial"/>
          <w:color w:val="000000"/>
          <w:szCs w:val="24"/>
          <w:lang w:val="en-US"/>
        </w:rPr>
        <w:t>Long-standing international tax initiatives that determine each country’s jurisdiction to tax cross-border international trade and profits are evolving as a result of, among other things, initiatives such as the Anti-Tax Avoidance Directives, as well as the Base Erosion and Profit Shifting reporting requirements, mandated and/or recommended by the EU, G8, G20 and Organization for Economic Cooperation and Development, including the imposition of a minimum global effective tax rate for multinational businesses regardless of the jurisdiction of operation and where profits are generated (Pillar Two). As these and other tax laws and related regulations change (including changes in the interpretation, approach and guidance of tax authorities), our financial results could be materially impacted. Given the unpredictability of these possible changes and their potential interdependency, it is difficult to assess whether the overall effect of such potential tax changes would be cumulatively positive or negative for our earnings and cash flow, but such changes could adversely affect our financial results.</w:t>
      </w:r>
    </w:p>
    <w:p w14:paraId="71F3EB43" w14:textId="77777777" w:rsidR="00400230" w:rsidRDefault="00400230" w:rsidP="00400230">
      <w:pPr>
        <w:pBdr>
          <w:top w:val="nil"/>
          <w:left w:val="nil"/>
          <w:bottom w:val="nil"/>
          <w:right w:val="nil"/>
          <w:between w:val="nil"/>
          <w:bar w:val="nil"/>
        </w:pBdr>
        <w:shd w:val="clear" w:color="auto" w:fill="FFFFFF"/>
        <w:jc w:val="both"/>
        <w:rPr>
          <w:rFonts w:ascii="Arial" w:eastAsia="Arial" w:hAnsi="Arial" w:cs="Arial"/>
          <w:color w:val="000000"/>
          <w:bdr w:val="nil"/>
          <w:lang w:val="en-US"/>
        </w:rPr>
      </w:pPr>
    </w:p>
    <w:p w14:paraId="71F3EB44" w14:textId="77777777" w:rsidR="00400230" w:rsidRDefault="003A4815" w:rsidP="00400230">
      <w:pPr>
        <w:pBdr>
          <w:top w:val="nil"/>
          <w:left w:val="nil"/>
          <w:bottom w:val="nil"/>
          <w:right w:val="nil"/>
          <w:between w:val="nil"/>
          <w:bar w:val="nil"/>
        </w:pBdr>
        <w:shd w:val="clear" w:color="auto" w:fill="FFFFFF"/>
        <w:jc w:val="both"/>
        <w:rPr>
          <w:rFonts w:ascii="Arial" w:eastAsia="Arial" w:hAnsi="Arial" w:cs="Arial"/>
          <w:color w:val="000000"/>
          <w:bdr w:val="nil"/>
          <w:lang w:val="en-US"/>
        </w:rPr>
      </w:pPr>
      <w:r>
        <w:rPr>
          <w:rFonts w:ascii="Arial" w:eastAsia="Arial" w:hAnsi="Arial" w:cs="Arial"/>
          <w:color w:val="000000"/>
          <w:szCs w:val="24"/>
          <w:lang w:val="en-US"/>
        </w:rPr>
        <w:t>On December 12, 2022, the European Union member states agreed to implement the OECD’s Pillar Two global corporate minimum tax rate of 15% on companies with revenues of at least €750 million effective from 2024. Various countries have either adopted implementing legislation or are in the process of drafting such legislation. Any new tax law in a jurisdiction where we conduct business or pay tax could have a negative effect on our company.</w:t>
      </w:r>
    </w:p>
    <w:p w14:paraId="71F3EB4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46" w14:textId="77777777" w:rsidR="007320A8" w:rsidRPr="002F1DD0" w:rsidRDefault="003A4815" w:rsidP="00686015">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bookmarkStart w:id="239" w:name="RG_MARKER_22996"/>
      <w:r w:rsidRPr="002F1DD0">
        <w:rPr>
          <w:rFonts w:ascii="Arial" w:eastAsia="Arial" w:hAnsi="Arial" w:cs="Arial"/>
          <w:color w:val="auto"/>
          <w:szCs w:val="24"/>
          <w:lang w:eastAsia="el-GR" w:bidi="en-US"/>
        </w:rPr>
        <w:t>F.</w:t>
      </w:r>
      <w:bookmarkEnd w:id="239"/>
      <w:r w:rsidRPr="002F1DD0">
        <w:rPr>
          <w:rFonts w:ascii="Arial" w:eastAsia="Arial" w:hAnsi="Arial" w:cs="Arial"/>
          <w:color w:val="auto"/>
          <w:szCs w:val="24"/>
          <w:lang w:eastAsia="el-GR" w:bidi="en-US"/>
        </w:rPr>
        <w:tab/>
        <w:t>Dividends and paying agents</w:t>
      </w:r>
    </w:p>
    <w:p w14:paraId="71F3EB47" w14:textId="77777777" w:rsidR="00F83B8C" w:rsidRPr="002F1DD0" w:rsidRDefault="00F83B8C" w:rsidP="00686015">
      <w:pPr>
        <w:pStyle w:val="Char1"/>
        <w:keepNext/>
        <w:keepLines/>
        <w:widowControl/>
        <w:pBdr>
          <w:top w:val="nil"/>
          <w:left w:val="nil"/>
          <w:bottom w:val="nil"/>
          <w:right w:val="nil"/>
          <w:between w:val="nil"/>
          <w:bar w:val="nil"/>
        </w:pBdr>
        <w:spacing w:before="0" w:after="0"/>
        <w:rPr>
          <w:rFonts w:ascii="Arial" w:eastAsia="Arial" w:hAnsi="Arial" w:cs="Arial"/>
          <w:bdr w:val="nil"/>
          <w:lang w:bidi="en-US"/>
        </w:rPr>
      </w:pPr>
    </w:p>
    <w:p w14:paraId="71F3EB48" w14:textId="77777777" w:rsidR="007320A8" w:rsidRPr="002F1DD0" w:rsidRDefault="003A4815" w:rsidP="002F1DD0">
      <w:pPr>
        <w:pStyle w:val="Char1"/>
        <w:widowControl/>
        <w:pBdr>
          <w:top w:val="nil"/>
          <w:left w:val="nil"/>
          <w:bottom w:val="nil"/>
          <w:right w:val="nil"/>
          <w:between w:val="nil"/>
          <w:bar w:val="nil"/>
        </w:pBdr>
        <w:spacing w:before="0" w:after="0"/>
        <w:rPr>
          <w:rFonts w:ascii="Arial" w:eastAsia="Arial" w:hAnsi="Arial" w:cs="Arial"/>
          <w:bdr w:val="nil"/>
          <w:lang w:bidi="en-US"/>
        </w:rPr>
      </w:pPr>
      <w:r w:rsidRPr="002F1DD0">
        <w:rPr>
          <w:rFonts w:ascii="Arial" w:eastAsia="Arial" w:hAnsi="Arial" w:cs="Arial"/>
          <w:lang w:bidi="en-US"/>
        </w:rPr>
        <w:t>Not Applicable.</w:t>
      </w:r>
    </w:p>
    <w:p w14:paraId="71F3EB49"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4A" w14:textId="77777777" w:rsidR="00EB2260" w:rsidRPr="00652E39" w:rsidRDefault="003A4815" w:rsidP="005B3BC4">
      <w:pPr>
        <w:pStyle w:val="Heading2"/>
        <w:keepLines/>
        <w:pBdr>
          <w:top w:val="nil"/>
          <w:left w:val="nil"/>
          <w:bottom w:val="nil"/>
          <w:right w:val="nil"/>
          <w:between w:val="nil"/>
          <w:bar w:val="nil"/>
        </w:pBdr>
        <w:ind w:left="714"/>
        <w:jc w:val="both"/>
        <w:rPr>
          <w:rFonts w:ascii="Arial" w:eastAsia="Arial" w:hAnsi="Arial" w:cs="Arial"/>
          <w:color w:val="auto"/>
          <w:szCs w:val="24"/>
          <w:bdr w:val="nil"/>
          <w:lang w:bidi="en-US"/>
        </w:rPr>
      </w:pPr>
      <w:bookmarkStart w:id="240" w:name="RG_MARKER_22997"/>
      <w:r w:rsidRPr="00652E39">
        <w:rPr>
          <w:rFonts w:ascii="Arial" w:eastAsia="Arial" w:hAnsi="Arial" w:cs="Arial"/>
          <w:color w:val="auto"/>
          <w:szCs w:val="24"/>
          <w:lang w:bidi="en-US"/>
        </w:rPr>
        <w:t>G.</w:t>
      </w:r>
      <w:bookmarkEnd w:id="240"/>
      <w:r w:rsidRPr="00652E39">
        <w:rPr>
          <w:rFonts w:ascii="Arial" w:eastAsia="Arial" w:hAnsi="Arial" w:cs="Arial"/>
          <w:color w:val="auto"/>
          <w:szCs w:val="24"/>
          <w:lang w:bidi="en-US"/>
        </w:rPr>
        <w:tab/>
        <w:t>Statement by experts</w:t>
      </w:r>
    </w:p>
    <w:p w14:paraId="71F3EB4B" w14:textId="77777777" w:rsidR="00A81168" w:rsidRPr="00652E39" w:rsidRDefault="00A81168" w:rsidP="005B3BC4">
      <w:pPr>
        <w:pStyle w:val="Char1"/>
        <w:keepNext/>
        <w:keepLines/>
        <w:widowControl/>
        <w:pBdr>
          <w:top w:val="nil"/>
          <w:left w:val="nil"/>
          <w:bottom w:val="nil"/>
          <w:right w:val="nil"/>
          <w:between w:val="nil"/>
          <w:bar w:val="nil"/>
        </w:pBdr>
        <w:spacing w:before="0" w:after="0"/>
        <w:rPr>
          <w:rFonts w:ascii="Arial" w:eastAsia="Arial" w:hAnsi="Arial" w:cs="Arial"/>
          <w:bdr w:val="nil"/>
          <w:lang w:eastAsia="en-US" w:bidi="en-US"/>
        </w:rPr>
      </w:pPr>
    </w:p>
    <w:p w14:paraId="71F3EB4C" w14:textId="77777777" w:rsidR="00EB2260" w:rsidRPr="00652E39" w:rsidRDefault="003A4815" w:rsidP="00A81168">
      <w:pPr>
        <w:pStyle w:val="Char1"/>
        <w:widowControl/>
        <w:pBdr>
          <w:top w:val="nil"/>
          <w:left w:val="nil"/>
          <w:bottom w:val="nil"/>
          <w:right w:val="nil"/>
          <w:between w:val="nil"/>
          <w:bar w:val="nil"/>
        </w:pBdr>
        <w:spacing w:before="0" w:after="0"/>
        <w:rPr>
          <w:rFonts w:ascii="Arial" w:eastAsia="Arial" w:hAnsi="Arial" w:cs="Arial"/>
          <w:bdr w:val="nil"/>
          <w:lang w:eastAsia="en-US" w:bidi="en-US"/>
        </w:rPr>
      </w:pPr>
      <w:r w:rsidRPr="00652E39">
        <w:rPr>
          <w:rFonts w:ascii="Arial" w:eastAsia="Arial" w:hAnsi="Arial" w:cs="Arial"/>
          <w:lang w:eastAsia="en-US" w:bidi="en-US"/>
        </w:rPr>
        <w:t>Not Applicable.</w:t>
      </w:r>
    </w:p>
    <w:p w14:paraId="71F3EB4D"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4E" w14:textId="77777777" w:rsidR="00350445" w:rsidRPr="00F0442F" w:rsidRDefault="003A4815" w:rsidP="009723EB">
      <w:pPr>
        <w:pStyle w:val="Heading2"/>
        <w:keepLines/>
        <w:pBdr>
          <w:top w:val="nil"/>
          <w:left w:val="nil"/>
          <w:bottom w:val="nil"/>
          <w:right w:val="nil"/>
          <w:between w:val="nil"/>
          <w:bar w:val="nil"/>
        </w:pBdr>
        <w:ind w:left="714"/>
        <w:jc w:val="both"/>
        <w:rPr>
          <w:rFonts w:ascii="Arial" w:eastAsia="Arial" w:hAnsi="Arial" w:cs="Arial"/>
          <w:bCs w:val="0"/>
          <w:iCs w:val="0"/>
          <w:color w:val="auto"/>
          <w:szCs w:val="24"/>
          <w:bdr w:val="nil"/>
          <w:lang w:bidi="en-US"/>
        </w:rPr>
      </w:pPr>
      <w:bookmarkStart w:id="241" w:name="RG_MARKER_22998"/>
      <w:r w:rsidRPr="00F0442F">
        <w:rPr>
          <w:rFonts w:ascii="Arial" w:eastAsia="Arial" w:hAnsi="Arial" w:cs="Arial"/>
          <w:bCs w:val="0"/>
          <w:iCs w:val="0"/>
          <w:color w:val="auto"/>
          <w:szCs w:val="24"/>
          <w:lang w:bidi="en-US"/>
        </w:rPr>
        <w:t>H.</w:t>
      </w:r>
      <w:bookmarkEnd w:id="241"/>
      <w:r w:rsidRPr="00F0442F">
        <w:rPr>
          <w:rFonts w:ascii="Arial" w:eastAsia="Arial" w:hAnsi="Arial" w:cs="Arial"/>
          <w:bCs w:val="0"/>
          <w:iCs w:val="0"/>
          <w:color w:val="auto"/>
          <w:szCs w:val="24"/>
          <w:lang w:bidi="en-US"/>
        </w:rPr>
        <w:tab/>
        <w:t>Documents on display</w:t>
      </w:r>
    </w:p>
    <w:p w14:paraId="71F3EB4F" w14:textId="77777777" w:rsidR="00DF2CA2" w:rsidRPr="00F0442F" w:rsidRDefault="00DF2CA2" w:rsidP="009723EB">
      <w:pPr>
        <w:pStyle w:val="Char1"/>
        <w:keepNext/>
        <w:keepLines/>
        <w:widowControl/>
        <w:pBdr>
          <w:top w:val="nil"/>
          <w:left w:val="nil"/>
          <w:bottom w:val="nil"/>
          <w:right w:val="nil"/>
          <w:between w:val="nil"/>
          <w:bar w:val="nil"/>
        </w:pBdr>
        <w:spacing w:before="0" w:after="0"/>
        <w:rPr>
          <w:rFonts w:ascii="Arial" w:eastAsia="Arial" w:hAnsi="Arial" w:cs="Arial"/>
          <w:bdr w:val="nil"/>
          <w:lang w:eastAsia="en-US" w:bidi="en-US"/>
        </w:rPr>
      </w:pPr>
    </w:p>
    <w:p w14:paraId="71F3EB50" w14:textId="77777777" w:rsidR="002E3EA8" w:rsidRPr="00F0442F" w:rsidRDefault="003A4815" w:rsidP="002E3EA8">
      <w:pPr>
        <w:pStyle w:val="Char1"/>
        <w:widowControl/>
        <w:pBdr>
          <w:top w:val="nil"/>
          <w:left w:val="nil"/>
          <w:bottom w:val="nil"/>
          <w:right w:val="nil"/>
          <w:between w:val="nil"/>
          <w:bar w:val="nil"/>
        </w:pBdr>
        <w:spacing w:before="0" w:after="0"/>
        <w:rPr>
          <w:rFonts w:ascii="Arial" w:eastAsia="Arial" w:hAnsi="Arial" w:cs="Arial"/>
          <w:bdr w:val="nil"/>
          <w:lang w:eastAsia="en-US" w:bidi="en-US"/>
        </w:rPr>
      </w:pPr>
      <w:r w:rsidRPr="00F0442F">
        <w:rPr>
          <w:rFonts w:ascii="Arial" w:eastAsia="Arial" w:hAnsi="Arial" w:cs="Arial"/>
          <w:bdr w:val="none" w:sz="0" w:space="0" w:color="auto" w:frame="1"/>
          <w:lang w:eastAsia="en-US" w:bidi="en-US"/>
        </w:rPr>
        <w:t xml:space="preserve">We file reports and other information with the SEC. These materials, including this annual report and the accompanying exhibits are available from the SEC’s website http://www.sec.gov. </w:t>
      </w:r>
    </w:p>
    <w:p w14:paraId="71F3EB51"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52" w14:textId="77777777" w:rsidR="00F94357" w:rsidRPr="005F3A05" w:rsidRDefault="003A4815" w:rsidP="005F3A05">
      <w:pPr>
        <w:pStyle w:val="Heading2"/>
        <w:keepLines/>
        <w:pBdr>
          <w:top w:val="nil"/>
          <w:left w:val="nil"/>
          <w:bottom w:val="nil"/>
          <w:right w:val="nil"/>
          <w:between w:val="nil"/>
          <w:bar w:val="nil"/>
        </w:pBdr>
        <w:ind w:left="714"/>
        <w:rPr>
          <w:rFonts w:ascii="Arial" w:eastAsia="Arial" w:hAnsi="Arial" w:cs="Arial"/>
          <w:color w:val="auto"/>
          <w:szCs w:val="24"/>
          <w:bdr w:val="nil"/>
          <w:lang w:bidi="en-US"/>
        </w:rPr>
      </w:pPr>
      <w:bookmarkStart w:id="242" w:name="RG_MARKER_22999"/>
      <w:r w:rsidRPr="005F3A05">
        <w:rPr>
          <w:rFonts w:ascii="Arial" w:eastAsia="Arial" w:hAnsi="Arial" w:cs="Arial"/>
          <w:color w:val="auto"/>
          <w:szCs w:val="24"/>
          <w:lang w:bidi="en-US"/>
        </w:rPr>
        <w:t>I.</w:t>
      </w:r>
      <w:bookmarkEnd w:id="242"/>
      <w:r w:rsidRPr="005F3A05">
        <w:rPr>
          <w:rFonts w:ascii="Arial" w:eastAsia="Arial" w:hAnsi="Arial" w:cs="Arial"/>
          <w:color w:val="auto"/>
          <w:szCs w:val="24"/>
          <w:lang w:bidi="en-US"/>
        </w:rPr>
        <w:tab/>
        <w:t>Subsidiary information</w:t>
      </w:r>
    </w:p>
    <w:p w14:paraId="71F3EB53" w14:textId="77777777" w:rsidR="00AE6C8A" w:rsidRPr="005F3A05" w:rsidRDefault="00AE6C8A" w:rsidP="00001FB1">
      <w:pPr>
        <w:pStyle w:val="Char1"/>
        <w:keepNext/>
        <w:keepLines/>
        <w:widowControl/>
        <w:pBdr>
          <w:top w:val="nil"/>
          <w:left w:val="nil"/>
          <w:bottom w:val="nil"/>
          <w:right w:val="nil"/>
          <w:between w:val="nil"/>
          <w:bar w:val="nil"/>
        </w:pBdr>
        <w:spacing w:before="0" w:after="0"/>
        <w:jc w:val="left"/>
        <w:rPr>
          <w:rFonts w:ascii="Arial" w:eastAsia="Arial" w:hAnsi="Arial" w:cs="Arial"/>
          <w:bdr w:val="nil"/>
          <w:lang w:eastAsia="en-US" w:bidi="en-US"/>
        </w:rPr>
      </w:pPr>
    </w:p>
    <w:p w14:paraId="71F3EB54" w14:textId="77777777" w:rsidR="00F94357" w:rsidRPr="005F3A05" w:rsidRDefault="003A4815" w:rsidP="00AE6C8A">
      <w:pPr>
        <w:pStyle w:val="Char1"/>
        <w:widowControl/>
        <w:pBdr>
          <w:top w:val="nil"/>
          <w:left w:val="nil"/>
          <w:bottom w:val="nil"/>
          <w:right w:val="nil"/>
          <w:between w:val="nil"/>
          <w:bar w:val="nil"/>
        </w:pBdr>
        <w:spacing w:before="0" w:after="0"/>
        <w:jc w:val="left"/>
        <w:rPr>
          <w:rFonts w:ascii="Arial" w:eastAsia="Arial" w:hAnsi="Arial" w:cs="Arial"/>
          <w:bdr w:val="nil"/>
          <w:lang w:eastAsia="en-US" w:bidi="en-US"/>
        </w:rPr>
      </w:pPr>
      <w:r w:rsidRPr="005F3A05">
        <w:rPr>
          <w:rFonts w:ascii="Arial" w:eastAsia="Arial" w:hAnsi="Arial" w:cs="Arial"/>
          <w:lang w:eastAsia="en-US" w:bidi="en-US"/>
        </w:rPr>
        <w:t>Not Applicable.</w:t>
      </w:r>
    </w:p>
    <w:p w14:paraId="71F3EB5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56" w14:textId="77777777" w:rsidR="00F94357" w:rsidRPr="004A2B84" w:rsidRDefault="003A4815" w:rsidP="004A2B84">
      <w:pPr>
        <w:pStyle w:val="Heading2"/>
        <w:keepLines/>
        <w:pBdr>
          <w:top w:val="nil"/>
          <w:left w:val="nil"/>
          <w:bottom w:val="nil"/>
          <w:right w:val="nil"/>
          <w:between w:val="nil"/>
          <w:bar w:val="nil"/>
        </w:pBdr>
        <w:ind w:left="714"/>
        <w:rPr>
          <w:rFonts w:ascii="Arial" w:eastAsia="Arial" w:hAnsi="Arial" w:cs="Arial"/>
          <w:color w:val="auto"/>
          <w:szCs w:val="24"/>
          <w:bdr w:val="nil"/>
          <w:lang w:bidi="en-US"/>
        </w:rPr>
      </w:pPr>
      <w:bookmarkStart w:id="243" w:name="RG_MARKER_23123"/>
      <w:r w:rsidRPr="004A2B84">
        <w:rPr>
          <w:rFonts w:ascii="Arial" w:eastAsia="Arial" w:hAnsi="Arial" w:cs="Arial"/>
          <w:color w:val="auto"/>
          <w:szCs w:val="24"/>
          <w:lang w:bidi="en-US"/>
        </w:rPr>
        <w:t>J</w:t>
      </w:r>
      <w:bookmarkEnd w:id="243"/>
      <w:r w:rsidRPr="004A2B84">
        <w:rPr>
          <w:rFonts w:ascii="Arial" w:eastAsia="Arial" w:hAnsi="Arial" w:cs="Arial"/>
          <w:color w:val="auto"/>
          <w:szCs w:val="24"/>
          <w:lang w:bidi="en-US"/>
        </w:rPr>
        <w:t>.</w:t>
      </w:r>
      <w:r w:rsidRPr="004A2B84">
        <w:rPr>
          <w:rFonts w:ascii="Arial" w:eastAsia="Arial" w:hAnsi="Arial" w:cs="Arial"/>
          <w:color w:val="auto"/>
          <w:szCs w:val="24"/>
          <w:lang w:bidi="en-US"/>
        </w:rPr>
        <w:tab/>
        <w:t>Annual Report to Security Holders</w:t>
      </w:r>
    </w:p>
    <w:p w14:paraId="71F3EB57" w14:textId="77777777" w:rsidR="00AE6C8A" w:rsidRPr="004A2B84" w:rsidRDefault="00AE6C8A" w:rsidP="00001FB1">
      <w:pPr>
        <w:pStyle w:val="Char1"/>
        <w:keepNext/>
        <w:keepLines/>
        <w:widowControl/>
        <w:pBdr>
          <w:top w:val="nil"/>
          <w:left w:val="nil"/>
          <w:bottom w:val="nil"/>
          <w:right w:val="nil"/>
          <w:between w:val="nil"/>
          <w:bar w:val="nil"/>
        </w:pBdr>
        <w:spacing w:before="0" w:after="0"/>
        <w:jc w:val="left"/>
        <w:rPr>
          <w:rFonts w:ascii="Arial" w:eastAsia="Arial" w:hAnsi="Arial" w:cs="Arial"/>
          <w:bdr w:val="nil"/>
          <w:lang w:eastAsia="en-US" w:bidi="en-US"/>
        </w:rPr>
      </w:pPr>
    </w:p>
    <w:p w14:paraId="71F3EB58" w14:textId="77777777" w:rsidR="00F94357" w:rsidRPr="004A2B84" w:rsidRDefault="003A4815" w:rsidP="00C0051B">
      <w:pPr>
        <w:pBdr>
          <w:top w:val="nil"/>
          <w:left w:val="nil"/>
          <w:bottom w:val="nil"/>
          <w:right w:val="nil"/>
          <w:between w:val="nil"/>
          <w:bar w:val="nil"/>
        </w:pBdr>
        <w:rPr>
          <w:rFonts w:ascii="Arial" w:eastAsia="Arial" w:hAnsi="Arial" w:cs="Arial"/>
          <w:bdr w:val="nil"/>
          <w:lang w:val="en-US"/>
        </w:rPr>
      </w:pPr>
      <w:r w:rsidRPr="004A2B84">
        <w:rPr>
          <w:rFonts w:ascii="Arial" w:eastAsia="Arial" w:hAnsi="Arial" w:cs="Arial"/>
          <w:lang w:val="en-US" w:bidi="en-US"/>
        </w:rPr>
        <w:t xml:space="preserve">We intend to submit any annual report provided to security holders in electronic format as an exhibit to a current report on Form 6-K. </w:t>
      </w:r>
    </w:p>
    <w:p w14:paraId="71F3EB59"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5A" w14:textId="77777777" w:rsidR="001538E3" w:rsidRPr="007F75E5" w:rsidRDefault="003A4815" w:rsidP="007F75E5">
      <w:pPr>
        <w:pStyle w:val="Heading1"/>
        <w:keepLines/>
        <w:pBdr>
          <w:top w:val="nil"/>
          <w:left w:val="nil"/>
          <w:bottom w:val="nil"/>
          <w:right w:val="nil"/>
          <w:between w:val="nil"/>
          <w:bar w:val="nil"/>
        </w:pBdr>
        <w:spacing w:before="0" w:after="0"/>
        <w:jc w:val="both"/>
        <w:rPr>
          <w:rFonts w:ascii="Arial" w:eastAsia="Arial" w:hAnsi="Arial" w:cs="Arial"/>
          <w:iCs/>
          <w:color w:val="auto"/>
          <w:kern w:val="0"/>
          <w:szCs w:val="28"/>
          <w:bdr w:val="nil"/>
          <w:lang w:bidi="en-US"/>
        </w:rPr>
      </w:pPr>
      <w:bookmarkStart w:id="244" w:name="part1_item11"/>
      <w:bookmarkStart w:id="245" w:name="RG_MARKER_23001"/>
      <w:bookmarkStart w:id="246" w:name="RG_MARKER_23000"/>
      <w:bookmarkStart w:id="247" w:name="_Toc222553129"/>
      <w:bookmarkStart w:id="248" w:name="_Toc223262943"/>
      <w:bookmarkEnd w:id="244"/>
      <w:r w:rsidRPr="007F75E5">
        <w:rPr>
          <w:rFonts w:ascii="Arial" w:eastAsia="Arial" w:hAnsi="Arial" w:cs="Arial"/>
          <w:iCs/>
          <w:color w:val="auto"/>
          <w:kern w:val="0"/>
          <w:szCs w:val="28"/>
          <w:lang w:bidi="en-US"/>
        </w:rPr>
        <w:t>Item 11.</w:t>
      </w:r>
      <w:bookmarkEnd w:id="245"/>
      <w:bookmarkEnd w:id="246"/>
      <w:r w:rsidRPr="007F75E5">
        <w:rPr>
          <w:rFonts w:ascii="Arial" w:eastAsia="Arial" w:hAnsi="Arial" w:cs="Arial"/>
          <w:iCs/>
          <w:color w:val="auto"/>
          <w:kern w:val="0"/>
          <w:szCs w:val="28"/>
          <w:lang w:bidi="en-US"/>
        </w:rPr>
        <w:tab/>
        <w:t>Quantitative and Qualitative Disclosures about Market Risk</w:t>
      </w:r>
      <w:bookmarkEnd w:id="247"/>
      <w:bookmarkEnd w:id="248"/>
    </w:p>
    <w:p w14:paraId="71F3EB5B" w14:textId="77777777" w:rsidR="002D042B" w:rsidRPr="007F75E5" w:rsidRDefault="002D042B" w:rsidP="007F75E5">
      <w:pPr>
        <w:keepNext/>
        <w:keepLines/>
        <w:pBdr>
          <w:top w:val="nil"/>
          <w:left w:val="nil"/>
          <w:bottom w:val="nil"/>
          <w:right w:val="nil"/>
          <w:between w:val="nil"/>
          <w:bar w:val="nil"/>
        </w:pBdr>
        <w:jc w:val="both"/>
        <w:rPr>
          <w:rFonts w:ascii="Arial" w:eastAsia="Arial" w:hAnsi="Arial" w:cs="Arial"/>
          <w:bdr w:val="nil"/>
          <w:lang w:val="en-US"/>
        </w:rPr>
      </w:pPr>
    </w:p>
    <w:p w14:paraId="71F3EB5C" w14:textId="77777777" w:rsidR="001538E3" w:rsidRPr="007F75E5" w:rsidRDefault="003A4815" w:rsidP="007F75E5">
      <w:pPr>
        <w:pStyle w:val="Heading3"/>
        <w:keepLines/>
        <w:pBdr>
          <w:top w:val="nil"/>
          <w:left w:val="nil"/>
          <w:bottom w:val="nil"/>
          <w:right w:val="nil"/>
          <w:between w:val="nil"/>
          <w:bar w:val="nil"/>
        </w:pBdr>
        <w:rPr>
          <w:rFonts w:eastAsia="Arial" w:cs="Arial"/>
          <w:i w:val="0"/>
          <w:bdr w:val="nil"/>
          <w:lang w:val="en-US" w:bidi="en-US"/>
        </w:rPr>
      </w:pPr>
      <w:r w:rsidRPr="007F75E5">
        <w:rPr>
          <w:rFonts w:eastAsia="Arial" w:cs="Arial"/>
          <w:i w:val="0"/>
          <w:szCs w:val="22"/>
          <w:lang w:val="en-US" w:bidi="en-US"/>
        </w:rPr>
        <w:t>Interest Rates</w:t>
      </w:r>
    </w:p>
    <w:p w14:paraId="71F3EB5D" w14:textId="77777777" w:rsidR="002D042B" w:rsidRPr="007F75E5" w:rsidRDefault="002D042B" w:rsidP="007F75E5">
      <w:pPr>
        <w:pStyle w:val="Char1"/>
        <w:keepNext/>
        <w:keepLines/>
        <w:widowControl/>
        <w:pBdr>
          <w:top w:val="nil"/>
          <w:left w:val="nil"/>
          <w:bottom w:val="nil"/>
          <w:right w:val="nil"/>
          <w:between w:val="nil"/>
          <w:bar w:val="nil"/>
        </w:pBdr>
        <w:spacing w:before="0" w:after="0"/>
        <w:rPr>
          <w:rFonts w:ascii="Arial" w:eastAsia="Arial" w:hAnsi="Arial" w:cs="Arial"/>
          <w:bdr w:val="nil"/>
          <w:lang w:eastAsia="en-US" w:bidi="en-US"/>
        </w:rPr>
      </w:pPr>
    </w:p>
    <w:p w14:paraId="71F3EB5E" w14:textId="77777777" w:rsidR="009340A1" w:rsidRPr="007F75E5" w:rsidRDefault="003A4815" w:rsidP="007F75E5">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 xml:space="preserve">We are exposed to market risks associated with changes in interest rates </w:t>
      </w:r>
      <w:r w:rsidR="00291A75">
        <w:rPr>
          <w:rFonts w:ascii="Arial" w:eastAsia="Arial" w:hAnsi="Arial" w:cs="Arial"/>
          <w:lang w:val="en-US" w:bidi="en-US"/>
        </w:rPr>
        <w:t>related</w:t>
      </w:r>
      <w:r w:rsidRPr="007F75E5">
        <w:rPr>
          <w:rFonts w:ascii="Arial" w:eastAsia="Arial" w:hAnsi="Arial" w:cs="Arial"/>
          <w:lang w:val="en-US" w:bidi="en-US"/>
        </w:rPr>
        <w:t xml:space="preserve"> to our loan facilities, </w:t>
      </w:r>
      <w:r w:rsidR="00291A75">
        <w:rPr>
          <w:rFonts w:ascii="Arial" w:eastAsia="Arial" w:hAnsi="Arial" w:cs="Arial"/>
          <w:lang w:val="en-US" w:bidi="en-US"/>
        </w:rPr>
        <w:t>under</w:t>
      </w:r>
      <w:r w:rsidRPr="007F75E5">
        <w:rPr>
          <w:rFonts w:ascii="Arial" w:eastAsia="Arial" w:hAnsi="Arial" w:cs="Arial"/>
          <w:lang w:val="en-US" w:bidi="en-US"/>
        </w:rPr>
        <w:t xml:space="preserve"> which we </w:t>
      </w:r>
      <w:r w:rsidR="0014564B">
        <w:rPr>
          <w:rFonts w:ascii="Arial" w:eastAsia="Arial" w:hAnsi="Arial" w:cs="Arial"/>
          <w:lang w:val="en-US" w:bidi="en-US"/>
        </w:rPr>
        <w:t>pay</w:t>
      </w:r>
      <w:r w:rsidRPr="007F75E5">
        <w:rPr>
          <w:rFonts w:ascii="Arial" w:eastAsia="Arial" w:hAnsi="Arial" w:cs="Arial"/>
          <w:lang w:val="en-US" w:bidi="en-US"/>
        </w:rPr>
        <w:t xml:space="preserve"> interest at </w:t>
      </w:r>
      <w:r w:rsidR="0014564B">
        <w:rPr>
          <w:rFonts w:ascii="Arial" w:eastAsia="Arial" w:hAnsi="Arial" w:cs="Arial"/>
          <w:lang w:val="en-US" w:bidi="en-US"/>
        </w:rPr>
        <w:t>term SOFR</w:t>
      </w:r>
      <w:r w:rsidRPr="007F75E5">
        <w:rPr>
          <w:rFonts w:ascii="Arial" w:eastAsia="Arial" w:hAnsi="Arial" w:cs="Arial"/>
          <w:lang w:val="en-US" w:bidi="en-US"/>
        </w:rPr>
        <w:t xml:space="preserve"> plus a margin</w:t>
      </w:r>
      <w:r w:rsidR="0014564B">
        <w:rPr>
          <w:rFonts w:ascii="Arial" w:eastAsia="Arial" w:hAnsi="Arial" w:cs="Arial"/>
          <w:lang w:val="en-US" w:bidi="en-US"/>
        </w:rPr>
        <w:t>. I</w:t>
      </w:r>
      <w:r w:rsidRPr="007F75E5">
        <w:rPr>
          <w:rFonts w:ascii="Arial" w:eastAsia="Arial" w:hAnsi="Arial" w:cs="Arial"/>
          <w:lang w:val="en-US" w:bidi="en-US"/>
        </w:rPr>
        <w:t xml:space="preserve">ncreases in interest rates could </w:t>
      </w:r>
      <w:r w:rsidR="00291A75">
        <w:rPr>
          <w:rFonts w:ascii="Arial" w:eastAsia="Arial" w:hAnsi="Arial" w:cs="Arial"/>
          <w:lang w:val="en-US" w:bidi="en-US"/>
        </w:rPr>
        <w:t xml:space="preserve">adversely </w:t>
      </w:r>
      <w:r w:rsidRPr="007F75E5">
        <w:rPr>
          <w:rFonts w:ascii="Arial" w:eastAsia="Arial" w:hAnsi="Arial" w:cs="Arial"/>
          <w:lang w:val="en-US" w:bidi="en-US"/>
        </w:rPr>
        <w:t xml:space="preserve">affect our results of operations. An increase of 1% in the interest rates of our loan facilities bearing a variable interest rate during 2025, could have increased our interest cost </w:t>
      </w:r>
      <w:r>
        <w:rPr>
          <w:rFonts w:ascii="Arial" w:eastAsia="Arial" w:hAnsi="Arial" w:cs="Arial"/>
          <w:lang w:val="en-US" w:bidi="en-US"/>
        </w:rPr>
        <w:t>by</w:t>
      </w:r>
      <w:r w:rsidRPr="007F75E5">
        <w:rPr>
          <w:rFonts w:ascii="Arial" w:eastAsia="Arial" w:hAnsi="Arial" w:cs="Arial"/>
          <w:lang w:val="en-US" w:bidi="en-US"/>
        </w:rPr>
        <w:t xml:space="preserve"> </w:t>
      </w:r>
      <w:r w:rsidR="00291A75">
        <w:rPr>
          <w:rFonts w:ascii="Arial" w:eastAsia="Arial" w:hAnsi="Arial" w:cs="Arial"/>
          <w:lang w:val="en-US" w:bidi="en-US"/>
        </w:rPr>
        <w:t xml:space="preserve">approximately </w:t>
      </w:r>
      <w:r w:rsidRPr="007F75E5">
        <w:rPr>
          <w:rFonts w:ascii="Arial" w:eastAsia="Arial" w:hAnsi="Arial" w:cs="Arial"/>
          <w:lang w:val="en-US" w:bidi="en-US"/>
        </w:rPr>
        <w:t>$</w:t>
      </w:r>
      <w:r>
        <w:rPr>
          <w:rFonts w:ascii="Arial" w:eastAsia="Arial" w:hAnsi="Arial" w:cs="Arial"/>
          <w:lang w:val="en-US" w:bidi="en-US"/>
        </w:rPr>
        <w:t>3.</w:t>
      </w:r>
      <w:r w:rsidR="00D951A2">
        <w:rPr>
          <w:rFonts w:ascii="Arial" w:eastAsia="Arial" w:hAnsi="Arial" w:cs="Arial"/>
          <w:lang w:val="en-US" w:bidi="en-US"/>
        </w:rPr>
        <w:t>4</w:t>
      </w:r>
      <w:r w:rsidRPr="007F75E5">
        <w:rPr>
          <w:rFonts w:ascii="Arial" w:eastAsia="Arial" w:hAnsi="Arial" w:cs="Arial"/>
          <w:lang w:val="en-US" w:bidi="en-US"/>
        </w:rPr>
        <w:t xml:space="preserve"> million. </w:t>
      </w:r>
    </w:p>
    <w:p w14:paraId="71F3EB5F" w14:textId="77777777" w:rsidR="005B36B6" w:rsidRPr="007F75E5" w:rsidRDefault="005B36B6" w:rsidP="007F75E5">
      <w:pPr>
        <w:pBdr>
          <w:top w:val="nil"/>
          <w:left w:val="nil"/>
          <w:bottom w:val="nil"/>
          <w:right w:val="nil"/>
          <w:between w:val="nil"/>
          <w:bar w:val="nil"/>
        </w:pBdr>
        <w:jc w:val="both"/>
        <w:rPr>
          <w:rFonts w:ascii="Arial" w:eastAsia="Arial" w:hAnsi="Arial" w:cs="Arial"/>
          <w:bdr w:val="nil"/>
          <w:lang w:val="en-US"/>
        </w:rPr>
      </w:pPr>
    </w:p>
    <w:p w14:paraId="71F3EB60" w14:textId="77777777" w:rsidR="0014564B" w:rsidRDefault="003A4815" w:rsidP="0014564B">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 xml:space="preserve">We </w:t>
      </w:r>
      <w:r w:rsidR="00291A75">
        <w:rPr>
          <w:rFonts w:ascii="Arial" w:eastAsia="Arial" w:hAnsi="Arial" w:cs="Arial"/>
          <w:lang w:val="en-US" w:bidi="en-US"/>
        </w:rPr>
        <w:t>expect</w:t>
      </w:r>
      <w:r w:rsidRPr="007F75E5">
        <w:rPr>
          <w:rFonts w:ascii="Arial" w:eastAsia="Arial" w:hAnsi="Arial" w:cs="Arial"/>
          <w:lang w:val="en-US" w:bidi="en-US"/>
        </w:rPr>
        <w:t xml:space="preserve"> </w:t>
      </w:r>
      <w:r w:rsidR="00373DE5">
        <w:rPr>
          <w:rFonts w:ascii="Arial" w:eastAsia="Arial" w:hAnsi="Arial" w:cs="Arial"/>
          <w:lang w:val="en-US" w:bidi="en-US"/>
        </w:rPr>
        <w:t xml:space="preserve">to </w:t>
      </w:r>
      <w:r w:rsidRPr="007F75E5">
        <w:rPr>
          <w:rFonts w:ascii="Arial" w:eastAsia="Arial" w:hAnsi="Arial" w:cs="Arial"/>
          <w:lang w:val="en-US" w:bidi="en-US"/>
        </w:rPr>
        <w:t xml:space="preserve">continue to have debt outstanding, which could impact our results of operations and financial condition. </w:t>
      </w:r>
      <w:r>
        <w:rPr>
          <w:rFonts w:ascii="Arial" w:eastAsia="Arial" w:hAnsi="Arial" w:cs="Arial"/>
          <w:szCs w:val="24"/>
          <w:lang w:val="en-US" w:bidi="en-US"/>
        </w:rPr>
        <w:t xml:space="preserve">We manage our </w:t>
      </w:r>
      <w:r w:rsidR="00373DE5">
        <w:rPr>
          <w:rFonts w:ascii="Arial" w:eastAsia="Arial" w:hAnsi="Arial" w:cs="Arial"/>
          <w:szCs w:val="24"/>
          <w:lang w:val="en-US" w:bidi="en-US"/>
        </w:rPr>
        <w:t xml:space="preserve">interest rate </w:t>
      </w:r>
      <w:r>
        <w:rPr>
          <w:rFonts w:ascii="Arial" w:eastAsia="Arial" w:hAnsi="Arial" w:cs="Arial"/>
          <w:szCs w:val="24"/>
          <w:lang w:val="en-US" w:bidi="en-US"/>
        </w:rPr>
        <w:t>exposure by maintaining a mix of floating and fixed interest rates</w:t>
      </w:r>
      <w:r w:rsidR="00373DE5">
        <w:rPr>
          <w:rFonts w:ascii="Arial" w:eastAsia="Arial" w:hAnsi="Arial" w:cs="Arial"/>
          <w:szCs w:val="24"/>
          <w:lang w:val="en-US" w:bidi="en-US"/>
        </w:rPr>
        <w:t xml:space="preserve"> financing agreements</w:t>
      </w:r>
      <w:r>
        <w:rPr>
          <w:rFonts w:ascii="Arial" w:eastAsia="Arial" w:hAnsi="Arial" w:cs="Arial"/>
          <w:szCs w:val="24"/>
          <w:lang w:val="en-US" w:bidi="en-US"/>
        </w:rPr>
        <w:t xml:space="preserve">. </w:t>
      </w:r>
      <w:r w:rsidR="00373DE5">
        <w:rPr>
          <w:rFonts w:ascii="Arial" w:eastAsia="Arial" w:hAnsi="Arial" w:cs="Arial"/>
          <w:szCs w:val="24"/>
          <w:lang w:val="en-US" w:bidi="en-US"/>
        </w:rPr>
        <w:t>D</w:t>
      </w:r>
      <w:r>
        <w:rPr>
          <w:rFonts w:ascii="Arial" w:eastAsia="Arial" w:hAnsi="Arial" w:cs="Arial"/>
          <w:color w:val="000000"/>
          <w:szCs w:val="24"/>
          <w:lang w:val="en-US" w:bidi="en-US"/>
        </w:rPr>
        <w:t xml:space="preserve">uring 2022, we refinanced </w:t>
      </w:r>
      <w:r w:rsidR="00373DE5">
        <w:rPr>
          <w:rFonts w:ascii="Arial" w:eastAsia="Arial" w:hAnsi="Arial" w:cs="Arial"/>
          <w:color w:val="000000"/>
          <w:szCs w:val="24"/>
          <w:lang w:val="en-US" w:bidi="en-US"/>
        </w:rPr>
        <w:t xml:space="preserve">certain portions </w:t>
      </w:r>
      <w:r>
        <w:rPr>
          <w:rFonts w:ascii="Arial" w:eastAsia="Arial" w:hAnsi="Arial" w:cs="Arial"/>
          <w:color w:val="000000"/>
          <w:szCs w:val="24"/>
          <w:lang w:val="en-US" w:bidi="en-US"/>
        </w:rPr>
        <w:t xml:space="preserve">of our loans </w:t>
      </w:r>
      <w:r w:rsidR="00373DE5">
        <w:rPr>
          <w:rFonts w:ascii="Arial" w:eastAsia="Arial" w:hAnsi="Arial" w:cs="Arial"/>
          <w:color w:val="000000"/>
          <w:szCs w:val="24"/>
          <w:lang w:val="en-US" w:bidi="en-US"/>
        </w:rPr>
        <w:t xml:space="preserve">bearing </w:t>
      </w:r>
      <w:r>
        <w:rPr>
          <w:rFonts w:ascii="Arial" w:eastAsia="Arial" w:hAnsi="Arial" w:cs="Arial"/>
          <w:color w:val="000000"/>
          <w:szCs w:val="24"/>
          <w:lang w:val="en-US" w:bidi="en-US"/>
        </w:rPr>
        <w:t>a floating interest rate</w:t>
      </w:r>
      <w:r w:rsidR="00373DE5">
        <w:rPr>
          <w:rFonts w:ascii="Arial" w:eastAsia="Arial" w:hAnsi="Arial" w:cs="Arial"/>
          <w:color w:val="000000"/>
          <w:szCs w:val="24"/>
          <w:lang w:val="en-US" w:bidi="en-US"/>
        </w:rPr>
        <w:t xml:space="preserve"> through </w:t>
      </w:r>
      <w:r>
        <w:rPr>
          <w:rFonts w:ascii="Arial" w:eastAsia="Arial" w:hAnsi="Arial" w:cs="Arial"/>
          <w:color w:val="000000"/>
          <w:szCs w:val="24"/>
          <w:lang w:val="en-US" w:bidi="en-US"/>
        </w:rPr>
        <w:t xml:space="preserve">sale and leaseback transactions with fixed rates. </w:t>
      </w:r>
      <w:r w:rsidR="00373DE5">
        <w:rPr>
          <w:rFonts w:ascii="Arial" w:eastAsia="Arial" w:hAnsi="Arial" w:cs="Arial"/>
          <w:color w:val="000000"/>
          <w:szCs w:val="24"/>
          <w:lang w:val="en-US" w:bidi="en-US"/>
        </w:rPr>
        <w:t>I</w:t>
      </w:r>
      <w:r>
        <w:rPr>
          <w:rFonts w:ascii="Arial" w:eastAsia="Arial" w:hAnsi="Arial" w:cs="Arial"/>
          <w:color w:val="000000"/>
          <w:szCs w:val="24"/>
          <w:lang w:val="en-US" w:bidi="en-US"/>
        </w:rPr>
        <w:t>n 2023, we entered into an interest rate swap for $</w:t>
      </w:r>
      <w:r>
        <w:rPr>
          <w:rFonts w:ascii="Arial" w:eastAsia="Arial" w:hAnsi="Arial" w:cs="Arial"/>
          <w:szCs w:val="24"/>
          <w:lang w:val="en-US" w:bidi="en-US"/>
        </w:rPr>
        <w:t xml:space="preserve">30 million under which we pay fixed interest and receive floating. Through these agreements and our bond, </w:t>
      </w:r>
      <w:r w:rsidR="00373DE5">
        <w:rPr>
          <w:rFonts w:ascii="Arial" w:eastAsia="Arial" w:hAnsi="Arial" w:cs="Arial"/>
          <w:szCs w:val="24"/>
          <w:lang w:val="en-US" w:bidi="en-US"/>
        </w:rPr>
        <w:t xml:space="preserve">which </w:t>
      </w:r>
      <w:r>
        <w:rPr>
          <w:rFonts w:ascii="Arial" w:eastAsia="Arial" w:hAnsi="Arial" w:cs="Arial"/>
          <w:szCs w:val="24"/>
          <w:lang w:val="en-US" w:bidi="en-US"/>
        </w:rPr>
        <w:t>also bear</w:t>
      </w:r>
      <w:r w:rsidR="00373DE5">
        <w:rPr>
          <w:rFonts w:ascii="Arial" w:eastAsia="Arial" w:hAnsi="Arial" w:cs="Arial"/>
          <w:szCs w:val="24"/>
          <w:lang w:val="en-US" w:bidi="en-US"/>
        </w:rPr>
        <w:t>s a</w:t>
      </w:r>
      <w:r>
        <w:rPr>
          <w:rFonts w:ascii="Arial" w:eastAsia="Arial" w:hAnsi="Arial" w:cs="Arial"/>
          <w:szCs w:val="24"/>
          <w:lang w:val="en-US" w:bidi="en-US"/>
        </w:rPr>
        <w:t xml:space="preserve"> fixed interest rate, we manage </w:t>
      </w:r>
      <w:r w:rsidR="00373DE5">
        <w:rPr>
          <w:rFonts w:ascii="Arial" w:eastAsia="Arial" w:hAnsi="Arial" w:cs="Arial"/>
          <w:szCs w:val="24"/>
          <w:lang w:val="en-US" w:bidi="en-US"/>
        </w:rPr>
        <w:t xml:space="preserve">a portion </w:t>
      </w:r>
      <w:r>
        <w:rPr>
          <w:rFonts w:ascii="Arial" w:eastAsia="Arial" w:hAnsi="Arial" w:cs="Arial"/>
          <w:szCs w:val="24"/>
          <w:lang w:val="en-US" w:bidi="en-US"/>
        </w:rPr>
        <w:t xml:space="preserve">of our exposure </w:t>
      </w:r>
      <w:r w:rsidR="00373DE5">
        <w:rPr>
          <w:rFonts w:ascii="Arial" w:eastAsia="Arial" w:hAnsi="Arial" w:cs="Arial"/>
          <w:szCs w:val="24"/>
          <w:lang w:val="en-US" w:bidi="en-US"/>
        </w:rPr>
        <w:t xml:space="preserve">to </w:t>
      </w:r>
      <w:r>
        <w:rPr>
          <w:rFonts w:ascii="Arial" w:eastAsia="Arial" w:hAnsi="Arial" w:cs="Arial"/>
          <w:szCs w:val="24"/>
          <w:lang w:val="en-US" w:bidi="en-US"/>
        </w:rPr>
        <w:t xml:space="preserve">interest rates </w:t>
      </w:r>
      <w:r w:rsidR="00373DE5">
        <w:rPr>
          <w:rFonts w:ascii="Arial" w:eastAsia="Arial" w:hAnsi="Arial" w:cs="Arial"/>
          <w:szCs w:val="24"/>
          <w:lang w:val="en-US" w:bidi="en-US"/>
        </w:rPr>
        <w:t xml:space="preserve">associated with </w:t>
      </w:r>
      <w:r>
        <w:rPr>
          <w:rFonts w:ascii="Arial" w:eastAsia="Arial" w:hAnsi="Arial" w:cs="Arial"/>
          <w:szCs w:val="24"/>
          <w:lang w:val="en-US" w:bidi="en-US"/>
        </w:rPr>
        <w:t xml:space="preserve">the remaining agreements </w:t>
      </w:r>
      <w:r w:rsidR="00373DE5">
        <w:rPr>
          <w:rFonts w:ascii="Arial" w:eastAsia="Arial" w:hAnsi="Arial" w:cs="Arial"/>
          <w:szCs w:val="24"/>
          <w:lang w:val="en-US" w:bidi="en-US"/>
        </w:rPr>
        <w:t xml:space="preserve">that </w:t>
      </w:r>
      <w:r>
        <w:rPr>
          <w:rFonts w:ascii="Arial" w:eastAsia="Arial" w:hAnsi="Arial" w:cs="Arial"/>
          <w:szCs w:val="24"/>
          <w:lang w:val="en-US" w:bidi="en-US"/>
        </w:rPr>
        <w:t>bear floating interest rates.</w:t>
      </w:r>
    </w:p>
    <w:p w14:paraId="71F3EB61" w14:textId="77777777" w:rsidR="00AF26DB" w:rsidRPr="007F75E5" w:rsidRDefault="00AF26DB" w:rsidP="007F75E5">
      <w:pPr>
        <w:pBdr>
          <w:top w:val="nil"/>
          <w:left w:val="nil"/>
          <w:bottom w:val="nil"/>
          <w:right w:val="nil"/>
          <w:between w:val="nil"/>
          <w:bar w:val="nil"/>
        </w:pBdr>
        <w:jc w:val="both"/>
        <w:rPr>
          <w:rFonts w:ascii="Arial" w:eastAsia="Arial" w:hAnsi="Arial" w:cs="Arial"/>
          <w:bdr w:val="nil"/>
          <w:lang w:val="en-US"/>
        </w:rPr>
      </w:pPr>
    </w:p>
    <w:p w14:paraId="71F3EB62" w14:textId="77777777" w:rsidR="00692B35" w:rsidRPr="007F75E5" w:rsidRDefault="003A4815" w:rsidP="007F75E5">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As of December 31, 2025, 2024 and 2023</w:t>
      </w:r>
      <w:r w:rsidR="0014564B">
        <w:rPr>
          <w:rFonts w:ascii="Arial" w:eastAsia="Arial" w:hAnsi="Arial" w:cs="Arial"/>
          <w:lang w:val="en-US" w:bidi="en-US"/>
        </w:rPr>
        <w:t xml:space="preserve">, </w:t>
      </w:r>
      <w:r w:rsidRPr="007F75E5">
        <w:rPr>
          <w:rFonts w:ascii="Arial" w:eastAsia="Arial" w:hAnsi="Arial" w:cs="Arial"/>
          <w:lang w:val="en-US" w:bidi="en-US"/>
        </w:rPr>
        <w:t xml:space="preserve">and as of the date of this annual report, we did not and have not designated any financial instruments as accounting hedging instruments. </w:t>
      </w:r>
    </w:p>
    <w:p w14:paraId="71F3EB63" w14:textId="77777777" w:rsidR="00E41364" w:rsidRPr="007F75E5" w:rsidRDefault="003A4815" w:rsidP="007F75E5">
      <w:pPr>
        <w:pStyle w:val="Heading4"/>
        <w:keepNext w:val="0"/>
        <w:pBdr>
          <w:top w:val="nil"/>
          <w:left w:val="nil"/>
          <w:bottom w:val="nil"/>
          <w:right w:val="nil"/>
          <w:between w:val="nil"/>
          <w:bar w:val="nil"/>
        </w:pBdr>
        <w:tabs>
          <w:tab w:val="left" w:pos="5580"/>
        </w:tabs>
        <w:rPr>
          <w:rFonts w:ascii="Arial" w:eastAsia="Arial" w:hAnsi="Arial" w:cs="Arial"/>
          <w:i w:val="0"/>
          <w:szCs w:val="22"/>
          <w:bdr w:val="nil"/>
          <w:lang w:val="en-US" w:bidi="en-US"/>
        </w:rPr>
      </w:pPr>
      <w:r w:rsidRPr="007F75E5">
        <w:rPr>
          <w:rFonts w:ascii="Arial" w:eastAsia="Arial" w:hAnsi="Arial" w:cs="Arial"/>
          <w:i w:val="0"/>
          <w:szCs w:val="22"/>
          <w:lang w:val="en-US" w:bidi="en-US"/>
        </w:rPr>
        <w:tab/>
      </w:r>
    </w:p>
    <w:p w14:paraId="71F3EB64" w14:textId="77777777" w:rsidR="001538E3" w:rsidRPr="007F75E5" w:rsidRDefault="003A4815" w:rsidP="007F75E5">
      <w:pPr>
        <w:pStyle w:val="Heading3"/>
        <w:keepLines/>
        <w:pBdr>
          <w:top w:val="nil"/>
          <w:left w:val="nil"/>
          <w:bottom w:val="nil"/>
          <w:right w:val="nil"/>
          <w:between w:val="nil"/>
          <w:bar w:val="nil"/>
        </w:pBdr>
        <w:rPr>
          <w:rFonts w:eastAsia="Arial" w:cs="Arial"/>
          <w:i w:val="0"/>
          <w:bdr w:val="nil"/>
          <w:lang w:val="en-US" w:bidi="en-US"/>
        </w:rPr>
      </w:pPr>
      <w:r w:rsidRPr="007F75E5">
        <w:rPr>
          <w:rFonts w:eastAsia="Arial" w:cs="Arial"/>
          <w:i w:val="0"/>
          <w:szCs w:val="22"/>
          <w:lang w:val="en-US" w:bidi="en-US"/>
        </w:rPr>
        <w:t>Currency and Exchange Rates</w:t>
      </w:r>
    </w:p>
    <w:p w14:paraId="71F3EB65" w14:textId="77777777" w:rsidR="002D042B" w:rsidRPr="007F75E5" w:rsidRDefault="002D042B" w:rsidP="007F75E5">
      <w:pPr>
        <w:pStyle w:val="Char1"/>
        <w:keepNext/>
        <w:keepLines/>
        <w:widowControl/>
        <w:pBdr>
          <w:top w:val="nil"/>
          <w:left w:val="nil"/>
          <w:bottom w:val="nil"/>
          <w:right w:val="nil"/>
          <w:between w:val="nil"/>
          <w:bar w:val="nil"/>
        </w:pBdr>
        <w:spacing w:before="0" w:after="0"/>
        <w:rPr>
          <w:rFonts w:ascii="Arial" w:eastAsia="Arial" w:hAnsi="Arial" w:cs="Arial"/>
          <w:bdr w:val="nil"/>
          <w:lang w:eastAsia="en-US" w:bidi="en-US"/>
        </w:rPr>
      </w:pPr>
    </w:p>
    <w:p w14:paraId="71F3EB66" w14:textId="77777777" w:rsidR="00AC3B37" w:rsidRPr="007F75E5" w:rsidRDefault="003A4815" w:rsidP="007F75E5">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 xml:space="preserve">We generate all of our revenues in U.S. dollars but incur less than half of our operating expenses (30% in 2025 and </w:t>
      </w:r>
      <w:r w:rsidR="00722981">
        <w:rPr>
          <w:rFonts w:ascii="Arial" w:eastAsia="Arial" w:hAnsi="Arial" w:cs="Arial"/>
          <w:lang w:val="en-US" w:bidi="en-US"/>
        </w:rPr>
        <w:t>29</w:t>
      </w:r>
      <w:r w:rsidRPr="007F75E5">
        <w:rPr>
          <w:rFonts w:ascii="Arial" w:eastAsia="Arial" w:hAnsi="Arial" w:cs="Arial"/>
          <w:lang w:val="en-US" w:bidi="en-US"/>
        </w:rPr>
        <w:t xml:space="preserve">% in 2024) and </w:t>
      </w:r>
      <w:r w:rsidR="00373DE5">
        <w:rPr>
          <w:rFonts w:ascii="Arial" w:eastAsia="Arial" w:hAnsi="Arial" w:cs="Arial"/>
          <w:lang w:val="en-US" w:bidi="en-US"/>
        </w:rPr>
        <w:t>approximately</w:t>
      </w:r>
      <w:r w:rsidRPr="007F75E5">
        <w:rPr>
          <w:rFonts w:ascii="Arial" w:eastAsia="Arial" w:hAnsi="Arial" w:cs="Arial"/>
          <w:lang w:val="en-US" w:bidi="en-US"/>
        </w:rPr>
        <w:t xml:space="preserve"> half of our general and administrative expenses (49% in 2025 and </w:t>
      </w:r>
      <w:r>
        <w:rPr>
          <w:rFonts w:ascii="Arial" w:eastAsia="Arial" w:hAnsi="Arial" w:cs="Arial"/>
          <w:lang w:val="en-US" w:bidi="en-US"/>
        </w:rPr>
        <w:t>4</w:t>
      </w:r>
      <w:r w:rsidR="005C3980">
        <w:rPr>
          <w:rFonts w:ascii="Arial" w:eastAsia="Arial" w:hAnsi="Arial" w:cs="Arial"/>
          <w:lang w:val="en-US" w:bidi="en-US"/>
        </w:rPr>
        <w:t>6</w:t>
      </w:r>
      <w:r w:rsidRPr="007F75E5">
        <w:rPr>
          <w:rFonts w:ascii="Arial" w:eastAsia="Arial" w:hAnsi="Arial" w:cs="Arial"/>
          <w:lang w:val="en-US" w:bidi="en-US"/>
        </w:rPr>
        <w:t xml:space="preserve">% in 2024) in currencies other than the U.S. dollar, primarily the Euro. For accounting purposes, expenses incurred in Euros </w:t>
      </w:r>
      <w:r w:rsidR="00292D6A">
        <w:rPr>
          <w:rFonts w:ascii="Arial" w:eastAsia="Arial" w:hAnsi="Arial" w:cs="Arial"/>
          <w:lang w:val="en-US" w:bidi="en-US"/>
        </w:rPr>
        <w:t>are</w:t>
      </w:r>
      <w:r w:rsidRPr="007F75E5">
        <w:rPr>
          <w:rFonts w:ascii="Arial" w:eastAsia="Arial" w:hAnsi="Arial" w:cs="Arial"/>
          <w:lang w:val="en-US" w:bidi="en-US"/>
        </w:rPr>
        <w:t xml:space="preserve"> </w:t>
      </w:r>
      <w:r w:rsidR="000E69D4">
        <w:rPr>
          <w:rFonts w:ascii="Arial" w:eastAsia="Arial" w:hAnsi="Arial" w:cs="Arial"/>
          <w:lang w:val="en-US" w:bidi="en-US"/>
        </w:rPr>
        <w:t>translated</w:t>
      </w:r>
      <w:r w:rsidRPr="007F75E5">
        <w:rPr>
          <w:rFonts w:ascii="Arial" w:eastAsia="Arial" w:hAnsi="Arial" w:cs="Arial"/>
          <w:lang w:val="en-US" w:bidi="en-US"/>
        </w:rPr>
        <w:t xml:space="preserve"> into U.S. dollars at the exchange rate prevailing on the date of each transaction. Because a significant portion of our expenses are incurred in currencies other than the U.S. dollar, our expenses may from time to time increase relative to our revenues as a result of fluctuations in exchange rates, particularly between the U.S. dollar and the Euro, which could affect our results of operations in future periods. Currently, we do not consider </w:t>
      </w:r>
      <w:r w:rsidR="000E69D4">
        <w:rPr>
          <w:rFonts w:ascii="Arial" w:eastAsia="Arial" w:hAnsi="Arial" w:cs="Arial"/>
          <w:lang w:val="en-US" w:bidi="en-US"/>
        </w:rPr>
        <w:t xml:space="preserve">this </w:t>
      </w:r>
      <w:r w:rsidRPr="007F75E5">
        <w:rPr>
          <w:rFonts w:ascii="Arial" w:eastAsia="Arial" w:hAnsi="Arial" w:cs="Arial"/>
          <w:lang w:val="en-US" w:bidi="en-US"/>
        </w:rPr>
        <w:t xml:space="preserve">risk to be material </w:t>
      </w:r>
      <w:r w:rsidR="000E69D4">
        <w:rPr>
          <w:rFonts w:ascii="Arial" w:eastAsia="Arial" w:hAnsi="Arial" w:cs="Arial"/>
          <w:lang w:val="en-US" w:bidi="en-US"/>
        </w:rPr>
        <w:t xml:space="preserve">to </w:t>
      </w:r>
      <w:r w:rsidRPr="007F75E5">
        <w:rPr>
          <w:rFonts w:ascii="Arial" w:eastAsia="Arial" w:hAnsi="Arial" w:cs="Arial"/>
          <w:lang w:val="en-US" w:bidi="en-US"/>
        </w:rPr>
        <w:t xml:space="preserve">our results of operations, as </w:t>
      </w:r>
      <w:r w:rsidR="000E69D4">
        <w:rPr>
          <w:rFonts w:ascii="Arial" w:eastAsia="Arial" w:hAnsi="Arial" w:cs="Arial"/>
          <w:lang w:val="en-US" w:bidi="en-US"/>
        </w:rPr>
        <w:t xml:space="preserve">in </w:t>
      </w:r>
      <w:r w:rsidRPr="007F75E5">
        <w:rPr>
          <w:rFonts w:ascii="Arial" w:eastAsia="Arial" w:hAnsi="Arial" w:cs="Arial"/>
          <w:lang w:val="en-US" w:bidi="en-US"/>
        </w:rPr>
        <w:t xml:space="preserve">2025 and 2024, non-US dollar expenses represented 19% and </w:t>
      </w:r>
      <w:r>
        <w:rPr>
          <w:rFonts w:ascii="Arial" w:eastAsia="Arial" w:hAnsi="Arial" w:cs="Arial"/>
          <w:lang w:val="en-US" w:bidi="en-US"/>
        </w:rPr>
        <w:t>1</w:t>
      </w:r>
      <w:r w:rsidR="005C3980">
        <w:rPr>
          <w:rFonts w:ascii="Arial" w:eastAsia="Arial" w:hAnsi="Arial" w:cs="Arial"/>
          <w:lang w:val="en-US" w:bidi="en-US"/>
        </w:rPr>
        <w:t>7</w:t>
      </w:r>
      <w:r w:rsidRPr="007F75E5">
        <w:rPr>
          <w:rFonts w:ascii="Arial" w:eastAsia="Arial" w:hAnsi="Arial" w:cs="Arial"/>
          <w:lang w:val="en-US" w:bidi="en-US"/>
        </w:rPr>
        <w:t>%, respectively of our revenues</w:t>
      </w:r>
      <w:r w:rsidR="000E69D4">
        <w:rPr>
          <w:rFonts w:ascii="Arial" w:eastAsia="Arial" w:hAnsi="Arial" w:cs="Arial"/>
          <w:lang w:val="en-US" w:bidi="en-US"/>
        </w:rPr>
        <w:t xml:space="preserve">. Accordingly, </w:t>
      </w:r>
      <w:r w:rsidRPr="007F75E5">
        <w:rPr>
          <w:rFonts w:ascii="Arial" w:eastAsia="Arial" w:hAnsi="Arial" w:cs="Arial"/>
          <w:lang w:val="en-US" w:bidi="en-US"/>
        </w:rPr>
        <w:t xml:space="preserve">we </w:t>
      </w:r>
      <w:r w:rsidR="000E69D4">
        <w:rPr>
          <w:rFonts w:ascii="Arial" w:eastAsia="Arial" w:hAnsi="Arial" w:cs="Arial"/>
          <w:lang w:val="en-US" w:bidi="en-US"/>
        </w:rPr>
        <w:t xml:space="preserve">have </w:t>
      </w:r>
      <w:r w:rsidRPr="007F75E5">
        <w:rPr>
          <w:rFonts w:ascii="Arial" w:eastAsia="Arial" w:hAnsi="Arial" w:cs="Arial"/>
          <w:lang w:val="en-US" w:bidi="en-US"/>
        </w:rPr>
        <w:t xml:space="preserve">not </w:t>
      </w:r>
      <w:r w:rsidR="000E69D4">
        <w:rPr>
          <w:rFonts w:ascii="Arial" w:eastAsia="Arial" w:hAnsi="Arial" w:cs="Arial"/>
          <w:lang w:val="en-US" w:bidi="en-US"/>
        </w:rPr>
        <w:t xml:space="preserve">entered into </w:t>
      </w:r>
      <w:r w:rsidRPr="007F75E5">
        <w:rPr>
          <w:rFonts w:ascii="Arial" w:eastAsia="Arial" w:hAnsi="Arial" w:cs="Arial"/>
          <w:lang w:val="en-US" w:bidi="en-US"/>
        </w:rPr>
        <w:t>derivative instruments to hedge th</w:t>
      </w:r>
      <w:r w:rsidR="000E69D4">
        <w:rPr>
          <w:rFonts w:ascii="Arial" w:eastAsia="Arial" w:hAnsi="Arial" w:cs="Arial"/>
          <w:lang w:val="en-US" w:bidi="en-US"/>
        </w:rPr>
        <w:t>i</w:t>
      </w:r>
      <w:r w:rsidRPr="007F75E5">
        <w:rPr>
          <w:rFonts w:ascii="Arial" w:eastAsia="Arial" w:hAnsi="Arial" w:cs="Arial"/>
          <w:lang w:val="en-US" w:bidi="en-US"/>
        </w:rPr>
        <w:t>s</w:t>
      </w:r>
      <w:r w:rsidR="000E69D4">
        <w:rPr>
          <w:rFonts w:ascii="Arial" w:eastAsia="Arial" w:hAnsi="Arial" w:cs="Arial"/>
          <w:lang w:val="en-US" w:bidi="en-US"/>
        </w:rPr>
        <w:t xml:space="preserve"> exposure</w:t>
      </w:r>
      <w:r w:rsidRPr="007F75E5">
        <w:rPr>
          <w:rFonts w:ascii="Arial" w:eastAsia="Arial" w:hAnsi="Arial" w:cs="Arial"/>
          <w:lang w:val="en-US" w:bidi="en-US"/>
        </w:rPr>
        <w:t xml:space="preserve">. </w:t>
      </w:r>
    </w:p>
    <w:p w14:paraId="71F3EB67" w14:textId="77777777" w:rsidR="00AC3B37" w:rsidRPr="007F75E5" w:rsidRDefault="003A4815" w:rsidP="007F75E5">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ab/>
      </w:r>
    </w:p>
    <w:p w14:paraId="71F3EB68" w14:textId="77777777" w:rsidR="001538E3" w:rsidRPr="007F75E5" w:rsidRDefault="003A4815" w:rsidP="007F75E5">
      <w:pPr>
        <w:pBdr>
          <w:top w:val="nil"/>
          <w:left w:val="nil"/>
          <w:bottom w:val="nil"/>
          <w:right w:val="nil"/>
          <w:between w:val="nil"/>
          <w:bar w:val="nil"/>
        </w:pBdr>
        <w:jc w:val="both"/>
        <w:rPr>
          <w:rFonts w:ascii="Arial" w:eastAsia="Arial" w:hAnsi="Arial" w:cs="Arial"/>
          <w:bdr w:val="nil"/>
          <w:lang w:val="en-US"/>
        </w:rPr>
      </w:pPr>
      <w:r w:rsidRPr="007F75E5">
        <w:rPr>
          <w:rFonts w:ascii="Arial" w:eastAsia="Arial" w:hAnsi="Arial" w:cs="Arial"/>
          <w:lang w:val="en-US" w:bidi="en-US"/>
        </w:rPr>
        <w:t>While we historically have not mitigated the risk associated with exchange rate fluctuations through the use of financial derivatives, we may determine to employ such instruments from time to time in the future</w:t>
      </w:r>
      <w:r w:rsidR="000E69D4">
        <w:rPr>
          <w:rFonts w:ascii="Arial" w:eastAsia="Arial" w:hAnsi="Arial" w:cs="Arial"/>
          <w:lang w:val="en-US" w:bidi="en-US"/>
        </w:rPr>
        <w:t xml:space="preserve"> </w:t>
      </w:r>
      <w:r w:rsidRPr="007F75E5">
        <w:rPr>
          <w:rFonts w:ascii="Arial" w:eastAsia="Arial" w:hAnsi="Arial" w:cs="Arial"/>
          <w:lang w:val="en-US" w:bidi="en-US"/>
        </w:rPr>
        <w:t xml:space="preserve">to minimize this risk. Our use of financial derivatives would involve certain risks, including the risk that losses on a hedged position could exceed the nominal amount invested in the instrument and the risk that the counterparty to the derivative transaction may be unable or unwilling to satisfy its contractual obligations, which could have an adverse effect on our results. </w:t>
      </w:r>
    </w:p>
    <w:p w14:paraId="71F3EB69"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6A" w14:textId="77777777" w:rsidR="00476585" w:rsidRPr="003034B1" w:rsidRDefault="003A4815" w:rsidP="003034B1">
      <w:pPr>
        <w:pStyle w:val="Heading1"/>
        <w:keepLines/>
        <w:pBdr>
          <w:top w:val="nil"/>
          <w:left w:val="nil"/>
          <w:bottom w:val="nil"/>
          <w:right w:val="nil"/>
          <w:between w:val="nil"/>
          <w:bar w:val="nil"/>
        </w:pBdr>
        <w:spacing w:before="0" w:after="0"/>
        <w:rPr>
          <w:rFonts w:ascii="Arial" w:eastAsia="Arial" w:hAnsi="Arial" w:cs="Arial"/>
          <w:iCs/>
          <w:color w:val="auto"/>
          <w:kern w:val="0"/>
          <w:szCs w:val="28"/>
          <w:bdr w:val="nil"/>
          <w:lang w:bidi="en-US"/>
        </w:rPr>
      </w:pPr>
      <w:bookmarkStart w:id="249" w:name="part1_item12"/>
      <w:bookmarkStart w:id="250" w:name="RG_MARKER_23003"/>
      <w:bookmarkStart w:id="251" w:name="RG_MARKER_23002"/>
      <w:bookmarkStart w:id="252" w:name="_Toc222553130"/>
      <w:bookmarkStart w:id="253" w:name="_Toc223262944"/>
      <w:bookmarkStart w:id="254" w:name="_Toc103668644"/>
      <w:bookmarkEnd w:id="249"/>
      <w:r w:rsidRPr="003034B1">
        <w:rPr>
          <w:rFonts w:ascii="Arial" w:eastAsia="Arial" w:hAnsi="Arial" w:cs="Arial"/>
          <w:iCs/>
          <w:color w:val="auto"/>
          <w:kern w:val="0"/>
          <w:szCs w:val="28"/>
          <w:lang w:bidi="en-US"/>
        </w:rPr>
        <w:t>Item 12.</w:t>
      </w:r>
      <w:bookmarkEnd w:id="250"/>
      <w:bookmarkEnd w:id="251"/>
      <w:r w:rsidRPr="003034B1">
        <w:rPr>
          <w:rFonts w:ascii="Arial" w:eastAsia="Arial" w:hAnsi="Arial" w:cs="Arial"/>
          <w:iCs/>
          <w:color w:val="auto"/>
          <w:kern w:val="0"/>
          <w:szCs w:val="28"/>
          <w:lang w:bidi="en-US"/>
        </w:rPr>
        <w:tab/>
        <w:t>Description of Securities Other than Equity Securities</w:t>
      </w:r>
      <w:bookmarkEnd w:id="252"/>
      <w:bookmarkEnd w:id="253"/>
      <w:bookmarkEnd w:id="254"/>
    </w:p>
    <w:p w14:paraId="71F3EB6B" w14:textId="77777777" w:rsidR="00BF0D9E" w:rsidRPr="003034B1" w:rsidRDefault="00BF0D9E" w:rsidP="003034B1">
      <w:pPr>
        <w:pStyle w:val="Char1"/>
        <w:keepNext/>
        <w:keepLines/>
        <w:widowControl/>
        <w:pBdr>
          <w:top w:val="nil"/>
          <w:left w:val="nil"/>
          <w:bottom w:val="nil"/>
          <w:right w:val="nil"/>
          <w:between w:val="nil"/>
          <w:bar w:val="nil"/>
        </w:pBdr>
        <w:spacing w:before="0" w:after="0"/>
        <w:jc w:val="left"/>
        <w:rPr>
          <w:rFonts w:ascii="Arial" w:eastAsia="Arial" w:hAnsi="Arial" w:cs="Arial"/>
          <w:bdr w:val="nil"/>
          <w:lang w:eastAsia="en-US" w:bidi="en-US"/>
        </w:rPr>
      </w:pPr>
    </w:p>
    <w:p w14:paraId="71F3EB6C" w14:textId="77777777" w:rsidR="00476585" w:rsidRPr="003034B1" w:rsidRDefault="003A4815" w:rsidP="003034B1">
      <w:pPr>
        <w:pBdr>
          <w:top w:val="nil"/>
          <w:left w:val="nil"/>
          <w:bottom w:val="nil"/>
          <w:right w:val="nil"/>
          <w:between w:val="nil"/>
          <w:bar w:val="nil"/>
        </w:pBdr>
        <w:jc w:val="both"/>
        <w:rPr>
          <w:rFonts w:ascii="Arial" w:eastAsia="Arial" w:hAnsi="Arial" w:cs="Arial"/>
          <w:bdr w:val="nil"/>
          <w:lang w:val="en-US"/>
        </w:rPr>
      </w:pPr>
      <w:r w:rsidRPr="003034B1">
        <w:rPr>
          <w:rFonts w:ascii="Arial" w:eastAsia="Arial" w:hAnsi="Arial" w:cs="Arial"/>
          <w:lang w:val="en-US" w:bidi="en-US"/>
        </w:rPr>
        <w:t>Not Applicable.</w:t>
      </w:r>
    </w:p>
    <w:p w14:paraId="71F3EB6D" w14:textId="77777777" w:rsidR="00B12DA3" w:rsidRPr="001A11AF" w:rsidRDefault="003A4815" w:rsidP="0080008C">
      <w:pPr>
        <w:pStyle w:val="Title"/>
        <w:keepNext/>
        <w:keepLines/>
        <w:pageBreakBefore/>
        <w:pBdr>
          <w:top w:val="nil"/>
          <w:left w:val="nil"/>
          <w:bottom w:val="nil"/>
          <w:right w:val="nil"/>
          <w:between w:val="nil"/>
          <w:bar w:val="nil"/>
        </w:pBdr>
        <w:spacing w:after="240" w:line="240" w:lineRule="auto"/>
        <w:rPr>
          <w:rFonts w:ascii="Arial" w:eastAsia="Arial" w:hAnsi="Arial" w:cs="Arial"/>
          <w:kern w:val="32"/>
          <w:szCs w:val="22"/>
          <w:bdr w:val="nil"/>
          <w:lang w:bidi="en-US"/>
        </w:rPr>
      </w:pPr>
      <w:bookmarkStart w:id="255" w:name="part2"/>
      <w:bookmarkStart w:id="256" w:name="RG_MARKER_23005"/>
      <w:bookmarkStart w:id="257" w:name="RG_MARKER_23004"/>
      <w:bookmarkStart w:id="258" w:name="_Toc222553131"/>
      <w:bookmarkStart w:id="259" w:name="_Toc223262945"/>
      <w:bookmarkEnd w:id="255"/>
      <w:r w:rsidRPr="001A11AF">
        <w:rPr>
          <w:rFonts w:ascii="Arial" w:eastAsia="Arial" w:hAnsi="Arial" w:cs="Arial"/>
          <w:kern w:val="32"/>
          <w:sz w:val="32"/>
          <w:szCs w:val="22"/>
          <w:lang w:bidi="en-US"/>
        </w:rPr>
        <w:t>PART II</w:t>
      </w:r>
      <w:bookmarkEnd w:id="256"/>
      <w:bookmarkEnd w:id="257"/>
      <w:bookmarkEnd w:id="258"/>
      <w:bookmarkEnd w:id="259"/>
    </w:p>
    <w:p w14:paraId="71F3EB6E" w14:textId="77777777" w:rsidR="0080008C" w:rsidRPr="0080008C" w:rsidRDefault="0080008C" w:rsidP="0080008C">
      <w:pPr>
        <w:keepNext/>
        <w:keepLines/>
        <w:pBdr>
          <w:top w:val="nil"/>
          <w:left w:val="nil"/>
          <w:bottom w:val="nil"/>
          <w:right w:val="nil"/>
          <w:between w:val="nil"/>
          <w:bar w:val="nil"/>
        </w:pBdr>
        <w:rPr>
          <w:rFonts w:ascii="Arial" w:eastAsia="Arial" w:hAnsi="Arial" w:cs="Arial"/>
          <w:bdr w:val="nil"/>
          <w:lang w:val="en-US"/>
        </w:rPr>
      </w:pPr>
    </w:p>
    <w:p w14:paraId="71F3EB6F" w14:textId="77777777" w:rsidR="0062268F" w:rsidRPr="004D039F" w:rsidRDefault="003A4815" w:rsidP="004D039F">
      <w:pPr>
        <w:pStyle w:val="Heading1"/>
        <w:keepLines/>
        <w:pBdr>
          <w:top w:val="nil"/>
          <w:left w:val="nil"/>
          <w:bottom w:val="nil"/>
          <w:right w:val="nil"/>
          <w:between w:val="nil"/>
          <w:bar w:val="nil"/>
        </w:pBdr>
        <w:spacing w:before="0" w:after="0"/>
        <w:rPr>
          <w:rFonts w:ascii="Arial" w:eastAsia="Arial" w:hAnsi="Arial" w:cs="Arial"/>
          <w:iCs/>
          <w:color w:val="auto"/>
          <w:kern w:val="0"/>
          <w:szCs w:val="28"/>
          <w:bdr w:val="nil"/>
          <w:lang w:bidi="en-US"/>
        </w:rPr>
      </w:pPr>
      <w:bookmarkStart w:id="260" w:name="part2item13"/>
      <w:bookmarkStart w:id="261" w:name="RG_MARKER_23007"/>
      <w:bookmarkStart w:id="262" w:name="RG_MARKER_23006"/>
      <w:bookmarkStart w:id="263" w:name="_Toc222553132"/>
      <w:bookmarkStart w:id="264" w:name="_Toc223262946"/>
      <w:bookmarkStart w:id="265" w:name="_Toc103668646"/>
      <w:bookmarkEnd w:id="260"/>
      <w:r w:rsidRPr="004D039F">
        <w:rPr>
          <w:rFonts w:ascii="Arial" w:eastAsia="Arial" w:hAnsi="Arial" w:cs="Arial"/>
          <w:iCs/>
          <w:color w:val="auto"/>
          <w:kern w:val="0"/>
          <w:szCs w:val="28"/>
          <w:lang w:bidi="en-US"/>
        </w:rPr>
        <w:t>Item 13.</w:t>
      </w:r>
      <w:bookmarkEnd w:id="261"/>
      <w:bookmarkEnd w:id="262"/>
      <w:r w:rsidRPr="004D039F">
        <w:rPr>
          <w:rFonts w:ascii="Arial" w:eastAsia="Arial" w:hAnsi="Arial" w:cs="Arial"/>
          <w:iCs/>
          <w:color w:val="auto"/>
          <w:kern w:val="0"/>
          <w:szCs w:val="28"/>
          <w:lang w:bidi="en-US"/>
        </w:rPr>
        <w:tab/>
        <w:t>Defaults, Dividend Arrearages and Delinquencies</w:t>
      </w:r>
      <w:bookmarkEnd w:id="263"/>
      <w:bookmarkEnd w:id="264"/>
      <w:bookmarkEnd w:id="265"/>
    </w:p>
    <w:p w14:paraId="71F3EB70" w14:textId="77777777" w:rsidR="00F4578F" w:rsidRPr="004D039F" w:rsidRDefault="00F4578F" w:rsidP="004D039F">
      <w:pPr>
        <w:keepNext/>
        <w:keepLines/>
        <w:pBdr>
          <w:top w:val="nil"/>
          <w:left w:val="nil"/>
          <w:bottom w:val="nil"/>
          <w:right w:val="nil"/>
          <w:between w:val="nil"/>
          <w:bar w:val="nil"/>
        </w:pBdr>
        <w:rPr>
          <w:rFonts w:ascii="Arial" w:eastAsia="Arial" w:hAnsi="Arial" w:cs="Arial"/>
          <w:bdr w:val="nil"/>
          <w:lang w:val="en-US"/>
        </w:rPr>
      </w:pPr>
    </w:p>
    <w:p w14:paraId="71F3EB71" w14:textId="77777777" w:rsidR="0062268F" w:rsidRPr="004D039F" w:rsidRDefault="003A4815" w:rsidP="004D039F">
      <w:pPr>
        <w:pBdr>
          <w:top w:val="nil"/>
          <w:left w:val="nil"/>
          <w:bottom w:val="nil"/>
          <w:right w:val="nil"/>
          <w:between w:val="nil"/>
          <w:bar w:val="nil"/>
        </w:pBdr>
        <w:jc w:val="both"/>
        <w:rPr>
          <w:rFonts w:ascii="Arial" w:eastAsia="Arial" w:hAnsi="Arial" w:cs="Arial"/>
          <w:bdr w:val="nil"/>
          <w:lang w:val="en-US"/>
        </w:rPr>
      </w:pPr>
      <w:r w:rsidRPr="004D039F">
        <w:rPr>
          <w:rFonts w:ascii="Arial" w:eastAsia="Arial" w:hAnsi="Arial" w:cs="Arial"/>
          <w:lang w:val="en-US" w:bidi="en-US"/>
        </w:rPr>
        <w:t>None.</w:t>
      </w:r>
    </w:p>
    <w:p w14:paraId="71F3EB72"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73" w14:textId="77777777" w:rsidR="0061620D" w:rsidRPr="0078331E" w:rsidRDefault="003A4815" w:rsidP="0078331E">
      <w:pPr>
        <w:pStyle w:val="Heading1"/>
        <w:keepLines/>
        <w:pBdr>
          <w:top w:val="nil"/>
          <w:left w:val="nil"/>
          <w:bottom w:val="nil"/>
          <w:right w:val="nil"/>
          <w:between w:val="nil"/>
          <w:bar w:val="nil"/>
        </w:pBdr>
        <w:spacing w:before="0" w:after="0"/>
        <w:rPr>
          <w:rFonts w:ascii="Arial" w:eastAsia="Arial" w:hAnsi="Arial" w:cs="Arial"/>
          <w:iCs/>
          <w:color w:val="auto"/>
          <w:kern w:val="0"/>
          <w:szCs w:val="28"/>
          <w:bdr w:val="nil"/>
          <w:lang w:bidi="en-US"/>
        </w:rPr>
      </w:pPr>
      <w:bookmarkStart w:id="266" w:name="part2item14"/>
      <w:bookmarkStart w:id="267" w:name="RG_MARKER_23009"/>
      <w:bookmarkStart w:id="268" w:name="RG_MARKER_23008"/>
      <w:bookmarkStart w:id="269" w:name="_Toc222553133"/>
      <w:bookmarkStart w:id="270" w:name="_Toc223262947"/>
      <w:bookmarkStart w:id="271" w:name="_Toc103668647"/>
      <w:bookmarkEnd w:id="266"/>
      <w:r w:rsidRPr="0078331E">
        <w:rPr>
          <w:rFonts w:ascii="Arial" w:eastAsia="Arial" w:hAnsi="Arial" w:cs="Arial"/>
          <w:iCs/>
          <w:color w:val="auto"/>
          <w:kern w:val="0"/>
          <w:szCs w:val="28"/>
          <w:lang w:bidi="en-US"/>
        </w:rPr>
        <w:t>Item 14.</w:t>
      </w:r>
      <w:bookmarkEnd w:id="267"/>
      <w:bookmarkEnd w:id="268"/>
      <w:r w:rsidRPr="0078331E">
        <w:rPr>
          <w:rFonts w:ascii="Arial" w:eastAsia="Arial" w:hAnsi="Arial" w:cs="Arial"/>
          <w:iCs/>
          <w:color w:val="auto"/>
          <w:kern w:val="0"/>
          <w:szCs w:val="28"/>
          <w:lang w:bidi="en-US"/>
        </w:rPr>
        <w:tab/>
        <w:t>Material Modifications to the Rights of Security Holders and Use of Proceeds</w:t>
      </w:r>
      <w:bookmarkEnd w:id="269"/>
      <w:bookmarkEnd w:id="270"/>
      <w:bookmarkEnd w:id="271"/>
    </w:p>
    <w:p w14:paraId="71F3EB74" w14:textId="77777777" w:rsidR="00E25FCE" w:rsidRPr="0078331E" w:rsidRDefault="00E25FCE" w:rsidP="0078331E">
      <w:pPr>
        <w:keepNext/>
        <w:keepLines/>
        <w:pBdr>
          <w:top w:val="nil"/>
          <w:left w:val="nil"/>
          <w:bottom w:val="nil"/>
          <w:right w:val="nil"/>
          <w:between w:val="nil"/>
          <w:bar w:val="nil"/>
        </w:pBdr>
        <w:jc w:val="both"/>
        <w:rPr>
          <w:rFonts w:ascii="Arial" w:eastAsia="Arial" w:hAnsi="Arial" w:cs="Arial"/>
          <w:bdr w:val="nil"/>
          <w:lang w:val="en-US"/>
        </w:rPr>
      </w:pPr>
    </w:p>
    <w:p w14:paraId="71F3EB75" w14:textId="77777777" w:rsidR="004D1DF4" w:rsidRPr="0078331E" w:rsidRDefault="003A4815" w:rsidP="0078331E">
      <w:pPr>
        <w:pBdr>
          <w:top w:val="nil"/>
          <w:left w:val="nil"/>
          <w:bottom w:val="nil"/>
          <w:right w:val="nil"/>
          <w:between w:val="nil"/>
          <w:bar w:val="nil"/>
        </w:pBdr>
        <w:jc w:val="both"/>
        <w:rPr>
          <w:rFonts w:ascii="Arial" w:eastAsia="Arial" w:hAnsi="Arial" w:cs="Arial"/>
          <w:bdr w:val="nil"/>
          <w:lang w:val="en-US"/>
        </w:rPr>
      </w:pPr>
      <w:r w:rsidRPr="0078331E">
        <w:rPr>
          <w:rFonts w:ascii="Arial" w:eastAsia="Arial" w:hAnsi="Arial" w:cs="Arial"/>
          <w:lang w:val="en-US" w:bidi="en-US"/>
        </w:rPr>
        <w:t>None.</w:t>
      </w:r>
    </w:p>
    <w:p w14:paraId="71F3EB76"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B77" w14:textId="77777777" w:rsidR="00205A34" w:rsidRPr="00224ECF" w:rsidRDefault="003A4815" w:rsidP="00224ECF">
      <w:pPr>
        <w:pStyle w:val="Heading1"/>
        <w:keepLines/>
        <w:pBdr>
          <w:top w:val="nil"/>
          <w:left w:val="nil"/>
          <w:bottom w:val="nil"/>
          <w:right w:val="nil"/>
          <w:between w:val="nil"/>
          <w:bar w:val="nil"/>
        </w:pBdr>
        <w:spacing w:before="0" w:after="0"/>
        <w:jc w:val="both"/>
        <w:rPr>
          <w:rFonts w:ascii="Arial" w:eastAsia="Arial" w:hAnsi="Arial" w:cs="Arial"/>
          <w:iCs/>
          <w:color w:val="auto"/>
          <w:kern w:val="0"/>
          <w:szCs w:val="28"/>
          <w:bdr w:val="nil"/>
          <w:lang w:bidi="en-US"/>
        </w:rPr>
      </w:pPr>
      <w:bookmarkStart w:id="272" w:name="part2item15"/>
      <w:bookmarkStart w:id="273" w:name="RG_MARKER_23011"/>
      <w:bookmarkStart w:id="274" w:name="RG_MARKER_23010"/>
      <w:bookmarkStart w:id="275" w:name="_Toc222553134"/>
      <w:bookmarkStart w:id="276" w:name="_Toc223262948"/>
      <w:bookmarkStart w:id="277" w:name="_Toc103668648"/>
      <w:bookmarkEnd w:id="272"/>
      <w:r w:rsidRPr="00224ECF">
        <w:rPr>
          <w:rFonts w:ascii="Arial" w:eastAsia="Arial" w:hAnsi="Arial" w:cs="Arial"/>
          <w:iCs/>
          <w:color w:val="auto"/>
          <w:kern w:val="0"/>
          <w:szCs w:val="28"/>
          <w:lang w:bidi="en-US"/>
        </w:rPr>
        <w:t>Item 15.</w:t>
      </w:r>
      <w:bookmarkEnd w:id="273"/>
      <w:bookmarkEnd w:id="274"/>
      <w:r w:rsidRPr="00224ECF">
        <w:rPr>
          <w:rFonts w:ascii="Arial" w:eastAsia="Arial" w:hAnsi="Arial" w:cs="Arial"/>
          <w:iCs/>
          <w:color w:val="auto"/>
          <w:kern w:val="0"/>
          <w:szCs w:val="28"/>
          <w:lang w:bidi="en-US"/>
        </w:rPr>
        <w:tab/>
        <w:t>Controls and Procedures</w:t>
      </w:r>
      <w:bookmarkEnd w:id="275"/>
      <w:bookmarkEnd w:id="276"/>
      <w:bookmarkEnd w:id="277"/>
    </w:p>
    <w:p w14:paraId="71F3EB78" w14:textId="77777777" w:rsidR="00507E29" w:rsidRPr="00224ECF" w:rsidRDefault="00507E29" w:rsidP="00224ECF">
      <w:pPr>
        <w:keepNext/>
        <w:keepLines/>
        <w:pBdr>
          <w:top w:val="nil"/>
          <w:left w:val="nil"/>
          <w:bottom w:val="nil"/>
          <w:right w:val="nil"/>
          <w:between w:val="nil"/>
          <w:bar w:val="nil"/>
        </w:pBdr>
        <w:jc w:val="both"/>
        <w:rPr>
          <w:rFonts w:ascii="Arial" w:eastAsia="Arial" w:hAnsi="Arial" w:cs="Arial"/>
          <w:bdr w:val="nil"/>
          <w:lang w:val="en-US"/>
        </w:rPr>
      </w:pPr>
    </w:p>
    <w:p w14:paraId="71F3EB79" w14:textId="77777777" w:rsidR="00205A34" w:rsidRPr="00224ECF" w:rsidRDefault="003A4815" w:rsidP="00224ECF">
      <w:pPr>
        <w:keepNext/>
        <w:keepLines/>
        <w:pBdr>
          <w:top w:val="nil"/>
          <w:left w:val="nil"/>
          <w:bottom w:val="nil"/>
          <w:right w:val="nil"/>
          <w:between w:val="nil"/>
          <w:bar w:val="nil"/>
        </w:pBdr>
        <w:jc w:val="both"/>
        <w:rPr>
          <w:rFonts w:ascii="Arial" w:eastAsia="Arial" w:hAnsi="Arial" w:cs="Arial"/>
          <w:b/>
          <w:bdr w:val="nil"/>
          <w:lang w:val="en-US"/>
        </w:rPr>
      </w:pPr>
      <w:r w:rsidRPr="00224ECF">
        <w:rPr>
          <w:rFonts w:ascii="Arial" w:eastAsia="Arial" w:hAnsi="Arial" w:cs="Arial"/>
          <w:b/>
          <w:lang w:val="en-US" w:bidi="en-US"/>
        </w:rPr>
        <w:t xml:space="preserve">a) Disclosure Controls and Procedures </w:t>
      </w:r>
    </w:p>
    <w:p w14:paraId="71F3EB7A" w14:textId="77777777" w:rsidR="00485C4A" w:rsidRPr="00224ECF" w:rsidRDefault="00485C4A" w:rsidP="00224ECF">
      <w:pPr>
        <w:keepNext/>
        <w:keepLines/>
        <w:pBdr>
          <w:top w:val="nil"/>
          <w:left w:val="nil"/>
          <w:bottom w:val="nil"/>
          <w:right w:val="nil"/>
          <w:between w:val="nil"/>
          <w:bar w:val="nil"/>
        </w:pBdr>
        <w:jc w:val="both"/>
        <w:rPr>
          <w:rFonts w:ascii="Arial" w:eastAsia="Arial" w:hAnsi="Arial" w:cs="Arial"/>
          <w:bdr w:val="nil"/>
          <w:lang w:val="en-US"/>
        </w:rPr>
      </w:pPr>
    </w:p>
    <w:p w14:paraId="71F3EB7B" w14:textId="77777777" w:rsidR="009500C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Management, including our Chief Executive Officer and Chief Financial Officer</w:t>
      </w:r>
      <w:r>
        <w:rPr>
          <w:rFonts w:ascii="Arial" w:eastAsia="Arial" w:hAnsi="Arial" w:cs="Arial"/>
          <w:lang w:val="en-US" w:bidi="en-US"/>
        </w:rPr>
        <w:t>s</w:t>
      </w:r>
      <w:r w:rsidRPr="00224ECF">
        <w:rPr>
          <w:rFonts w:ascii="Arial" w:eastAsia="Arial" w:hAnsi="Arial" w:cs="Arial"/>
          <w:lang w:val="en-US" w:bidi="en-US"/>
        </w:rPr>
        <w:t>, ha</w:t>
      </w:r>
      <w:r w:rsidR="00182B8C">
        <w:rPr>
          <w:rFonts w:ascii="Arial" w:eastAsia="Arial" w:hAnsi="Arial" w:cs="Arial"/>
          <w:lang w:val="en-US" w:bidi="en-US"/>
        </w:rPr>
        <w:t>ve</w:t>
      </w:r>
      <w:r w:rsidRPr="00224ECF">
        <w:rPr>
          <w:rFonts w:ascii="Arial" w:eastAsia="Arial" w:hAnsi="Arial" w:cs="Arial"/>
          <w:lang w:val="en-US" w:bidi="en-US"/>
        </w:rPr>
        <w:t xml:space="preserve"> conducted an evaluation of the effectiveness of our disclosure controls and procedures (as defined in Rules 13a-15(e) and 15d-15(e) under the Exchange Act) as of the end of the period covered by this annual report. Based upon that evaluation, our Chief Executive Officer and Chief Financial Officer</w:t>
      </w:r>
      <w:r>
        <w:rPr>
          <w:rFonts w:ascii="Arial" w:eastAsia="Arial" w:hAnsi="Arial" w:cs="Arial"/>
          <w:lang w:val="en-US" w:bidi="en-US"/>
        </w:rPr>
        <w:t>s</w:t>
      </w:r>
      <w:r w:rsidRPr="00224ECF">
        <w:rPr>
          <w:rFonts w:ascii="Arial" w:eastAsia="Arial" w:hAnsi="Arial" w:cs="Arial"/>
          <w:lang w:val="en-US" w:bidi="en-US"/>
        </w:rPr>
        <w:t xml:space="preserve"> have concluded that our disclosure controls and procedures are effective to ensure that information required to be disclosed by the Company in the reports that it files or submits to the SEC under the Exchange Act is recorded, processed, summarized and reported within the time periods specified in SEC rules and forms.</w:t>
      </w:r>
    </w:p>
    <w:p w14:paraId="71F3EB7C" w14:textId="77777777" w:rsidR="00507E29" w:rsidRPr="00224ECF" w:rsidRDefault="00507E29" w:rsidP="00224ECF">
      <w:pPr>
        <w:pStyle w:val="NormalWeb"/>
        <w:pBdr>
          <w:top w:val="nil"/>
          <w:left w:val="nil"/>
          <w:bottom w:val="nil"/>
          <w:right w:val="nil"/>
          <w:between w:val="nil"/>
          <w:bar w:val="nil"/>
        </w:pBdr>
        <w:shd w:val="clear" w:color="auto" w:fill="FFFFFF"/>
        <w:spacing w:before="0" w:after="0"/>
        <w:jc w:val="both"/>
        <w:rPr>
          <w:rFonts w:ascii="Arial" w:eastAsia="Arial" w:hAnsi="Arial" w:cs="Arial"/>
          <w:b/>
          <w:bCs/>
          <w:i/>
          <w:iCs/>
          <w:color w:val="000000"/>
          <w:szCs w:val="22"/>
          <w:bdr w:val="nil"/>
          <w:lang w:val="en-US" w:bidi="en-US"/>
        </w:rPr>
      </w:pPr>
    </w:p>
    <w:p w14:paraId="71F3EB7D" w14:textId="77777777" w:rsidR="00205A34" w:rsidRPr="00224ECF" w:rsidRDefault="003A4815" w:rsidP="00224ECF">
      <w:pPr>
        <w:keepNext/>
        <w:keepLines/>
        <w:pBdr>
          <w:top w:val="nil"/>
          <w:left w:val="nil"/>
          <w:bottom w:val="nil"/>
          <w:right w:val="nil"/>
          <w:between w:val="nil"/>
          <w:bar w:val="nil"/>
        </w:pBdr>
        <w:jc w:val="both"/>
        <w:rPr>
          <w:rFonts w:ascii="Arial" w:eastAsia="Arial" w:hAnsi="Arial" w:cs="Arial"/>
          <w:b/>
          <w:bdr w:val="nil"/>
          <w:lang w:val="en-US"/>
        </w:rPr>
      </w:pPr>
      <w:r w:rsidRPr="00224ECF">
        <w:rPr>
          <w:rFonts w:ascii="Arial" w:eastAsia="Arial" w:hAnsi="Arial" w:cs="Arial"/>
          <w:b/>
          <w:lang w:val="en-US" w:bidi="en-US"/>
        </w:rPr>
        <w:t>b) Management’s Annual Report on Internal Control over Financial Reporting</w:t>
      </w:r>
    </w:p>
    <w:p w14:paraId="71F3EB7E" w14:textId="77777777" w:rsidR="00485C4A" w:rsidRPr="00224ECF" w:rsidRDefault="00485C4A" w:rsidP="00224ECF">
      <w:pPr>
        <w:keepNext/>
        <w:keepLines/>
        <w:pBdr>
          <w:top w:val="nil"/>
          <w:left w:val="nil"/>
          <w:bottom w:val="nil"/>
          <w:right w:val="nil"/>
          <w:between w:val="nil"/>
          <w:bar w:val="nil"/>
        </w:pBdr>
        <w:adjustRightInd w:val="0"/>
        <w:jc w:val="both"/>
        <w:rPr>
          <w:rFonts w:ascii="Arial" w:eastAsia="Arial" w:hAnsi="Arial" w:cs="Arial"/>
          <w:color w:val="000000"/>
          <w:bdr w:val="nil"/>
          <w:lang w:val="en-US"/>
        </w:rPr>
      </w:pPr>
    </w:p>
    <w:p w14:paraId="71F3EB7F" w14:textId="77777777" w:rsidR="009500C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Management is responsible for establishing and maintaining adequate internal control over financial reporting, as such term is defined in Rule 13a-15(f) of the Exchange Act. The Company’s internal control over financial reporting is a process designed under the supervision of the Company’s Chief Executive Officer and Chief Financial Officer to provide reasonable assurance regarding the reliability of financial reporting and the preparation of the Company’s financial statements for external reporting purposes in accordance with U.S. GAAP. A company’s internal control over financial reporting includes those policies and procedures that (i) pertain to the maintenance of records that, in reasonable detail, accurately and fairly reflect the transactions and dispositions of the assets of the company; (ii) provide reasonable assurance that transactions are recorded as necessary to permit the preparation of financial statements in accordance with U.S. GAAP, and that receipts and expenditures of the company are being made only in accordance with authorizations of management and directors of the company; and (iii) provide reasonable assurance regarding prevention or timely detection of unauthorized acquisition, use, or disposition of the company’s assets that could have a material effect on the financial statements.</w:t>
      </w:r>
    </w:p>
    <w:p w14:paraId="71F3EB80" w14:textId="77777777" w:rsidR="00485C4A" w:rsidRPr="00224ECF" w:rsidRDefault="00485C4A" w:rsidP="00224ECF">
      <w:pPr>
        <w:pBdr>
          <w:top w:val="nil"/>
          <w:left w:val="nil"/>
          <w:bottom w:val="nil"/>
          <w:right w:val="nil"/>
          <w:between w:val="nil"/>
          <w:bar w:val="nil"/>
        </w:pBdr>
        <w:adjustRightInd w:val="0"/>
        <w:jc w:val="both"/>
        <w:rPr>
          <w:rFonts w:ascii="Arial" w:eastAsia="Arial" w:hAnsi="Arial" w:cs="Arial"/>
          <w:color w:val="000000"/>
          <w:bdr w:val="nil"/>
          <w:lang w:val="en-US"/>
        </w:rPr>
      </w:pPr>
    </w:p>
    <w:p w14:paraId="71F3EB81" w14:textId="77777777" w:rsidR="009500C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Management has conducted an assessment of the effectiveness of the Company’s internal control over financial reporting based on the framework established in Internal Control – Integrated Framework issued by the Committee of Sponsoring Organizations of the Treadway Commission (2013 Framework). Based on this assessment, management has determined that the Company’s internal control over financial reporting as of December 31, 2025 is effective.</w:t>
      </w:r>
    </w:p>
    <w:p w14:paraId="71F3EB82" w14:textId="77777777" w:rsidR="009500C4" w:rsidRPr="00224ECF" w:rsidRDefault="009500C4" w:rsidP="00224ECF">
      <w:pPr>
        <w:pBdr>
          <w:top w:val="nil"/>
          <w:left w:val="nil"/>
          <w:bottom w:val="nil"/>
          <w:right w:val="nil"/>
          <w:between w:val="nil"/>
          <w:bar w:val="nil"/>
        </w:pBdr>
        <w:jc w:val="both"/>
        <w:rPr>
          <w:rFonts w:ascii="Arial" w:eastAsia="Arial" w:hAnsi="Arial" w:cs="Arial"/>
          <w:bdr w:val="nil"/>
          <w:lang w:val="en-US"/>
        </w:rPr>
      </w:pPr>
    </w:p>
    <w:p w14:paraId="71F3EB83" w14:textId="77777777" w:rsidR="009500C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The registered public accounting firm that audited the financial statements included in this annual report containing the disclosure required by this Item 15 has issued an attestation report on management's assessment of our internal control over financial reporting.</w:t>
      </w:r>
    </w:p>
    <w:p w14:paraId="71F3EB84" w14:textId="77777777" w:rsidR="00205A34" w:rsidRPr="00224ECF" w:rsidRDefault="00205A34" w:rsidP="00224ECF">
      <w:pPr>
        <w:pBdr>
          <w:top w:val="nil"/>
          <w:left w:val="nil"/>
          <w:bottom w:val="nil"/>
          <w:right w:val="nil"/>
          <w:between w:val="nil"/>
          <w:bar w:val="nil"/>
        </w:pBdr>
        <w:jc w:val="both"/>
        <w:rPr>
          <w:rFonts w:ascii="Arial" w:eastAsia="Arial" w:hAnsi="Arial" w:cs="Arial"/>
          <w:b/>
          <w:bdr w:val="nil"/>
          <w:lang w:val="en-US"/>
        </w:rPr>
      </w:pPr>
    </w:p>
    <w:p w14:paraId="71F3EB85" w14:textId="77777777" w:rsidR="00205A34" w:rsidRPr="00224ECF" w:rsidRDefault="003A4815" w:rsidP="00224ECF">
      <w:pPr>
        <w:keepNext/>
        <w:keepLines/>
        <w:pBdr>
          <w:top w:val="nil"/>
          <w:left w:val="nil"/>
          <w:bottom w:val="nil"/>
          <w:right w:val="nil"/>
          <w:between w:val="nil"/>
          <w:bar w:val="nil"/>
        </w:pBdr>
        <w:jc w:val="both"/>
        <w:rPr>
          <w:rFonts w:ascii="Arial" w:eastAsia="Arial" w:hAnsi="Arial" w:cs="Arial"/>
          <w:b/>
          <w:bdr w:val="nil"/>
          <w:lang w:val="en-US"/>
        </w:rPr>
      </w:pPr>
      <w:r w:rsidRPr="00224ECF">
        <w:rPr>
          <w:rFonts w:ascii="Arial" w:eastAsia="Arial" w:hAnsi="Arial" w:cs="Arial"/>
          <w:b/>
          <w:lang w:val="en-US" w:bidi="en-US"/>
        </w:rPr>
        <w:t xml:space="preserve">c)  Attestation Report of Independent </w:t>
      </w:r>
      <w:bookmarkStart w:id="278" w:name="OLE_LINK10"/>
      <w:bookmarkStart w:id="279" w:name="OLE_LINK9"/>
      <w:r w:rsidRPr="00224ECF">
        <w:rPr>
          <w:rFonts w:ascii="Arial" w:eastAsia="Arial" w:hAnsi="Arial" w:cs="Arial"/>
          <w:b/>
          <w:lang w:val="en-US" w:bidi="en-US"/>
        </w:rPr>
        <w:t>Registered Public Accounting Firm</w:t>
      </w:r>
      <w:bookmarkEnd w:id="278"/>
      <w:bookmarkEnd w:id="279"/>
      <w:r w:rsidRPr="00224ECF">
        <w:rPr>
          <w:rFonts w:ascii="Arial" w:eastAsia="Arial" w:hAnsi="Arial" w:cs="Arial"/>
          <w:b/>
          <w:lang w:val="en-US" w:bidi="en-US"/>
        </w:rPr>
        <w:t xml:space="preserve"> </w:t>
      </w:r>
    </w:p>
    <w:p w14:paraId="71F3EB86" w14:textId="77777777" w:rsidR="00485C4A" w:rsidRPr="00224ECF" w:rsidRDefault="00485C4A" w:rsidP="00224ECF">
      <w:pPr>
        <w:keepNext/>
        <w:keepLines/>
        <w:pBdr>
          <w:top w:val="nil"/>
          <w:left w:val="nil"/>
          <w:bottom w:val="nil"/>
          <w:right w:val="nil"/>
          <w:between w:val="nil"/>
          <w:bar w:val="nil"/>
        </w:pBdr>
        <w:jc w:val="both"/>
        <w:rPr>
          <w:rFonts w:ascii="Arial" w:eastAsia="Arial" w:hAnsi="Arial" w:cs="Arial"/>
          <w:color w:val="000000"/>
          <w:bdr w:val="nil"/>
          <w:lang w:val="en-US"/>
        </w:rPr>
      </w:pPr>
    </w:p>
    <w:p w14:paraId="71F3EB87" w14:textId="77777777" w:rsidR="009500C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 xml:space="preserve">The attestation report on the Company’s internal control over financial reporting issued by the registered public accounting firm that audited the Company’s consolidated financial statements, </w:t>
      </w:r>
      <w:r>
        <w:rPr>
          <w:rFonts w:ascii="Arial" w:eastAsia="Arial" w:hAnsi="Arial" w:cs="Arial"/>
          <w:lang w:val="en-US" w:bidi="en-US"/>
        </w:rPr>
        <w:t>Deloitte</w:t>
      </w:r>
      <w:r w:rsidRPr="00224ECF">
        <w:rPr>
          <w:rFonts w:ascii="Arial" w:eastAsia="Arial" w:hAnsi="Arial" w:cs="Arial"/>
          <w:lang w:val="en-US" w:bidi="en-US"/>
        </w:rPr>
        <w:t xml:space="preserve"> Certified </w:t>
      </w:r>
      <w:r>
        <w:rPr>
          <w:rFonts w:ascii="Arial" w:eastAsia="Arial" w:hAnsi="Arial" w:cs="Arial"/>
          <w:lang w:val="en-US" w:bidi="en-US"/>
        </w:rPr>
        <w:t>Public</w:t>
      </w:r>
      <w:r w:rsidRPr="00224ECF">
        <w:rPr>
          <w:rFonts w:ascii="Arial" w:eastAsia="Arial" w:hAnsi="Arial" w:cs="Arial"/>
          <w:lang w:val="en-US" w:bidi="en-US"/>
        </w:rPr>
        <w:t xml:space="preserve"> Accountants S.A., appears on page F-4 of the financial statements filed as part of this annual report.</w:t>
      </w:r>
    </w:p>
    <w:p w14:paraId="71F3EB88" w14:textId="77777777" w:rsidR="00205A34" w:rsidRPr="00224ECF" w:rsidRDefault="00205A34" w:rsidP="00224ECF">
      <w:pPr>
        <w:pBdr>
          <w:top w:val="nil"/>
          <w:left w:val="nil"/>
          <w:bottom w:val="nil"/>
          <w:right w:val="nil"/>
          <w:between w:val="nil"/>
          <w:bar w:val="nil"/>
        </w:pBdr>
        <w:adjustRightInd w:val="0"/>
        <w:jc w:val="both"/>
        <w:rPr>
          <w:rFonts w:ascii="Arial" w:eastAsia="Arial" w:hAnsi="Arial" w:cs="Arial"/>
          <w:color w:val="000000"/>
          <w:bdr w:val="nil"/>
          <w:lang w:val="en-US"/>
        </w:rPr>
      </w:pPr>
    </w:p>
    <w:p w14:paraId="71F3EB89" w14:textId="77777777" w:rsidR="00205A34" w:rsidRPr="00224ECF" w:rsidRDefault="003A4815" w:rsidP="00224ECF">
      <w:pPr>
        <w:keepNext/>
        <w:keepLines/>
        <w:pBdr>
          <w:top w:val="nil"/>
          <w:left w:val="nil"/>
          <w:bottom w:val="nil"/>
          <w:right w:val="nil"/>
          <w:between w:val="nil"/>
          <w:bar w:val="nil"/>
        </w:pBdr>
        <w:jc w:val="both"/>
        <w:rPr>
          <w:rFonts w:ascii="Arial" w:eastAsia="Arial" w:hAnsi="Arial" w:cs="Arial"/>
          <w:b/>
          <w:bdr w:val="nil"/>
          <w:lang w:val="en-US"/>
        </w:rPr>
      </w:pPr>
      <w:r w:rsidRPr="00224ECF">
        <w:rPr>
          <w:rFonts w:ascii="Arial" w:eastAsia="Arial" w:hAnsi="Arial" w:cs="Arial"/>
          <w:b/>
          <w:lang w:val="en-US" w:bidi="en-US"/>
        </w:rPr>
        <w:t>d) Changes in Internal Control over Financial Reporting</w:t>
      </w:r>
    </w:p>
    <w:p w14:paraId="71F3EB8A" w14:textId="77777777" w:rsidR="00EF2C60" w:rsidRPr="00224ECF" w:rsidRDefault="00EF2C60" w:rsidP="00224ECF">
      <w:pPr>
        <w:keepNext/>
        <w:keepLines/>
        <w:pBdr>
          <w:top w:val="nil"/>
          <w:left w:val="nil"/>
          <w:bottom w:val="nil"/>
          <w:right w:val="nil"/>
          <w:between w:val="nil"/>
          <w:bar w:val="nil"/>
        </w:pBdr>
        <w:jc w:val="both"/>
        <w:rPr>
          <w:rFonts w:ascii="Arial" w:eastAsia="Arial" w:hAnsi="Arial" w:cs="Arial"/>
          <w:bdr w:val="nil"/>
          <w:lang w:val="en-US"/>
        </w:rPr>
      </w:pPr>
    </w:p>
    <w:p w14:paraId="71F3EB8B" w14:textId="77777777" w:rsidR="00205A3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None.</w:t>
      </w:r>
    </w:p>
    <w:p w14:paraId="71F3EB8C" w14:textId="77777777" w:rsidR="00507E29" w:rsidRPr="00224ECF" w:rsidRDefault="00507E29" w:rsidP="00224ECF">
      <w:pPr>
        <w:pStyle w:val="NormalWeb"/>
        <w:pBdr>
          <w:top w:val="nil"/>
          <w:left w:val="nil"/>
          <w:bottom w:val="nil"/>
          <w:right w:val="nil"/>
          <w:between w:val="nil"/>
          <w:bar w:val="nil"/>
        </w:pBdr>
        <w:shd w:val="clear" w:color="auto" w:fill="FFFFFF"/>
        <w:spacing w:before="0" w:after="0"/>
        <w:jc w:val="both"/>
        <w:rPr>
          <w:rFonts w:ascii="Arial" w:eastAsia="Arial" w:hAnsi="Arial" w:cs="Arial"/>
          <w:b/>
          <w:bCs/>
          <w:i/>
          <w:iCs/>
          <w:color w:val="000000"/>
          <w:szCs w:val="22"/>
          <w:bdr w:val="nil"/>
          <w:lang w:val="en-US" w:bidi="en-US"/>
        </w:rPr>
      </w:pPr>
    </w:p>
    <w:p w14:paraId="71F3EB8D" w14:textId="77777777" w:rsidR="00205A34" w:rsidRPr="00224ECF" w:rsidRDefault="003A4815" w:rsidP="00224ECF">
      <w:pPr>
        <w:keepNext/>
        <w:keepLines/>
        <w:pBdr>
          <w:top w:val="nil"/>
          <w:left w:val="nil"/>
          <w:bottom w:val="nil"/>
          <w:right w:val="nil"/>
          <w:between w:val="nil"/>
          <w:bar w:val="nil"/>
        </w:pBdr>
        <w:jc w:val="both"/>
        <w:rPr>
          <w:rFonts w:ascii="Arial" w:eastAsia="Arial" w:hAnsi="Arial" w:cs="Arial"/>
          <w:b/>
          <w:bdr w:val="nil"/>
          <w:lang w:val="en-US"/>
        </w:rPr>
      </w:pPr>
      <w:r w:rsidRPr="00224ECF">
        <w:rPr>
          <w:rFonts w:ascii="Arial" w:eastAsia="Arial" w:hAnsi="Arial" w:cs="Arial"/>
          <w:b/>
          <w:lang w:val="en-US" w:bidi="en-US"/>
        </w:rPr>
        <w:t>Inherent Limitations on Effectiveness of Controls</w:t>
      </w:r>
    </w:p>
    <w:p w14:paraId="71F3EB8E" w14:textId="77777777" w:rsidR="00EF2C60" w:rsidRPr="00224ECF" w:rsidRDefault="00EF2C60" w:rsidP="00224ECF">
      <w:pPr>
        <w:keepNext/>
        <w:keepLines/>
        <w:pBdr>
          <w:top w:val="nil"/>
          <w:left w:val="nil"/>
          <w:bottom w:val="nil"/>
          <w:right w:val="nil"/>
          <w:between w:val="nil"/>
          <w:bar w:val="nil"/>
        </w:pBdr>
        <w:jc w:val="both"/>
        <w:rPr>
          <w:rFonts w:ascii="Arial" w:eastAsia="Arial" w:hAnsi="Arial" w:cs="Arial"/>
          <w:bdr w:val="nil"/>
          <w:lang w:val="en-US"/>
        </w:rPr>
      </w:pPr>
    </w:p>
    <w:p w14:paraId="71F3EB8F" w14:textId="77777777" w:rsidR="00205A34" w:rsidRPr="00224ECF" w:rsidRDefault="003A4815" w:rsidP="00224ECF">
      <w:pPr>
        <w:pBdr>
          <w:top w:val="nil"/>
          <w:left w:val="nil"/>
          <w:bottom w:val="nil"/>
          <w:right w:val="nil"/>
          <w:between w:val="nil"/>
          <w:bar w:val="nil"/>
        </w:pBdr>
        <w:jc w:val="both"/>
        <w:rPr>
          <w:rFonts w:ascii="Arial" w:eastAsia="Arial" w:hAnsi="Arial" w:cs="Arial"/>
          <w:bdr w:val="nil"/>
          <w:lang w:val="en-US"/>
        </w:rPr>
      </w:pPr>
      <w:r w:rsidRPr="00224ECF">
        <w:rPr>
          <w:rFonts w:ascii="Arial" w:eastAsia="Arial" w:hAnsi="Arial" w:cs="Arial"/>
          <w:lang w:val="en-US" w:bidi="en-US"/>
        </w:rPr>
        <w:t>Our management, including our Chief Executive Officer and our Chief Financial Officer, does not expect that our disclosure controls or our internal control over financial reporting will prevent or detect all error and all fraud. A control system, no matter how well designed and operated, can provide only reasonable, not absolute, assurance that the control system’s objectives will be met. Further, because of the inherent limitations in all control systems, no evaluation of controls can provide absolute assurance that misstatements due to error or fraud will not occur or that all control issues and instances of fraud, if any, within the Company have been detected. These inherent limitations include the realities that judgments in decision-making can be faulty and that breakdowns can occur because of simple error or mistake. Controls can also be circumvented by the individual acts of some persons, by collusion of two or more people, or by management override of the controls. The design of any system of controls is based in part on certain assumptions about the likelihood of future events, and there can be no assurance that any design will succeed in achieving its stated goals under all potential future conditions. Projections of any evaluation of controls effectiveness to future periods are subject to risks. Over time, controls may become inadequate because of changes in conditions or deterioration in the degree of compliance with policies or procedures.</w:t>
      </w:r>
    </w:p>
    <w:p w14:paraId="71F3EB90"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91" w14:textId="77777777" w:rsidR="00142F50" w:rsidRPr="002A7C2B" w:rsidRDefault="003A4815" w:rsidP="002A7C2B">
      <w:pPr>
        <w:pStyle w:val="Heading1"/>
        <w:keepLines/>
        <w:pBdr>
          <w:top w:val="nil"/>
          <w:left w:val="nil"/>
          <w:bottom w:val="nil"/>
          <w:right w:val="nil"/>
          <w:between w:val="nil"/>
          <w:bar w:val="nil"/>
        </w:pBdr>
        <w:spacing w:before="0" w:after="0"/>
        <w:rPr>
          <w:rFonts w:ascii="Arial" w:eastAsia="Arial" w:hAnsi="Arial" w:cs="Arial"/>
          <w:iCs/>
          <w:color w:val="auto"/>
          <w:kern w:val="0"/>
          <w:szCs w:val="28"/>
          <w:bdr w:val="nil"/>
          <w:lang w:bidi="en-US"/>
        </w:rPr>
      </w:pPr>
      <w:bookmarkStart w:id="280" w:name="RG_MARKER_23013"/>
      <w:bookmarkStart w:id="281" w:name="RG_MARKER_23012"/>
      <w:bookmarkStart w:id="282" w:name="part2item16a"/>
      <w:bookmarkStart w:id="283" w:name="_Toc222553135"/>
      <w:bookmarkStart w:id="284" w:name="_Toc223262949"/>
      <w:bookmarkStart w:id="285" w:name="_Toc103668649"/>
      <w:r w:rsidRPr="002A7C2B">
        <w:rPr>
          <w:rFonts w:ascii="Arial" w:eastAsia="Arial" w:hAnsi="Arial" w:cs="Arial"/>
          <w:iCs/>
          <w:color w:val="auto"/>
          <w:kern w:val="0"/>
          <w:szCs w:val="28"/>
          <w:lang w:val="en-GB" w:bidi="en-US"/>
        </w:rPr>
        <w:t>Item</w:t>
      </w:r>
      <w:bookmarkEnd w:id="280"/>
      <w:bookmarkEnd w:id="281"/>
      <w:bookmarkEnd w:id="282"/>
      <w:r w:rsidRPr="002A7C2B">
        <w:rPr>
          <w:rFonts w:ascii="Arial" w:eastAsia="Arial" w:hAnsi="Arial" w:cs="Arial"/>
          <w:iCs/>
          <w:color w:val="auto"/>
          <w:kern w:val="0"/>
          <w:szCs w:val="28"/>
          <w:lang w:val="en-GB" w:bidi="en-US"/>
        </w:rPr>
        <w:t xml:space="preserve"> 16A. Audit Committee Financial Expert</w:t>
      </w:r>
      <w:bookmarkEnd w:id="283"/>
      <w:bookmarkEnd w:id="284"/>
      <w:bookmarkEnd w:id="285"/>
    </w:p>
    <w:p w14:paraId="71F3EB92" w14:textId="77777777" w:rsidR="000E6D2B" w:rsidRPr="002A7C2B" w:rsidRDefault="000E6D2B" w:rsidP="002A7C2B">
      <w:pPr>
        <w:keepNext/>
        <w:keepLines/>
        <w:pBdr>
          <w:top w:val="nil"/>
          <w:left w:val="nil"/>
          <w:bottom w:val="nil"/>
          <w:right w:val="nil"/>
          <w:between w:val="nil"/>
          <w:bar w:val="nil"/>
        </w:pBdr>
        <w:rPr>
          <w:rFonts w:ascii="Arial" w:eastAsia="Arial" w:hAnsi="Arial" w:cs="Arial"/>
          <w:bdr w:val="nil"/>
          <w:lang w:val="en-US"/>
        </w:rPr>
      </w:pPr>
    </w:p>
    <w:p w14:paraId="71F3EB93" w14:textId="77777777" w:rsidR="00C20B2E" w:rsidRPr="002A7C2B" w:rsidRDefault="003A4815" w:rsidP="002A7C2B">
      <w:pPr>
        <w:pBdr>
          <w:top w:val="nil"/>
          <w:left w:val="nil"/>
          <w:bottom w:val="nil"/>
          <w:right w:val="nil"/>
          <w:between w:val="nil"/>
          <w:bar w:val="nil"/>
        </w:pBdr>
        <w:jc w:val="both"/>
        <w:rPr>
          <w:rFonts w:ascii="Arial" w:eastAsia="Arial" w:hAnsi="Arial" w:cs="Arial"/>
          <w:bdr w:val="nil"/>
          <w:lang w:val="en-US"/>
        </w:rPr>
      </w:pPr>
      <w:r w:rsidRPr="002A7C2B">
        <w:rPr>
          <w:rFonts w:ascii="Arial" w:eastAsia="Arial" w:hAnsi="Arial" w:cs="Arial"/>
          <w:lang w:val="en-US" w:bidi="en-US"/>
        </w:rPr>
        <w:t>Our Board of Directors has determined that both the members of our Audit Committee, Mr. Kyriacos Riris and Mr. Apostolos Kontoyannis, qualify as “Audit Committee financial experts” and that they are both considered to be “independent”</w:t>
      </w:r>
      <w:r>
        <w:rPr>
          <w:rFonts w:ascii="Arial" w:eastAsia="Arial" w:hAnsi="Arial" w:cs="Arial"/>
          <w:lang w:val="en-US" w:bidi="en-US"/>
        </w:rPr>
        <w:t xml:space="preserve"> under applicable NYSE and </w:t>
      </w:r>
      <w:r w:rsidRPr="002A7C2B">
        <w:rPr>
          <w:rFonts w:ascii="Arial" w:eastAsia="Arial" w:hAnsi="Arial" w:cs="Arial"/>
          <w:lang w:val="en-US" w:bidi="en-US"/>
        </w:rPr>
        <w:t xml:space="preserve">SEC </w:t>
      </w:r>
      <w:r>
        <w:rPr>
          <w:rFonts w:ascii="Arial" w:eastAsia="Arial" w:hAnsi="Arial" w:cs="Arial"/>
          <w:lang w:val="en-US" w:bidi="en-US"/>
        </w:rPr>
        <w:t>standards</w:t>
      </w:r>
      <w:r w:rsidRPr="002A7C2B">
        <w:rPr>
          <w:rFonts w:ascii="Arial" w:eastAsia="Arial" w:hAnsi="Arial" w:cs="Arial"/>
          <w:lang w:val="en-US" w:bidi="en-US"/>
        </w:rPr>
        <w:t>.</w:t>
      </w:r>
    </w:p>
    <w:p w14:paraId="71F3EB94"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B95" w14:textId="77777777" w:rsidR="00647FDC" w:rsidRPr="000A5B5F" w:rsidRDefault="003A4815" w:rsidP="000A5B5F">
      <w:pPr>
        <w:pStyle w:val="Heading1"/>
        <w:keepLines/>
        <w:pBdr>
          <w:top w:val="nil"/>
          <w:left w:val="nil"/>
          <w:bottom w:val="nil"/>
          <w:right w:val="nil"/>
          <w:between w:val="nil"/>
          <w:bar w:val="nil"/>
        </w:pBdr>
        <w:spacing w:before="0" w:after="0"/>
        <w:jc w:val="both"/>
        <w:rPr>
          <w:rFonts w:ascii="Arial" w:eastAsia="Arial" w:hAnsi="Arial" w:cs="Arial"/>
          <w:kern w:val="0"/>
          <w:szCs w:val="28"/>
          <w:bdr w:val="nil"/>
          <w:lang w:bidi="en-US"/>
        </w:rPr>
      </w:pPr>
      <w:bookmarkStart w:id="286" w:name="part2item16b"/>
      <w:bookmarkStart w:id="287" w:name="RG_MARKER_23015"/>
      <w:bookmarkStart w:id="288" w:name="RG_MARKER_23014"/>
      <w:bookmarkEnd w:id="286"/>
      <w:r w:rsidRPr="000A5B5F">
        <w:rPr>
          <w:rFonts w:ascii="Arial" w:eastAsia="Arial" w:hAnsi="Arial" w:cs="Arial"/>
          <w:kern w:val="0"/>
          <w:szCs w:val="28"/>
          <w:lang w:bidi="en-US"/>
        </w:rPr>
        <w:t>Item 16B. Code of Ethics</w:t>
      </w:r>
      <w:bookmarkEnd w:id="287"/>
      <w:bookmarkEnd w:id="288"/>
    </w:p>
    <w:p w14:paraId="71F3EB96" w14:textId="77777777" w:rsidR="00647FDC" w:rsidRPr="000A5B5F" w:rsidRDefault="003A4815" w:rsidP="000A5B5F">
      <w:pPr>
        <w:keepNext/>
        <w:keepLines/>
        <w:pBdr>
          <w:top w:val="nil"/>
          <w:left w:val="nil"/>
          <w:bottom w:val="nil"/>
          <w:right w:val="nil"/>
          <w:between w:val="nil"/>
          <w:bar w:val="nil"/>
        </w:pBdr>
        <w:jc w:val="both"/>
        <w:rPr>
          <w:rFonts w:ascii="Arial" w:eastAsia="Arial" w:hAnsi="Arial" w:cs="Arial"/>
          <w:color w:val="000000"/>
          <w:bdr w:val="nil"/>
          <w:lang w:val="en-US"/>
        </w:rPr>
      </w:pPr>
      <w:r w:rsidRPr="000A5B5F">
        <w:rPr>
          <w:rFonts w:ascii="Arial" w:eastAsia="Arial" w:hAnsi="Arial" w:cs="Arial"/>
          <w:color w:val="000000"/>
          <w:lang w:val="en-US" w:bidi="en-US"/>
        </w:rPr>
        <w:t> </w:t>
      </w:r>
    </w:p>
    <w:p w14:paraId="71F3EB97" w14:textId="77777777" w:rsidR="00485651" w:rsidRPr="000A5B5F" w:rsidRDefault="003A4815" w:rsidP="000A5B5F">
      <w:pPr>
        <w:pBdr>
          <w:top w:val="nil"/>
          <w:left w:val="nil"/>
          <w:bottom w:val="nil"/>
          <w:right w:val="nil"/>
          <w:between w:val="nil"/>
          <w:bar w:val="nil"/>
        </w:pBdr>
        <w:jc w:val="both"/>
        <w:rPr>
          <w:rFonts w:ascii="Arial" w:eastAsia="Arial" w:hAnsi="Arial" w:cs="Arial"/>
          <w:bdr w:val="nil"/>
          <w:lang w:val="en-US"/>
        </w:rPr>
      </w:pPr>
      <w:bookmarkStart w:id="289" w:name="item_1_3_20"/>
      <w:bookmarkEnd w:id="289"/>
      <w:r w:rsidRPr="000A5B5F">
        <w:rPr>
          <w:rFonts w:ascii="Arial" w:eastAsia="Arial" w:hAnsi="Arial" w:cs="Arial"/>
          <w:lang w:val="en-US" w:bidi="en-US"/>
        </w:rPr>
        <w:t>We have adopted a code of ethics that applies to officers, directors, employees and agents. Our code of ethics is posted on our website,</w:t>
      </w:r>
      <w:r w:rsidRPr="000A5B5F">
        <w:rPr>
          <w:rFonts w:ascii="Arial" w:eastAsia="Arial" w:hAnsi="Arial" w:cs="Arial"/>
          <w:color w:val="0000FF"/>
          <w:lang w:val="en-US" w:bidi="en-US"/>
        </w:rPr>
        <w:t xml:space="preserve"> http://www.dianashippinginc.com</w:t>
      </w:r>
      <w:r w:rsidRPr="000A5B5F">
        <w:rPr>
          <w:rFonts w:ascii="Arial" w:eastAsia="Arial" w:hAnsi="Arial" w:cs="Arial"/>
          <w:lang w:val="en-US" w:bidi="en-US"/>
        </w:rPr>
        <w:t xml:space="preserve">, under “About Us—Code of Ethics” and is filed as Exhibit 11.1 </w:t>
      </w:r>
      <w:r w:rsidR="00A80C5D" w:rsidRPr="00A80C5D">
        <w:rPr>
          <w:rFonts w:ascii="Arial" w:eastAsia="Arial" w:hAnsi="Arial" w:cs="Arial"/>
          <w:lang w:val="en-US" w:bidi="en-US"/>
        </w:rPr>
        <w:t>to the Annual Report filed on Form 20-F on March 21, 2025, and incorporated by reference herein</w:t>
      </w:r>
      <w:r w:rsidRPr="000A5B5F">
        <w:rPr>
          <w:rFonts w:ascii="Arial" w:eastAsia="Arial" w:hAnsi="Arial" w:cs="Arial"/>
          <w:lang w:val="en-US" w:bidi="en-US"/>
        </w:rPr>
        <w:t>. Copies of our code of ethics are available in print, free of charge, upon request to Diana Shipping Inc., Pendelis 16, 175 64 Palaio Faliro, Athens, Greece. We intend to satisfy any disclosure requirements regarding any amendment to, or waiver from, a provision of this code of ethics by posting such information on our website.</w:t>
      </w:r>
    </w:p>
    <w:p w14:paraId="71F3EB98"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B99" w14:textId="77777777" w:rsidR="00EC2155" w:rsidRPr="008B0F0E" w:rsidRDefault="003A4815" w:rsidP="008B0F0E">
      <w:pPr>
        <w:pStyle w:val="Heading1"/>
        <w:keepLines/>
        <w:pBdr>
          <w:top w:val="nil"/>
          <w:left w:val="nil"/>
          <w:bottom w:val="nil"/>
          <w:right w:val="nil"/>
          <w:between w:val="nil"/>
          <w:bar w:val="nil"/>
        </w:pBdr>
        <w:spacing w:before="0" w:after="0"/>
        <w:jc w:val="both"/>
        <w:rPr>
          <w:rFonts w:ascii="Arial" w:eastAsia="Arial" w:hAnsi="Arial" w:cs="Arial"/>
          <w:kern w:val="0"/>
          <w:szCs w:val="28"/>
          <w:bdr w:val="nil"/>
          <w:lang w:bidi="en-US"/>
        </w:rPr>
      </w:pPr>
      <w:bookmarkStart w:id="290" w:name="part2item16c"/>
      <w:bookmarkStart w:id="291" w:name="RG_MARKER_23017"/>
      <w:bookmarkStart w:id="292" w:name="RG_MARKER_23016"/>
      <w:bookmarkEnd w:id="290"/>
      <w:r w:rsidRPr="008B0F0E">
        <w:rPr>
          <w:rFonts w:ascii="Arial" w:eastAsia="Arial" w:hAnsi="Arial" w:cs="Arial"/>
          <w:kern w:val="0"/>
          <w:szCs w:val="28"/>
          <w:lang w:bidi="en-US"/>
        </w:rPr>
        <w:t>Item 16C. Principal Accountant Fees and Services</w:t>
      </w:r>
      <w:bookmarkEnd w:id="291"/>
      <w:bookmarkEnd w:id="292"/>
    </w:p>
    <w:p w14:paraId="71F3EB9A" w14:textId="77777777" w:rsidR="00EC2155" w:rsidRPr="008B0F0E" w:rsidRDefault="00EC2155" w:rsidP="008B0F0E">
      <w:pPr>
        <w:keepNext/>
        <w:keepLines/>
        <w:pBdr>
          <w:top w:val="nil"/>
          <w:left w:val="nil"/>
          <w:bottom w:val="nil"/>
          <w:right w:val="nil"/>
          <w:between w:val="nil"/>
          <w:bar w:val="nil"/>
        </w:pBdr>
        <w:jc w:val="both"/>
        <w:rPr>
          <w:rFonts w:ascii="Arial" w:eastAsia="Arial" w:hAnsi="Arial" w:cs="Arial"/>
          <w:color w:val="000000"/>
          <w:bdr w:val="nil"/>
          <w:lang w:val="en-US"/>
        </w:rPr>
      </w:pPr>
    </w:p>
    <w:p w14:paraId="71F3EB9B" w14:textId="77777777" w:rsidR="00C2644D"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a) Audit Fees</w:t>
      </w:r>
    </w:p>
    <w:p w14:paraId="71F3EB9C" w14:textId="77777777" w:rsidR="00C2644D" w:rsidRPr="008B0F0E" w:rsidRDefault="00C2644D" w:rsidP="008B0F0E">
      <w:pPr>
        <w:keepNext/>
        <w:keepLines/>
        <w:pBdr>
          <w:top w:val="nil"/>
          <w:left w:val="nil"/>
          <w:bottom w:val="nil"/>
          <w:right w:val="nil"/>
          <w:between w:val="nil"/>
          <w:bar w:val="nil"/>
        </w:pBdr>
        <w:jc w:val="both"/>
        <w:rPr>
          <w:rFonts w:ascii="Arial" w:eastAsia="Arial" w:hAnsi="Arial" w:cs="Arial"/>
          <w:bdr w:val="nil"/>
          <w:lang w:val="en-US"/>
        </w:rPr>
      </w:pPr>
    </w:p>
    <w:p w14:paraId="71F3EB9D" w14:textId="77777777" w:rsidR="00C70382" w:rsidRPr="008B0F0E" w:rsidRDefault="003A4815" w:rsidP="008B0F0E">
      <w:pPr>
        <w:pBdr>
          <w:top w:val="nil"/>
          <w:left w:val="nil"/>
          <w:bottom w:val="nil"/>
          <w:right w:val="nil"/>
          <w:between w:val="nil"/>
          <w:bar w:val="nil"/>
        </w:pBdr>
        <w:jc w:val="both"/>
        <w:rPr>
          <w:rFonts w:ascii="Arial" w:eastAsia="Arial" w:hAnsi="Arial" w:cs="Arial"/>
          <w:bdr w:val="nil"/>
          <w:lang w:val="en-US"/>
        </w:rPr>
      </w:pPr>
      <w:r w:rsidRPr="00005392">
        <w:rPr>
          <w:rFonts w:ascii="Arial" w:eastAsia="Arial" w:hAnsi="Arial" w:cs="Arial"/>
          <w:color w:val="000000"/>
          <w:lang w:val="en-US" w:bidi="en-US"/>
        </w:rPr>
        <w:t>Our principal accountants, Deloitte Certified Public Accountants S.A., the member firms of Deloitte Touche Tohmatsu Limited and their respective affiliates (collectively, “Deloitte”) have billed us for audit services.</w:t>
      </w:r>
      <w:r>
        <w:rPr>
          <w:rFonts w:ascii="Arial" w:eastAsia="Arial" w:hAnsi="Arial" w:cs="Arial"/>
          <w:color w:val="000000"/>
          <w:lang w:val="en-US" w:bidi="en-US"/>
        </w:rPr>
        <w:t xml:space="preserve"> </w:t>
      </w:r>
      <w:r w:rsidR="003612B5">
        <w:rPr>
          <w:rFonts w:ascii="Arial" w:eastAsia="Arial" w:hAnsi="Arial" w:cs="Arial"/>
          <w:lang w:val="en-US" w:bidi="en-US"/>
        </w:rPr>
        <w:t xml:space="preserve">Audit fees in </w:t>
      </w:r>
      <w:r w:rsidR="003612B5" w:rsidRPr="008B0F0E">
        <w:rPr>
          <w:rFonts w:ascii="Arial" w:eastAsia="Arial" w:hAnsi="Arial" w:cs="Arial"/>
          <w:lang w:val="en-US" w:bidi="en-US"/>
        </w:rPr>
        <w:t xml:space="preserve">2025 </w:t>
      </w:r>
      <w:r w:rsidR="003612B5">
        <w:rPr>
          <w:rFonts w:ascii="Arial" w:eastAsia="Arial" w:hAnsi="Arial" w:cs="Arial"/>
          <w:lang w:val="en-US" w:bidi="en-US"/>
        </w:rPr>
        <w:t xml:space="preserve">and </w:t>
      </w:r>
      <w:r w:rsidR="003612B5" w:rsidRPr="008B0F0E">
        <w:rPr>
          <w:rFonts w:ascii="Arial" w:eastAsia="Arial" w:hAnsi="Arial" w:cs="Arial"/>
          <w:lang w:val="en-US" w:bidi="en-US"/>
        </w:rPr>
        <w:t xml:space="preserve">2024 </w:t>
      </w:r>
      <w:r w:rsidR="005B52F3" w:rsidRPr="008B0F0E">
        <w:rPr>
          <w:rFonts w:ascii="Arial" w:eastAsia="Arial" w:hAnsi="Arial" w:cs="Arial"/>
          <w:lang w:val="en-US" w:bidi="en-US"/>
        </w:rPr>
        <w:t>amounted to € 382,822 and € 360,000, or approximately $</w:t>
      </w:r>
      <w:r w:rsidR="002A0FD6">
        <w:rPr>
          <w:rFonts w:ascii="Arial" w:eastAsia="Arial" w:hAnsi="Arial" w:cs="Arial"/>
          <w:lang w:val="en-US" w:bidi="en-US"/>
        </w:rPr>
        <w:t>41</w:t>
      </w:r>
      <w:r w:rsidR="004354FD">
        <w:rPr>
          <w:rFonts w:ascii="Arial" w:eastAsia="Arial" w:hAnsi="Arial" w:cs="Arial"/>
          <w:lang w:val="en-US" w:bidi="en-US"/>
        </w:rPr>
        <w:t>4</w:t>
      </w:r>
      <w:r w:rsidR="005B52F3" w:rsidRPr="008B0F0E">
        <w:rPr>
          <w:rFonts w:ascii="Arial" w:eastAsia="Arial" w:hAnsi="Arial" w:cs="Arial"/>
          <w:lang w:val="en-US" w:bidi="en-US"/>
        </w:rPr>
        <w:t>,</w:t>
      </w:r>
      <w:r w:rsidR="004354FD">
        <w:rPr>
          <w:rFonts w:ascii="Arial" w:eastAsia="Arial" w:hAnsi="Arial" w:cs="Arial"/>
          <w:lang w:val="en-US" w:bidi="en-US"/>
        </w:rPr>
        <w:t>398</w:t>
      </w:r>
      <w:r w:rsidR="005B52F3" w:rsidRPr="008B0F0E">
        <w:rPr>
          <w:rFonts w:ascii="Arial" w:eastAsia="Arial" w:hAnsi="Arial" w:cs="Arial"/>
          <w:lang w:val="en-US" w:bidi="en-US"/>
        </w:rPr>
        <w:t xml:space="preserve"> and </w:t>
      </w:r>
      <w:r w:rsidR="00B862BA" w:rsidRPr="008B0F0E">
        <w:rPr>
          <w:rFonts w:ascii="Arial" w:eastAsia="Arial" w:hAnsi="Arial" w:cs="Arial"/>
          <w:lang w:val="en-US" w:bidi="en-US"/>
        </w:rPr>
        <w:t>$</w:t>
      </w:r>
      <w:r w:rsidR="00B862BA">
        <w:rPr>
          <w:rFonts w:ascii="Arial" w:eastAsia="Arial" w:hAnsi="Arial" w:cs="Arial"/>
          <w:lang w:val="en-US" w:bidi="en-US"/>
        </w:rPr>
        <w:t>38</w:t>
      </w:r>
      <w:r w:rsidR="00007411">
        <w:rPr>
          <w:rFonts w:ascii="Arial" w:eastAsia="Arial" w:hAnsi="Arial" w:cs="Arial"/>
          <w:lang w:val="en-US" w:bidi="en-US"/>
        </w:rPr>
        <w:t>8</w:t>
      </w:r>
      <w:r w:rsidR="00B862BA" w:rsidRPr="008B0F0E">
        <w:rPr>
          <w:rFonts w:ascii="Arial" w:eastAsia="Arial" w:hAnsi="Arial" w:cs="Arial"/>
          <w:lang w:val="en-US" w:bidi="en-US"/>
        </w:rPr>
        <w:t>,000</w:t>
      </w:r>
      <w:r w:rsidR="005B52F3" w:rsidRPr="008B0F0E">
        <w:rPr>
          <w:rFonts w:ascii="Arial" w:eastAsia="Arial" w:hAnsi="Arial" w:cs="Arial"/>
          <w:lang w:val="en-US" w:bidi="en-US"/>
        </w:rPr>
        <w:t xml:space="preserve">, respectively, and relate </w:t>
      </w:r>
      <w:r w:rsidR="005B52F3" w:rsidRPr="00BD7B56">
        <w:rPr>
          <w:rFonts w:ascii="Arial" w:eastAsia="Arial" w:hAnsi="Arial" w:cs="Arial"/>
          <w:lang w:val="en-US" w:bidi="en-US"/>
        </w:rPr>
        <w:t>to compensation for professional services rendered for the audits of our consolidated financial statements and in connection with the review of regulatory filings</w:t>
      </w:r>
      <w:r w:rsidR="005B52F3" w:rsidRPr="008B0F0E">
        <w:rPr>
          <w:rFonts w:ascii="Arial" w:eastAsia="Arial" w:hAnsi="Arial" w:cs="Arial"/>
          <w:lang w:val="en-US" w:bidi="en-US"/>
        </w:rPr>
        <w:t>.</w:t>
      </w:r>
      <w:r w:rsidR="00BC1668">
        <w:rPr>
          <w:rFonts w:ascii="Arial" w:eastAsia="Arial" w:hAnsi="Arial" w:cs="Arial"/>
          <w:lang w:val="en-US" w:bidi="en-US"/>
        </w:rPr>
        <w:t xml:space="preserve"> The amount of </w:t>
      </w:r>
      <w:r w:rsidR="00BC1668" w:rsidRPr="008B0F0E">
        <w:rPr>
          <w:rFonts w:ascii="Arial" w:eastAsia="Arial" w:hAnsi="Arial" w:cs="Arial"/>
          <w:lang w:val="en-US" w:bidi="en-US"/>
        </w:rPr>
        <w:t>€ 382,822</w:t>
      </w:r>
      <w:r w:rsidR="00BC1668">
        <w:rPr>
          <w:rFonts w:ascii="Arial" w:eastAsia="Arial" w:hAnsi="Arial" w:cs="Arial"/>
          <w:lang w:val="en-US" w:bidi="en-US"/>
        </w:rPr>
        <w:t xml:space="preserve"> consist</w:t>
      </w:r>
      <w:r w:rsidR="00E52EB9">
        <w:rPr>
          <w:rFonts w:ascii="Arial" w:eastAsia="Arial" w:hAnsi="Arial" w:cs="Arial"/>
          <w:lang w:val="en-US" w:bidi="en-US"/>
        </w:rPr>
        <w:t>s</w:t>
      </w:r>
      <w:r w:rsidR="00BC1668">
        <w:rPr>
          <w:rFonts w:ascii="Arial" w:eastAsia="Arial" w:hAnsi="Arial" w:cs="Arial"/>
          <w:lang w:val="en-US" w:bidi="en-US"/>
        </w:rPr>
        <w:t xml:space="preserve"> of </w:t>
      </w:r>
      <w:r w:rsidR="00914344" w:rsidRPr="00914344">
        <w:rPr>
          <w:rFonts w:ascii="Arial" w:eastAsia="Arial" w:hAnsi="Arial" w:cs="Arial"/>
          <w:lang w:val="en-US" w:bidi="en-US"/>
        </w:rPr>
        <w:t xml:space="preserve">€ </w:t>
      </w:r>
      <w:r w:rsidR="00BC1668">
        <w:rPr>
          <w:rFonts w:ascii="Arial" w:eastAsia="Arial" w:hAnsi="Arial" w:cs="Arial"/>
          <w:lang w:val="en-US" w:bidi="en-US"/>
        </w:rPr>
        <w:t>367,</w:t>
      </w:r>
      <w:r w:rsidR="004354FD">
        <w:rPr>
          <w:rFonts w:ascii="Arial" w:eastAsia="Arial" w:hAnsi="Arial" w:cs="Arial"/>
          <w:lang w:val="en-US" w:bidi="en-US"/>
        </w:rPr>
        <w:t>822</w:t>
      </w:r>
      <w:r w:rsidR="00BC1668">
        <w:rPr>
          <w:rFonts w:ascii="Arial" w:eastAsia="Arial" w:hAnsi="Arial" w:cs="Arial"/>
          <w:lang w:val="en-US" w:bidi="en-US"/>
        </w:rPr>
        <w:t xml:space="preserve"> related to </w:t>
      </w:r>
      <w:r w:rsidR="00BC1668">
        <w:rPr>
          <w:rFonts w:ascii="Arial" w:eastAsia="Arial" w:hAnsi="Arial" w:cs="Arial"/>
          <w:color w:val="000000"/>
          <w:lang w:val="en-US" w:bidi="en-US"/>
        </w:rPr>
        <w:t>Deloitte</w:t>
      </w:r>
      <w:r w:rsidR="00BC1668" w:rsidRPr="008B0F0E">
        <w:rPr>
          <w:rFonts w:ascii="Arial" w:eastAsia="Arial" w:hAnsi="Arial" w:cs="Arial"/>
          <w:color w:val="000000"/>
          <w:lang w:val="en-US" w:bidi="en-US"/>
        </w:rPr>
        <w:t xml:space="preserve"> </w:t>
      </w:r>
      <w:r w:rsidR="00BC1668">
        <w:rPr>
          <w:rFonts w:ascii="Arial" w:eastAsia="Arial" w:hAnsi="Arial" w:cs="Arial"/>
          <w:color w:val="000000"/>
          <w:lang w:val="en-US" w:bidi="en-US"/>
        </w:rPr>
        <w:t xml:space="preserve">and </w:t>
      </w:r>
      <w:r w:rsidR="00914344" w:rsidRPr="00914344">
        <w:rPr>
          <w:rFonts w:ascii="Arial" w:eastAsia="Arial" w:hAnsi="Arial" w:cs="Arial"/>
          <w:lang w:val="en-US" w:bidi="en-US"/>
        </w:rPr>
        <w:t xml:space="preserve">€ </w:t>
      </w:r>
      <w:r w:rsidR="00BC1668">
        <w:rPr>
          <w:rFonts w:ascii="Arial" w:eastAsia="Arial" w:hAnsi="Arial" w:cs="Arial"/>
          <w:color w:val="000000"/>
          <w:lang w:val="en-US" w:bidi="en-US"/>
        </w:rPr>
        <w:t xml:space="preserve">15,000 to </w:t>
      </w:r>
      <w:r w:rsidR="00BC1668" w:rsidRPr="00BC1668">
        <w:rPr>
          <w:rFonts w:ascii="Arial" w:eastAsia="Arial" w:hAnsi="Arial" w:cs="Arial"/>
          <w:color w:val="000000"/>
          <w:lang w:val="en-GB" w:bidi="en-US"/>
        </w:rPr>
        <w:t>Ernst &amp; Young (Hellas) Certified Auditors Accountants S.A.</w:t>
      </w:r>
    </w:p>
    <w:p w14:paraId="71F3EB9E" w14:textId="77777777" w:rsidR="00C70382" w:rsidRPr="008B0F0E" w:rsidRDefault="00C70382" w:rsidP="008B0F0E">
      <w:pPr>
        <w:pBdr>
          <w:top w:val="nil"/>
          <w:left w:val="nil"/>
          <w:bottom w:val="nil"/>
          <w:right w:val="nil"/>
          <w:between w:val="nil"/>
          <w:bar w:val="nil"/>
        </w:pBdr>
        <w:jc w:val="both"/>
        <w:rPr>
          <w:rFonts w:ascii="Arial" w:eastAsia="Arial" w:hAnsi="Arial" w:cs="Arial"/>
          <w:bdr w:val="nil"/>
          <w:lang w:val="en-US"/>
        </w:rPr>
      </w:pPr>
    </w:p>
    <w:p w14:paraId="71F3EB9F" w14:textId="77777777" w:rsidR="00C70382"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b) Audit-Related Fees</w:t>
      </w:r>
    </w:p>
    <w:p w14:paraId="71F3EBA0" w14:textId="77777777" w:rsidR="00C70382" w:rsidRPr="008B0F0E" w:rsidRDefault="00C70382" w:rsidP="008B0F0E">
      <w:pPr>
        <w:keepNext/>
        <w:keepLines/>
        <w:pBdr>
          <w:top w:val="nil"/>
          <w:left w:val="nil"/>
          <w:bottom w:val="nil"/>
          <w:right w:val="nil"/>
          <w:between w:val="nil"/>
          <w:bar w:val="nil"/>
        </w:pBdr>
        <w:jc w:val="both"/>
        <w:rPr>
          <w:rFonts w:ascii="Arial" w:eastAsia="Arial" w:hAnsi="Arial" w:cs="Arial"/>
          <w:bdr w:val="nil"/>
          <w:lang w:val="en-US"/>
        </w:rPr>
      </w:pPr>
    </w:p>
    <w:p w14:paraId="71F3EBA1" w14:textId="77777777" w:rsidR="00C70382" w:rsidRPr="008B0F0E" w:rsidRDefault="003A4815" w:rsidP="008B0F0E">
      <w:pPr>
        <w:pBdr>
          <w:top w:val="nil"/>
          <w:left w:val="nil"/>
          <w:bottom w:val="nil"/>
          <w:right w:val="nil"/>
          <w:between w:val="nil"/>
          <w:bar w:val="nil"/>
        </w:pBdr>
        <w:jc w:val="both"/>
        <w:rPr>
          <w:rFonts w:ascii="Arial" w:eastAsia="Arial" w:hAnsi="Arial" w:cs="Arial"/>
          <w:bdr w:val="nil"/>
          <w:lang w:val="en-US"/>
        </w:rPr>
      </w:pPr>
      <w:r w:rsidRPr="008B0F0E">
        <w:rPr>
          <w:rFonts w:ascii="Arial" w:eastAsia="Arial" w:hAnsi="Arial" w:cs="Arial"/>
          <w:lang w:val="en-US" w:bidi="en-US"/>
        </w:rPr>
        <w:t>Audit related fees</w:t>
      </w:r>
      <w:r>
        <w:rPr>
          <w:rFonts w:ascii="Arial" w:eastAsia="Arial" w:hAnsi="Arial" w:cs="Arial"/>
          <w:lang w:val="en-US" w:bidi="en-US"/>
        </w:rPr>
        <w:t xml:space="preserve"> during </w:t>
      </w:r>
      <w:r w:rsidRPr="008B0F0E">
        <w:rPr>
          <w:rFonts w:ascii="Arial" w:eastAsia="Arial" w:hAnsi="Arial" w:cs="Arial"/>
          <w:lang w:val="en-US" w:bidi="en-US"/>
        </w:rPr>
        <w:t xml:space="preserve">2025 amounted to € 9,000, as compared to € 51,301 in 2024 and relate to audit services provided </w:t>
      </w:r>
      <w:r w:rsidRPr="008B0F0E">
        <w:rPr>
          <w:rFonts w:ascii="Arial" w:eastAsia="Arial" w:hAnsi="Arial" w:cs="Arial"/>
          <w:bdr w:val="none" w:sz="0" w:space="0" w:color="auto" w:frame="1"/>
          <w:lang w:val="en-US" w:bidi="en-US"/>
        </w:rPr>
        <w:t>in connection with the Company’s filings with the SEC</w:t>
      </w:r>
      <w:r>
        <w:rPr>
          <w:rFonts w:ascii="Arial" w:eastAsia="Arial" w:hAnsi="Arial" w:cs="Arial"/>
          <w:bdr w:val="none" w:sz="0" w:space="0" w:color="auto" w:frame="1"/>
          <w:lang w:val="en-US" w:bidi="en-US"/>
        </w:rPr>
        <w:t>.</w:t>
      </w:r>
      <w:r w:rsidRPr="008B0F0E">
        <w:rPr>
          <w:rFonts w:ascii="Arial" w:eastAsia="Arial" w:hAnsi="Arial" w:cs="Arial"/>
          <w:bdr w:val="none" w:sz="0" w:space="0" w:color="auto" w:frame="1"/>
          <w:lang w:val="en-US" w:bidi="en-US"/>
        </w:rPr>
        <w:t xml:space="preserve"> </w:t>
      </w:r>
    </w:p>
    <w:p w14:paraId="71F3EBA2" w14:textId="77777777" w:rsidR="00C70382" w:rsidRPr="008B0F0E" w:rsidRDefault="00C70382" w:rsidP="008B0F0E">
      <w:pPr>
        <w:pBdr>
          <w:top w:val="nil"/>
          <w:left w:val="nil"/>
          <w:bottom w:val="nil"/>
          <w:right w:val="nil"/>
          <w:between w:val="nil"/>
          <w:bar w:val="nil"/>
        </w:pBdr>
        <w:jc w:val="both"/>
        <w:rPr>
          <w:rFonts w:ascii="Arial" w:eastAsia="Arial" w:hAnsi="Arial" w:cs="Arial"/>
          <w:bdr w:val="nil"/>
          <w:lang w:val="en-US"/>
        </w:rPr>
      </w:pPr>
    </w:p>
    <w:p w14:paraId="71F3EBA3" w14:textId="77777777" w:rsidR="00C70382"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c) Tax Fees</w:t>
      </w:r>
    </w:p>
    <w:p w14:paraId="71F3EBA4" w14:textId="77777777" w:rsidR="00C70382" w:rsidRPr="008B0F0E" w:rsidRDefault="00C70382" w:rsidP="008B0F0E">
      <w:pPr>
        <w:keepNext/>
        <w:keepLines/>
        <w:pBdr>
          <w:top w:val="nil"/>
          <w:left w:val="nil"/>
          <w:bottom w:val="nil"/>
          <w:right w:val="nil"/>
          <w:between w:val="nil"/>
          <w:bar w:val="nil"/>
        </w:pBdr>
        <w:jc w:val="both"/>
        <w:rPr>
          <w:rFonts w:ascii="Arial" w:eastAsia="Arial" w:hAnsi="Arial" w:cs="Arial"/>
          <w:bdr w:val="nil"/>
          <w:lang w:val="en-US"/>
        </w:rPr>
      </w:pPr>
    </w:p>
    <w:p w14:paraId="71F3EBA5" w14:textId="77777777" w:rsidR="00C70382" w:rsidRDefault="003A4815" w:rsidP="008B0F0E">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bidi="en-US"/>
        </w:rPr>
        <w:t>None.</w:t>
      </w:r>
    </w:p>
    <w:p w14:paraId="71F3EBA6" w14:textId="77777777" w:rsidR="00C70382" w:rsidRPr="008B0F0E" w:rsidRDefault="00C70382" w:rsidP="008B0F0E">
      <w:pPr>
        <w:pBdr>
          <w:top w:val="nil"/>
          <w:left w:val="nil"/>
          <w:bottom w:val="nil"/>
          <w:right w:val="nil"/>
          <w:between w:val="nil"/>
          <w:bar w:val="nil"/>
        </w:pBdr>
        <w:jc w:val="both"/>
        <w:rPr>
          <w:rFonts w:ascii="Arial" w:eastAsia="Arial" w:hAnsi="Arial" w:cs="Arial"/>
          <w:bdr w:val="nil"/>
          <w:lang w:val="en-US"/>
        </w:rPr>
      </w:pPr>
    </w:p>
    <w:p w14:paraId="71F3EBA7" w14:textId="77777777" w:rsidR="00C70382"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d) All Other Fees</w:t>
      </w:r>
    </w:p>
    <w:p w14:paraId="71F3EBA8" w14:textId="77777777" w:rsidR="00C70382" w:rsidRPr="008B0F0E" w:rsidRDefault="00C70382" w:rsidP="008B0F0E">
      <w:pPr>
        <w:keepNext/>
        <w:keepLines/>
        <w:pBdr>
          <w:top w:val="nil"/>
          <w:left w:val="nil"/>
          <w:bottom w:val="nil"/>
          <w:right w:val="nil"/>
          <w:between w:val="nil"/>
          <w:bar w:val="nil"/>
        </w:pBdr>
        <w:jc w:val="both"/>
        <w:rPr>
          <w:rFonts w:ascii="Arial" w:eastAsia="Arial" w:hAnsi="Arial" w:cs="Arial"/>
          <w:bdr w:val="nil"/>
          <w:lang w:val="en-US"/>
        </w:rPr>
      </w:pPr>
    </w:p>
    <w:p w14:paraId="71F3EBA9" w14:textId="77777777" w:rsidR="00C70382" w:rsidRDefault="003A4815" w:rsidP="008B0F0E">
      <w:pPr>
        <w:pBdr>
          <w:top w:val="nil"/>
          <w:left w:val="nil"/>
          <w:bottom w:val="nil"/>
          <w:right w:val="nil"/>
          <w:between w:val="nil"/>
          <w:bar w:val="nil"/>
        </w:pBdr>
        <w:jc w:val="both"/>
        <w:rPr>
          <w:rFonts w:ascii="Arial" w:eastAsia="Arial" w:hAnsi="Arial" w:cs="Arial"/>
          <w:bdr w:val="nil"/>
          <w:lang w:val="en-US"/>
        </w:rPr>
      </w:pPr>
      <w:r w:rsidRPr="00005392">
        <w:rPr>
          <w:rFonts w:ascii="Arial" w:eastAsia="Arial" w:hAnsi="Arial" w:cs="Arial"/>
          <w:lang w:val="en-US" w:bidi="en-US"/>
        </w:rPr>
        <w:t xml:space="preserve">During </w:t>
      </w:r>
      <w:r w:rsidRPr="008B0F0E">
        <w:rPr>
          <w:rFonts w:ascii="Arial" w:eastAsia="Arial" w:hAnsi="Arial" w:cs="Arial"/>
          <w:lang w:val="en-US" w:bidi="en-US"/>
        </w:rPr>
        <w:t>2025</w:t>
      </w:r>
      <w:r w:rsidRPr="00005392">
        <w:rPr>
          <w:rFonts w:ascii="Arial" w:eastAsia="Arial" w:hAnsi="Arial" w:cs="Arial"/>
          <w:lang w:val="en-US" w:bidi="en-US"/>
        </w:rPr>
        <w:t>, we paid fees amounting to €17,280 related to professional services rendered by Deloitte in connection with assistance provided with the Company’s cybersecurity assessment</w:t>
      </w:r>
      <w:r>
        <w:rPr>
          <w:rFonts w:ascii="Arial" w:eastAsia="Arial" w:hAnsi="Arial" w:cs="Arial"/>
          <w:lang w:val="en-US" w:bidi="en-US"/>
        </w:rPr>
        <w:t>.</w:t>
      </w:r>
    </w:p>
    <w:p w14:paraId="71F3EBAA" w14:textId="77777777" w:rsidR="00005392" w:rsidRPr="008B0F0E" w:rsidRDefault="00005392" w:rsidP="008B0F0E">
      <w:pPr>
        <w:pBdr>
          <w:top w:val="nil"/>
          <w:left w:val="nil"/>
          <w:bottom w:val="nil"/>
          <w:right w:val="nil"/>
          <w:between w:val="nil"/>
          <w:bar w:val="nil"/>
        </w:pBdr>
        <w:jc w:val="both"/>
        <w:rPr>
          <w:rFonts w:ascii="Arial" w:eastAsia="Arial" w:hAnsi="Arial" w:cs="Arial"/>
          <w:bdr w:val="nil"/>
          <w:lang w:val="en-US"/>
        </w:rPr>
      </w:pPr>
    </w:p>
    <w:p w14:paraId="71F3EBAB" w14:textId="77777777" w:rsidR="00C70382"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 xml:space="preserve">e) Audit Committee’s Pre-Approval Policies and Procedures </w:t>
      </w:r>
    </w:p>
    <w:p w14:paraId="71F3EBAC" w14:textId="77777777" w:rsidR="00C70382" w:rsidRPr="008B0F0E" w:rsidRDefault="00C70382" w:rsidP="008B0F0E">
      <w:pPr>
        <w:keepNext/>
        <w:keepLines/>
        <w:pBdr>
          <w:top w:val="nil"/>
          <w:left w:val="nil"/>
          <w:bottom w:val="nil"/>
          <w:right w:val="nil"/>
          <w:between w:val="nil"/>
          <w:bar w:val="nil"/>
        </w:pBdr>
        <w:jc w:val="both"/>
        <w:rPr>
          <w:rFonts w:ascii="Arial" w:eastAsia="Arial" w:hAnsi="Arial" w:cs="Arial"/>
          <w:bdr w:val="nil"/>
          <w:lang w:val="en-US"/>
        </w:rPr>
      </w:pPr>
    </w:p>
    <w:p w14:paraId="71F3EBAD" w14:textId="77777777" w:rsidR="00C70382" w:rsidRPr="008B0F0E" w:rsidRDefault="003A4815" w:rsidP="008B0F0E">
      <w:pPr>
        <w:pBdr>
          <w:top w:val="nil"/>
          <w:left w:val="nil"/>
          <w:bottom w:val="nil"/>
          <w:right w:val="nil"/>
          <w:between w:val="nil"/>
          <w:bar w:val="nil"/>
        </w:pBdr>
        <w:jc w:val="both"/>
        <w:rPr>
          <w:rFonts w:ascii="Arial" w:eastAsia="Arial" w:hAnsi="Arial" w:cs="Arial"/>
          <w:bdr w:val="nil"/>
          <w:lang w:val="en-US"/>
        </w:rPr>
      </w:pPr>
      <w:r w:rsidRPr="008B0F0E">
        <w:rPr>
          <w:rFonts w:ascii="Arial" w:eastAsia="Arial" w:hAnsi="Arial" w:cs="Arial"/>
          <w:lang w:val="en-US" w:bidi="en-US"/>
        </w:rPr>
        <w:t>Our Audit Committee is responsible for the appointment, replacement, compensation, evaluation and oversight of the work of our independent auditors. As part of this responsibility, the Audit Committee pre-approves the audit and non-audit services performed by the independent auditors in order to assure that they do not impair the auditor’s independence from the Company. The Audit Committee has adopted a policy which sets forth the procedures and the conditions pursuant to which services proposed to be performed by the independent auditors may be pre-approved.</w:t>
      </w:r>
    </w:p>
    <w:p w14:paraId="71F3EBAE" w14:textId="77777777" w:rsidR="00C70382" w:rsidRPr="008B0F0E" w:rsidRDefault="00C70382" w:rsidP="008B0F0E">
      <w:pPr>
        <w:pBdr>
          <w:top w:val="nil"/>
          <w:left w:val="nil"/>
          <w:bottom w:val="nil"/>
          <w:right w:val="nil"/>
          <w:between w:val="nil"/>
          <w:bar w:val="nil"/>
        </w:pBdr>
        <w:jc w:val="both"/>
        <w:rPr>
          <w:rFonts w:ascii="Arial" w:eastAsia="Arial" w:hAnsi="Arial" w:cs="Arial"/>
          <w:bdr w:val="nil"/>
          <w:lang w:val="en-US"/>
        </w:rPr>
      </w:pPr>
    </w:p>
    <w:p w14:paraId="71F3EBAF" w14:textId="77777777" w:rsidR="00C70382" w:rsidRPr="008B0F0E" w:rsidRDefault="003A4815" w:rsidP="008B0F0E">
      <w:pPr>
        <w:keepNext/>
        <w:keepLines/>
        <w:pBdr>
          <w:top w:val="nil"/>
          <w:left w:val="nil"/>
          <w:bottom w:val="nil"/>
          <w:right w:val="nil"/>
          <w:between w:val="nil"/>
          <w:bar w:val="nil"/>
        </w:pBdr>
        <w:jc w:val="both"/>
        <w:rPr>
          <w:rFonts w:ascii="Arial" w:eastAsia="Arial" w:hAnsi="Arial" w:cs="Arial"/>
          <w:b/>
          <w:bdr w:val="nil"/>
          <w:lang w:val="en-US"/>
        </w:rPr>
      </w:pPr>
      <w:r w:rsidRPr="008B0F0E">
        <w:rPr>
          <w:rFonts w:ascii="Arial" w:eastAsia="Arial" w:hAnsi="Arial" w:cs="Arial"/>
          <w:b/>
          <w:lang w:val="en-US" w:bidi="en-US"/>
        </w:rPr>
        <w:t>f) Audit Work Performed by Other than Principal Accountant if Greater than 50%</w:t>
      </w:r>
    </w:p>
    <w:p w14:paraId="71F3EBB0" w14:textId="77777777" w:rsidR="00C70382" w:rsidRPr="008B0F0E" w:rsidRDefault="00C70382" w:rsidP="008B0F0E">
      <w:pPr>
        <w:keepNext/>
        <w:keepLines/>
        <w:pBdr>
          <w:top w:val="nil"/>
          <w:left w:val="nil"/>
          <w:bottom w:val="nil"/>
          <w:right w:val="nil"/>
          <w:between w:val="nil"/>
          <w:bar w:val="nil"/>
        </w:pBdr>
        <w:jc w:val="both"/>
        <w:rPr>
          <w:rFonts w:ascii="Arial" w:eastAsia="Arial" w:hAnsi="Arial" w:cs="Arial"/>
          <w:bdr w:val="nil"/>
          <w:lang w:val="en-US"/>
        </w:rPr>
      </w:pPr>
    </w:p>
    <w:p w14:paraId="71F3EBB1" w14:textId="77777777" w:rsidR="00C70382" w:rsidRPr="008B0F0E" w:rsidRDefault="003A4815" w:rsidP="008B0F0E">
      <w:pPr>
        <w:pBdr>
          <w:top w:val="nil"/>
          <w:left w:val="nil"/>
          <w:bottom w:val="nil"/>
          <w:right w:val="nil"/>
          <w:between w:val="nil"/>
          <w:bar w:val="nil"/>
        </w:pBdr>
        <w:jc w:val="both"/>
        <w:rPr>
          <w:rFonts w:ascii="Arial" w:eastAsia="Arial" w:hAnsi="Arial" w:cs="Arial"/>
          <w:color w:val="000000"/>
          <w:bdr w:val="nil"/>
          <w:lang w:val="en-US"/>
        </w:rPr>
      </w:pPr>
      <w:r w:rsidRPr="008B0F0E">
        <w:rPr>
          <w:rFonts w:ascii="Arial" w:eastAsia="Arial" w:hAnsi="Arial" w:cs="Arial"/>
          <w:color w:val="000000"/>
          <w:lang w:val="en-US" w:bidi="en-US"/>
        </w:rPr>
        <w:t>Not applicable.</w:t>
      </w:r>
    </w:p>
    <w:p w14:paraId="71F3EBB2"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BB3" w14:textId="77777777" w:rsidR="00060A2B" w:rsidRPr="00FD22EC" w:rsidRDefault="003A4815" w:rsidP="00FD22EC">
      <w:pPr>
        <w:pStyle w:val="Heading1"/>
        <w:keepLines/>
        <w:pBdr>
          <w:top w:val="nil"/>
          <w:left w:val="nil"/>
          <w:bottom w:val="nil"/>
          <w:right w:val="nil"/>
          <w:between w:val="nil"/>
          <w:bar w:val="nil"/>
        </w:pBdr>
        <w:spacing w:before="0" w:after="0"/>
        <w:jc w:val="both"/>
        <w:rPr>
          <w:rFonts w:ascii="Arial" w:eastAsia="Arial" w:hAnsi="Arial" w:cs="Arial"/>
          <w:iCs/>
          <w:color w:val="auto"/>
          <w:kern w:val="0"/>
          <w:szCs w:val="28"/>
          <w:bdr w:val="nil"/>
          <w:lang w:bidi="en-US"/>
        </w:rPr>
      </w:pPr>
      <w:bookmarkStart w:id="293" w:name="part2item16d"/>
      <w:bookmarkStart w:id="294" w:name="RG_MARKER_23020"/>
      <w:bookmarkStart w:id="295" w:name="RG_MARKER_23019"/>
      <w:bookmarkStart w:id="296" w:name="_Toc222553138"/>
      <w:bookmarkStart w:id="297" w:name="_Toc223262952"/>
      <w:bookmarkStart w:id="298" w:name="_Toc103668652"/>
      <w:bookmarkEnd w:id="293"/>
      <w:r w:rsidRPr="00FD22EC">
        <w:rPr>
          <w:rFonts w:ascii="Arial" w:eastAsia="Arial" w:hAnsi="Arial" w:cs="Arial"/>
          <w:iCs/>
          <w:color w:val="auto"/>
          <w:kern w:val="0"/>
          <w:szCs w:val="28"/>
          <w:lang w:val="en-GB" w:bidi="en-US"/>
        </w:rPr>
        <w:t>Item 16D. Exemptions from the Listing Standards for Audit Committees</w:t>
      </w:r>
      <w:bookmarkEnd w:id="294"/>
      <w:bookmarkEnd w:id="295"/>
      <w:bookmarkEnd w:id="296"/>
      <w:bookmarkEnd w:id="297"/>
      <w:bookmarkEnd w:id="298"/>
    </w:p>
    <w:p w14:paraId="71F3EBB4" w14:textId="77777777" w:rsidR="002345C7" w:rsidRPr="00FD22EC" w:rsidRDefault="002345C7" w:rsidP="00FD22EC">
      <w:pPr>
        <w:keepNext/>
        <w:keepLines/>
        <w:pBdr>
          <w:top w:val="nil"/>
          <w:left w:val="nil"/>
          <w:bottom w:val="nil"/>
          <w:right w:val="nil"/>
          <w:between w:val="nil"/>
          <w:bar w:val="nil"/>
        </w:pBdr>
        <w:rPr>
          <w:rFonts w:ascii="Arial" w:eastAsia="Arial" w:hAnsi="Arial" w:cs="Arial"/>
          <w:bdr w:val="nil"/>
          <w:lang w:val="en-US"/>
        </w:rPr>
      </w:pPr>
    </w:p>
    <w:p w14:paraId="71F3EBB5" w14:textId="77777777" w:rsidR="00060A2B" w:rsidRPr="00FD22EC" w:rsidRDefault="003A4815" w:rsidP="00FD22EC">
      <w:pPr>
        <w:pBdr>
          <w:top w:val="nil"/>
          <w:left w:val="nil"/>
          <w:bottom w:val="nil"/>
          <w:right w:val="nil"/>
          <w:between w:val="nil"/>
          <w:bar w:val="nil"/>
        </w:pBdr>
        <w:jc w:val="both"/>
        <w:rPr>
          <w:rFonts w:ascii="Arial" w:eastAsia="Arial" w:hAnsi="Arial" w:cs="Arial"/>
          <w:bdr w:val="nil"/>
          <w:lang w:val="en-US"/>
        </w:rPr>
      </w:pPr>
      <w:r w:rsidRPr="00FD22EC">
        <w:rPr>
          <w:rFonts w:ascii="Arial" w:eastAsia="Arial" w:hAnsi="Arial" w:cs="Arial"/>
          <w:lang w:val="en-US" w:bidi="en-US"/>
        </w:rPr>
        <w:t>Our Audit Committee consists of two independent members of our Board of Directors. Otherwise, our Audit Committee conforms to each other requirement applicable to audit committees as required by the applicable listing standards of the NYSE.</w:t>
      </w:r>
    </w:p>
    <w:p w14:paraId="71F3EBB6" w14:textId="77777777" w:rsidR="00510CAA" w:rsidRDefault="00510CAA">
      <w:pPr>
        <w:pBdr>
          <w:top w:val="nil"/>
          <w:left w:val="nil"/>
          <w:bottom w:val="nil"/>
          <w:right w:val="nil"/>
          <w:between w:val="nil"/>
          <w:bar w:val="nil"/>
        </w:pBdr>
        <w:jc w:val="both"/>
        <w:rPr>
          <w:rFonts w:ascii="Arial" w:eastAsia="Arial" w:hAnsi="Arial" w:cs="Arial"/>
          <w:szCs w:val="20"/>
          <w:bdr w:val="nil"/>
        </w:rPr>
      </w:pPr>
    </w:p>
    <w:p w14:paraId="71F3EBB7" w14:textId="77777777" w:rsidR="00B07814" w:rsidRPr="00653D64" w:rsidRDefault="003A4815" w:rsidP="00BC392E">
      <w:pPr>
        <w:pStyle w:val="Heading1"/>
        <w:keepLines/>
        <w:pBdr>
          <w:top w:val="nil"/>
          <w:left w:val="nil"/>
          <w:bottom w:val="nil"/>
          <w:right w:val="nil"/>
          <w:between w:val="nil"/>
          <w:bar w:val="nil"/>
        </w:pBdr>
        <w:spacing w:before="0" w:after="0"/>
        <w:jc w:val="both"/>
        <w:rPr>
          <w:rFonts w:ascii="Arial" w:eastAsia="Arial" w:hAnsi="Arial" w:cs="Arial"/>
          <w:iCs/>
          <w:kern w:val="0"/>
          <w:szCs w:val="28"/>
          <w:bdr w:val="nil"/>
          <w:lang w:val="en-GB"/>
        </w:rPr>
      </w:pPr>
      <w:bookmarkStart w:id="299" w:name="part2item16e"/>
      <w:bookmarkStart w:id="300" w:name="RG_MARKER_23022"/>
      <w:bookmarkStart w:id="301" w:name="RG_MARKER_23021"/>
      <w:bookmarkStart w:id="302" w:name="_Toc222553139"/>
      <w:bookmarkStart w:id="303" w:name="_Toc223262953"/>
      <w:bookmarkStart w:id="304" w:name="_Toc103668653"/>
      <w:bookmarkEnd w:id="299"/>
      <w:r w:rsidRPr="00653D64">
        <w:rPr>
          <w:rFonts w:ascii="Arial" w:eastAsia="Arial" w:hAnsi="Arial" w:cs="Arial"/>
          <w:iCs/>
          <w:kern w:val="0"/>
          <w:szCs w:val="28"/>
          <w:lang w:val="en-GB"/>
        </w:rPr>
        <w:t>Item 16E. Purchases of Equity Securities by the Issuer and Affiliated Purchasers</w:t>
      </w:r>
      <w:bookmarkEnd w:id="300"/>
      <w:bookmarkEnd w:id="301"/>
      <w:bookmarkEnd w:id="302"/>
      <w:bookmarkEnd w:id="303"/>
      <w:bookmarkEnd w:id="304"/>
    </w:p>
    <w:p w14:paraId="71F3EBB8" w14:textId="77777777" w:rsidR="00025E13" w:rsidRPr="00653D64" w:rsidRDefault="00025E13" w:rsidP="00BC392E">
      <w:pPr>
        <w:keepNext/>
        <w:keepLines/>
        <w:pBdr>
          <w:top w:val="nil"/>
          <w:left w:val="nil"/>
          <w:bottom w:val="nil"/>
          <w:right w:val="nil"/>
          <w:between w:val="nil"/>
          <w:bar w:val="nil"/>
        </w:pBdr>
        <w:jc w:val="both"/>
        <w:rPr>
          <w:rFonts w:ascii="Arial" w:eastAsia="Arial" w:hAnsi="Arial" w:cs="Arial"/>
          <w:bdr w:val="nil"/>
        </w:rPr>
      </w:pPr>
    </w:p>
    <w:p w14:paraId="71F3EBB9" w14:textId="77777777" w:rsidR="00A13BE8" w:rsidRPr="00653D64" w:rsidRDefault="003A4815" w:rsidP="000C538D">
      <w:pPr>
        <w:keepNext/>
        <w:keepLines/>
        <w:pBdr>
          <w:top w:val="nil"/>
          <w:left w:val="nil"/>
          <w:bottom w:val="nil"/>
          <w:right w:val="nil"/>
          <w:between w:val="nil"/>
          <w:bar w:val="nil"/>
        </w:pBdr>
        <w:jc w:val="both"/>
        <w:rPr>
          <w:rFonts w:ascii="Arial" w:eastAsia="Arial" w:hAnsi="Arial" w:cs="Arial"/>
          <w:bdr w:val="nil"/>
        </w:rPr>
      </w:pPr>
      <w:r w:rsidRPr="00653D64">
        <w:rPr>
          <w:rFonts w:ascii="Arial" w:eastAsia="Arial" w:hAnsi="Arial" w:cs="Arial"/>
          <w:color w:val="000000"/>
          <w:lang w:val="en-GB"/>
        </w:rPr>
        <w:t xml:space="preserve">On May 23, 2014, we announced that our Board of Directors authorized a share repurchase plan for up to $100 million of the Company’s common shares. The plan does not have an expiration date. </w:t>
      </w:r>
      <w:r>
        <w:rPr>
          <w:rFonts w:ascii="Arial" w:eastAsia="Arial" w:hAnsi="Arial" w:cs="Arial"/>
          <w:color w:val="000000"/>
          <w:lang w:val="en-GB"/>
        </w:rPr>
        <w:t xml:space="preserve">During </w:t>
      </w:r>
      <w:r w:rsidR="00D56844">
        <w:rPr>
          <w:rFonts w:ascii="Arial" w:eastAsia="Arial" w:hAnsi="Arial" w:cs="Arial"/>
          <w:color w:val="000000"/>
          <w:lang w:val="en-GB"/>
        </w:rPr>
        <w:t>2025</w:t>
      </w:r>
      <w:r>
        <w:rPr>
          <w:rFonts w:ascii="Arial" w:eastAsia="Arial" w:hAnsi="Arial" w:cs="Arial"/>
          <w:color w:val="000000"/>
          <w:lang w:val="en-GB"/>
        </w:rPr>
        <w:t>, we did not repurchase any shares of common stock and a</w:t>
      </w:r>
      <w:r w:rsidRPr="00653D64">
        <w:rPr>
          <w:rFonts w:ascii="Arial" w:eastAsia="Arial" w:hAnsi="Arial" w:cs="Arial"/>
          <w:color w:val="000000"/>
          <w:lang w:val="en-GB"/>
        </w:rPr>
        <w:t>s of December 31, 2025 and the date of this report, there is an outstanding value of about $</w:t>
      </w:r>
      <w:r w:rsidR="00FA021F" w:rsidRPr="00653D64">
        <w:rPr>
          <w:rFonts w:ascii="Arial" w:eastAsia="Arial" w:hAnsi="Arial" w:cs="Arial"/>
          <w:color w:val="000000"/>
          <w:lang w:val="en-GB"/>
        </w:rPr>
        <w:t>66.3</w:t>
      </w:r>
      <w:r w:rsidRPr="00653D64">
        <w:rPr>
          <w:rFonts w:ascii="Arial" w:eastAsia="Arial" w:hAnsi="Arial" w:cs="Arial"/>
          <w:color w:val="000000"/>
          <w:lang w:val="en-GB"/>
        </w:rPr>
        <w:t xml:space="preserve"> million of common shares that can be repurchased under the plan. </w:t>
      </w:r>
      <w:r w:rsidR="00D56844" w:rsidRPr="00D56844">
        <w:rPr>
          <w:rFonts w:ascii="Arial" w:eastAsia="Arial" w:hAnsi="Arial" w:cs="Arial"/>
          <w:color w:val="000000"/>
          <w:lang w:val="en-GB"/>
        </w:rPr>
        <w:t>On December 2, 2024, the Company commenced a tender offer to purchase up to 15,000,000 shares of its outstanding common stock, at $2.00 per share, using funds available from cash and cash equivalents</w:t>
      </w:r>
      <w:r w:rsidR="00D56844">
        <w:rPr>
          <w:rFonts w:ascii="Arial" w:eastAsia="Arial" w:hAnsi="Arial" w:cs="Arial"/>
          <w:color w:val="000000"/>
          <w:lang w:val="en-GB"/>
        </w:rPr>
        <w:t>. T</w:t>
      </w:r>
      <w:r w:rsidR="00D56844" w:rsidRPr="00D56844">
        <w:rPr>
          <w:rFonts w:ascii="Arial" w:eastAsia="Arial" w:hAnsi="Arial" w:cs="Arial"/>
          <w:color w:val="000000"/>
          <w:lang w:val="en-GB"/>
        </w:rPr>
        <w:t xml:space="preserve">he tender offer was settled </w:t>
      </w:r>
      <w:r w:rsidR="00D56844">
        <w:rPr>
          <w:rFonts w:ascii="Arial" w:eastAsia="Arial" w:hAnsi="Arial" w:cs="Arial"/>
          <w:color w:val="000000"/>
          <w:lang w:val="en-GB"/>
        </w:rPr>
        <w:t>o</w:t>
      </w:r>
      <w:r w:rsidR="00D56844" w:rsidRPr="00D56844">
        <w:rPr>
          <w:rFonts w:ascii="Arial" w:eastAsia="Arial" w:hAnsi="Arial" w:cs="Arial"/>
          <w:color w:val="000000"/>
          <w:lang w:val="en-GB"/>
        </w:rPr>
        <w:t xml:space="preserve">n January 7, 2025 and </w:t>
      </w:r>
      <w:r w:rsidR="00D56844">
        <w:rPr>
          <w:rFonts w:ascii="Arial" w:eastAsia="Arial" w:hAnsi="Arial" w:cs="Arial"/>
          <w:color w:val="000000"/>
          <w:lang w:val="en-GB"/>
        </w:rPr>
        <w:t>we</w:t>
      </w:r>
      <w:r w:rsidR="00D56844" w:rsidRPr="00D56844">
        <w:rPr>
          <w:rFonts w:ascii="Arial" w:eastAsia="Arial" w:hAnsi="Arial" w:cs="Arial"/>
          <w:color w:val="000000"/>
          <w:lang w:val="en-GB"/>
        </w:rPr>
        <w:t xml:space="preserve"> purchased a total of 11,442,645 shares of common stock for an aggregate amount of $22</w:t>
      </w:r>
      <w:r w:rsidR="00D56844">
        <w:rPr>
          <w:rFonts w:ascii="Arial" w:eastAsia="Arial" w:hAnsi="Arial" w:cs="Arial"/>
          <w:color w:val="000000"/>
          <w:lang w:val="en-GB"/>
        </w:rPr>
        <w:t>.9 million.</w:t>
      </w:r>
    </w:p>
    <w:p w14:paraId="71F3EBBA" w14:textId="77777777" w:rsidR="00510CAA" w:rsidRDefault="00510CAA">
      <w:pPr>
        <w:pBdr>
          <w:top w:val="nil"/>
          <w:left w:val="nil"/>
          <w:bottom w:val="nil"/>
          <w:right w:val="nil"/>
          <w:between w:val="nil"/>
          <w:bar w:val="nil"/>
        </w:pBdr>
        <w:jc w:val="both"/>
        <w:rPr>
          <w:rFonts w:ascii="Arial" w:eastAsia="Arial" w:hAnsi="Arial" w:cs="Arial"/>
          <w:bdr w:val="nil"/>
        </w:rPr>
      </w:pPr>
    </w:p>
    <w:p w14:paraId="71F3EBBB" w14:textId="77777777" w:rsidR="00053472" w:rsidRPr="008157F7" w:rsidRDefault="003A4815" w:rsidP="008157F7">
      <w:pPr>
        <w:pStyle w:val="Heading1"/>
        <w:keepLines/>
        <w:pBdr>
          <w:top w:val="nil"/>
          <w:left w:val="nil"/>
          <w:bottom w:val="nil"/>
          <w:right w:val="nil"/>
          <w:between w:val="nil"/>
          <w:bar w:val="nil"/>
        </w:pBdr>
        <w:spacing w:before="0" w:after="0"/>
        <w:jc w:val="both"/>
        <w:rPr>
          <w:rFonts w:ascii="Arial" w:eastAsia="Arial" w:hAnsi="Arial" w:cs="Arial"/>
          <w:color w:val="auto"/>
          <w:szCs w:val="28"/>
          <w:bdr w:val="nil"/>
          <w:lang w:val="en-GB"/>
        </w:rPr>
      </w:pPr>
      <w:bookmarkStart w:id="305" w:name="part2item16f"/>
      <w:bookmarkStart w:id="306" w:name="RG_MARKER_23024"/>
      <w:bookmarkStart w:id="307" w:name="RG_MARKER_23023"/>
      <w:bookmarkEnd w:id="305"/>
      <w:r w:rsidRPr="008157F7">
        <w:rPr>
          <w:rFonts w:ascii="Arial" w:eastAsia="Arial" w:hAnsi="Arial" w:cs="Arial"/>
          <w:color w:val="auto"/>
          <w:szCs w:val="28"/>
          <w:lang w:val="en-GB"/>
        </w:rPr>
        <w:t>Item 16F.</w:t>
      </w:r>
      <w:bookmarkEnd w:id="306"/>
      <w:bookmarkEnd w:id="307"/>
      <w:r w:rsidRPr="008157F7">
        <w:rPr>
          <w:rFonts w:ascii="Arial" w:eastAsia="Arial" w:hAnsi="Arial" w:cs="Arial"/>
          <w:color w:val="auto"/>
          <w:szCs w:val="28"/>
          <w:lang w:val="en-GB"/>
        </w:rPr>
        <w:tab/>
        <w:t>Change in Registrant’s Certifying Accountant</w:t>
      </w:r>
    </w:p>
    <w:p w14:paraId="71F3EBBC" w14:textId="77777777" w:rsidR="002B5A49" w:rsidRPr="008157F7" w:rsidRDefault="002B5A49" w:rsidP="008157F7">
      <w:pPr>
        <w:keepNext/>
        <w:keepLines/>
        <w:pBdr>
          <w:top w:val="nil"/>
          <w:left w:val="nil"/>
          <w:bottom w:val="nil"/>
          <w:right w:val="nil"/>
          <w:between w:val="nil"/>
          <w:bar w:val="nil"/>
        </w:pBdr>
        <w:jc w:val="both"/>
        <w:rPr>
          <w:rFonts w:ascii="Arial" w:eastAsia="Arial" w:hAnsi="Arial" w:cs="Arial"/>
          <w:bdr w:val="nil"/>
          <w:lang w:val="en-GB"/>
        </w:rPr>
      </w:pPr>
    </w:p>
    <w:p w14:paraId="71F3EBBD" w14:textId="77777777" w:rsidR="00B93FD0" w:rsidRPr="00867E31" w:rsidRDefault="003A4815" w:rsidP="00867E31">
      <w:pPr>
        <w:pBdr>
          <w:top w:val="nil"/>
          <w:left w:val="nil"/>
          <w:bottom w:val="nil"/>
          <w:right w:val="nil"/>
          <w:between w:val="nil"/>
          <w:bar w:val="nil"/>
        </w:pBdr>
        <w:jc w:val="both"/>
        <w:rPr>
          <w:rFonts w:ascii="Arial" w:eastAsia="Arial" w:hAnsi="Arial" w:cs="Arial"/>
          <w:bdr w:val="nil"/>
          <w:lang w:val="en-GB"/>
        </w:rPr>
      </w:pPr>
      <w:r w:rsidRPr="00226DD4">
        <w:rPr>
          <w:rFonts w:ascii="Arial" w:eastAsia="Arial" w:hAnsi="Arial" w:cs="Arial"/>
          <w:lang w:val="en-GB"/>
        </w:rPr>
        <w:t>Not applicable</w:t>
      </w:r>
      <w:r>
        <w:rPr>
          <w:rFonts w:ascii="Arial" w:eastAsia="Arial" w:hAnsi="Arial" w:cs="Arial"/>
          <w:lang w:val="en-GB"/>
        </w:rPr>
        <w:t>.</w:t>
      </w:r>
    </w:p>
    <w:p w14:paraId="71F3EBBE"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BBF" w14:textId="77777777" w:rsidR="00F567E8" w:rsidRPr="00AF4A38" w:rsidRDefault="003A4815" w:rsidP="00AF4A38">
      <w:pPr>
        <w:pStyle w:val="Heading1"/>
        <w:keepLines/>
        <w:pBdr>
          <w:top w:val="nil"/>
          <w:left w:val="nil"/>
          <w:bottom w:val="nil"/>
          <w:right w:val="nil"/>
          <w:between w:val="nil"/>
          <w:bar w:val="nil"/>
        </w:pBdr>
        <w:spacing w:before="0" w:after="0"/>
        <w:rPr>
          <w:rFonts w:ascii="Arial" w:eastAsia="Arial" w:hAnsi="Arial" w:cs="Arial"/>
          <w:iCs/>
          <w:color w:val="auto"/>
          <w:kern w:val="0"/>
          <w:szCs w:val="28"/>
          <w:bdr w:val="nil"/>
          <w:lang w:bidi="en-US"/>
        </w:rPr>
      </w:pPr>
      <w:bookmarkStart w:id="308" w:name="part2item16g"/>
      <w:bookmarkStart w:id="309" w:name="RG_MARKER_23026"/>
      <w:bookmarkStart w:id="310" w:name="RG_MARKER_23025"/>
      <w:bookmarkEnd w:id="308"/>
      <w:r w:rsidRPr="00AF4A38">
        <w:rPr>
          <w:rFonts w:ascii="Arial" w:eastAsia="Arial" w:hAnsi="Arial" w:cs="Arial"/>
          <w:iCs/>
          <w:color w:val="auto"/>
          <w:kern w:val="0"/>
          <w:szCs w:val="28"/>
          <w:bdr w:val="none" w:sz="0" w:space="0" w:color="auto" w:frame="1"/>
          <w:lang w:val="en-GB" w:bidi="en-US"/>
        </w:rPr>
        <w:t>Item 16G.</w:t>
      </w:r>
      <w:bookmarkEnd w:id="309"/>
      <w:bookmarkEnd w:id="310"/>
      <w:r w:rsidRPr="00AF4A38">
        <w:rPr>
          <w:rFonts w:ascii="Arial" w:eastAsia="Arial" w:hAnsi="Arial" w:cs="Arial"/>
          <w:iCs/>
          <w:color w:val="auto"/>
          <w:kern w:val="0"/>
          <w:szCs w:val="28"/>
          <w:bdr w:val="none" w:sz="0" w:space="0" w:color="auto" w:frame="1"/>
          <w:lang w:val="en-GB" w:bidi="en-US"/>
        </w:rPr>
        <w:tab/>
        <w:t>Corporate Governance</w:t>
      </w:r>
    </w:p>
    <w:p w14:paraId="71F3EBC0" w14:textId="77777777" w:rsidR="00855D02" w:rsidRPr="00AF4A38" w:rsidRDefault="00855D02" w:rsidP="00AF4A38">
      <w:pPr>
        <w:keepNext/>
        <w:keepLines/>
        <w:pBdr>
          <w:top w:val="nil"/>
          <w:left w:val="nil"/>
          <w:bottom w:val="nil"/>
          <w:right w:val="nil"/>
          <w:between w:val="nil"/>
          <w:bar w:val="nil"/>
        </w:pBdr>
        <w:jc w:val="both"/>
        <w:rPr>
          <w:rFonts w:ascii="Arial" w:eastAsia="Arial" w:hAnsi="Arial" w:cs="Arial"/>
          <w:bdr w:val="nil"/>
          <w:lang w:val="en-GB"/>
        </w:rPr>
      </w:pPr>
    </w:p>
    <w:p w14:paraId="71F3EBC1" w14:textId="77777777" w:rsidR="009739D0"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Overview</w:t>
      </w:r>
    </w:p>
    <w:p w14:paraId="71F3EBC2" w14:textId="77777777" w:rsidR="009739D0" w:rsidRPr="00AF4A38" w:rsidRDefault="009739D0" w:rsidP="00AF4A38">
      <w:pPr>
        <w:keepNext/>
        <w:keepLines/>
        <w:pBdr>
          <w:top w:val="nil"/>
          <w:left w:val="nil"/>
          <w:bottom w:val="nil"/>
          <w:right w:val="nil"/>
          <w:between w:val="nil"/>
          <w:bar w:val="nil"/>
        </w:pBdr>
        <w:jc w:val="both"/>
        <w:rPr>
          <w:rFonts w:ascii="Arial" w:eastAsia="Arial" w:hAnsi="Arial" w:cs="Arial"/>
          <w:bdr w:val="nil"/>
          <w:lang w:val="en-US"/>
        </w:rPr>
      </w:pPr>
    </w:p>
    <w:p w14:paraId="71F3EBC3" w14:textId="77777777" w:rsidR="00F30CB6"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Pursuant to an exception for foreign private issuers, we, as a Marshall Islands company, are not required to comply with the corporate governance practices followed by U.S. companies under the NYSE listing standards.  We believe that our established practices in the area of corporate governance are in line with the spirit of the NYSE standards and provide adequate protection to our shareholders.  In fact, we have voluntarily adopted NYSE required practices, such as (a) having a majority of independent directors, (b) establishing audit, compensation, sustainability and nominating committees and (c) adopting a Code of Ethics.  The significant differences between our corporate governance practices and the NYSE standards are set forth below. </w:t>
      </w:r>
    </w:p>
    <w:p w14:paraId="71F3EBC4" w14:textId="77777777" w:rsidR="001077F4" w:rsidRPr="00AF4A38" w:rsidRDefault="001077F4" w:rsidP="00AF4A38">
      <w:pPr>
        <w:pBdr>
          <w:top w:val="nil"/>
          <w:left w:val="nil"/>
          <w:bottom w:val="nil"/>
          <w:right w:val="nil"/>
          <w:between w:val="nil"/>
          <w:bar w:val="nil"/>
        </w:pBdr>
        <w:jc w:val="both"/>
        <w:rPr>
          <w:rFonts w:ascii="Arial" w:eastAsia="Arial" w:hAnsi="Arial" w:cs="Arial"/>
          <w:bdr w:val="nil"/>
          <w:lang w:val="en-US"/>
        </w:rPr>
      </w:pPr>
    </w:p>
    <w:p w14:paraId="71F3EBC5" w14:textId="77777777" w:rsidR="009739D0"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Executive Sessions</w:t>
      </w:r>
    </w:p>
    <w:p w14:paraId="71F3EBC6" w14:textId="77777777" w:rsidR="009739D0" w:rsidRPr="00AF4A38" w:rsidRDefault="009739D0" w:rsidP="00AF4A38">
      <w:pPr>
        <w:keepNext/>
        <w:keepLines/>
        <w:pBdr>
          <w:top w:val="nil"/>
          <w:left w:val="nil"/>
          <w:bottom w:val="nil"/>
          <w:right w:val="nil"/>
          <w:between w:val="nil"/>
          <w:bar w:val="nil"/>
        </w:pBdr>
        <w:jc w:val="both"/>
        <w:rPr>
          <w:rFonts w:ascii="Arial" w:eastAsia="Arial" w:hAnsi="Arial" w:cs="Arial"/>
          <w:bdr w:val="nil"/>
          <w:lang w:val="en-US"/>
        </w:rPr>
      </w:pPr>
    </w:p>
    <w:p w14:paraId="71F3EBC7" w14:textId="77777777" w:rsidR="008F20AA"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The NYSE requires that non-management directors meet regularly in executive sessions without management.  The NYSE also requires that all independent directors meet in an executive session at least once a year.  As permitted under Marshall Islands law and our bylaws, our non-management directors do not regularly hold executive sessions without management and we do not expect them to do so in the future.</w:t>
      </w:r>
    </w:p>
    <w:p w14:paraId="71F3EBC8" w14:textId="77777777" w:rsidR="00095352" w:rsidRPr="00AF4A38" w:rsidRDefault="00095352" w:rsidP="00AF4A38">
      <w:pPr>
        <w:pBdr>
          <w:top w:val="nil"/>
          <w:left w:val="nil"/>
          <w:bottom w:val="nil"/>
          <w:right w:val="nil"/>
          <w:between w:val="nil"/>
          <w:bar w:val="nil"/>
        </w:pBdr>
        <w:jc w:val="both"/>
        <w:rPr>
          <w:rFonts w:ascii="Arial" w:eastAsia="Arial" w:hAnsi="Arial" w:cs="Arial"/>
          <w:bdr w:val="nil"/>
          <w:lang w:val="en-US"/>
        </w:rPr>
      </w:pPr>
    </w:p>
    <w:p w14:paraId="71F3EBC9" w14:textId="77777777" w:rsidR="009739D0"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Audit Committee</w:t>
      </w:r>
    </w:p>
    <w:p w14:paraId="71F3EBCA" w14:textId="77777777" w:rsidR="009739D0" w:rsidRPr="00AF4A38" w:rsidRDefault="009739D0" w:rsidP="00AF4A38">
      <w:pPr>
        <w:keepNext/>
        <w:keepLines/>
        <w:pBdr>
          <w:top w:val="nil"/>
          <w:left w:val="nil"/>
          <w:bottom w:val="nil"/>
          <w:right w:val="nil"/>
          <w:between w:val="nil"/>
          <w:bar w:val="nil"/>
        </w:pBdr>
        <w:jc w:val="both"/>
        <w:rPr>
          <w:rFonts w:ascii="Arial" w:eastAsia="Arial" w:hAnsi="Arial" w:cs="Arial"/>
          <w:bdr w:val="nil"/>
          <w:lang w:val="en-US"/>
        </w:rPr>
      </w:pPr>
    </w:p>
    <w:p w14:paraId="71F3EBCB" w14:textId="77777777" w:rsidR="008F20AA"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The NYSE requires, among other things, that a company have an audit committee with a minimum of three members.  Our Audit Committee consists of two independent members of our Board of Directors. Our Audit Committee conforms to every other requirement applicable to audit committees set forth in the listing standards of the NYSE.</w:t>
      </w:r>
    </w:p>
    <w:p w14:paraId="71F3EBCC" w14:textId="77777777" w:rsidR="00E976AE" w:rsidRPr="00AF4A38" w:rsidRDefault="00E976AE" w:rsidP="00AF4A38">
      <w:pPr>
        <w:pBdr>
          <w:top w:val="nil"/>
          <w:left w:val="nil"/>
          <w:bottom w:val="nil"/>
          <w:right w:val="nil"/>
          <w:between w:val="nil"/>
          <w:bar w:val="nil"/>
        </w:pBdr>
        <w:jc w:val="both"/>
        <w:rPr>
          <w:rFonts w:ascii="Arial" w:eastAsia="Arial" w:hAnsi="Arial" w:cs="Arial"/>
          <w:bdr w:val="nil"/>
          <w:lang w:val="en-US"/>
        </w:rPr>
      </w:pPr>
    </w:p>
    <w:p w14:paraId="71F3EBCD" w14:textId="77777777" w:rsidR="00E976AE"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Shareholder Approval of Equity Compensation Plans</w:t>
      </w:r>
    </w:p>
    <w:p w14:paraId="71F3EBCE" w14:textId="77777777" w:rsidR="00E976AE" w:rsidRPr="00AF4A38" w:rsidRDefault="00E976AE" w:rsidP="00AF4A38">
      <w:pPr>
        <w:keepNext/>
        <w:keepLines/>
        <w:pBdr>
          <w:top w:val="nil"/>
          <w:left w:val="nil"/>
          <w:bottom w:val="nil"/>
          <w:right w:val="nil"/>
          <w:between w:val="nil"/>
          <w:bar w:val="nil"/>
        </w:pBdr>
        <w:jc w:val="both"/>
        <w:rPr>
          <w:rFonts w:ascii="Arial" w:eastAsia="Arial" w:hAnsi="Arial" w:cs="Arial"/>
          <w:bdr w:val="nil"/>
          <w:lang w:val="en-US"/>
        </w:rPr>
      </w:pPr>
    </w:p>
    <w:p w14:paraId="71F3EBCF" w14:textId="77777777" w:rsidR="00E976AE"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The NYSE requires listed companies to obtain prior shareholder approval to adopt or materially revise any equity compensation plan. As permitted under Marshall Islands law and our amended and restated bylaws, we do not need prior shareholder approval to adopt or revise equity compensation plans, including our equity incentive plan.</w:t>
      </w:r>
    </w:p>
    <w:p w14:paraId="71F3EBD0" w14:textId="77777777" w:rsidR="00E976AE" w:rsidRPr="00AF4A38" w:rsidRDefault="00E976AE" w:rsidP="00AF4A38">
      <w:pPr>
        <w:pBdr>
          <w:top w:val="nil"/>
          <w:left w:val="nil"/>
          <w:bottom w:val="nil"/>
          <w:right w:val="nil"/>
          <w:between w:val="nil"/>
          <w:bar w:val="nil"/>
        </w:pBdr>
        <w:jc w:val="both"/>
        <w:rPr>
          <w:rFonts w:ascii="Arial" w:eastAsia="Arial" w:hAnsi="Arial" w:cs="Arial"/>
          <w:bdr w:val="nil"/>
          <w:lang w:val="en-US"/>
        </w:rPr>
      </w:pPr>
    </w:p>
    <w:p w14:paraId="71F3EBD1" w14:textId="77777777" w:rsidR="009739D0"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Corporate Governance Guidelines</w:t>
      </w:r>
    </w:p>
    <w:p w14:paraId="71F3EBD2" w14:textId="77777777" w:rsidR="009739D0" w:rsidRPr="00AF4A38" w:rsidRDefault="003A4815" w:rsidP="00AF4A38">
      <w:pPr>
        <w:keepNext/>
        <w:keepLines/>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 xml:space="preserve"> </w:t>
      </w:r>
    </w:p>
    <w:p w14:paraId="71F3EBD3" w14:textId="77777777" w:rsidR="008F20AA"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 xml:space="preserve">The NYSE requires companies to adopt and disclose corporate governance guidelines.  The guidelines must address, among other things: director qualification standards, director responsibilities, director access to management and independent advisers, director compensation, director orientation and continuing education, management succession and an annual performance evaluation.  We are not required to adopt such guidelines under Marshall Islands law and we have not adopted such guidelines.  </w:t>
      </w:r>
    </w:p>
    <w:p w14:paraId="71F3EBD4" w14:textId="77777777" w:rsidR="00AC583F" w:rsidRPr="00AF4A38" w:rsidRDefault="00AC583F" w:rsidP="00AF4A38">
      <w:pPr>
        <w:pBdr>
          <w:top w:val="nil"/>
          <w:left w:val="nil"/>
          <w:bottom w:val="nil"/>
          <w:right w:val="nil"/>
          <w:between w:val="nil"/>
          <w:bar w:val="nil"/>
        </w:pBdr>
        <w:jc w:val="both"/>
        <w:rPr>
          <w:rFonts w:ascii="Arial" w:eastAsia="Arial" w:hAnsi="Arial" w:cs="Arial"/>
          <w:bdr w:val="nil"/>
          <w:lang w:val="en-US"/>
        </w:rPr>
      </w:pPr>
    </w:p>
    <w:p w14:paraId="71F3EBD5" w14:textId="77777777" w:rsidR="00AC583F" w:rsidRPr="00AF4A38" w:rsidRDefault="003A4815" w:rsidP="00AF4A38">
      <w:pPr>
        <w:pStyle w:val="Heading5"/>
        <w:keepNext/>
        <w:keepLines/>
        <w:pBdr>
          <w:top w:val="nil"/>
          <w:left w:val="nil"/>
          <w:bottom w:val="nil"/>
          <w:right w:val="nil"/>
          <w:between w:val="nil"/>
          <w:bar w:val="nil"/>
        </w:pBdr>
        <w:spacing w:before="0" w:after="0"/>
        <w:jc w:val="both"/>
        <w:rPr>
          <w:rFonts w:ascii="Arial" w:eastAsia="Arial" w:hAnsi="Arial" w:cs="Arial"/>
          <w:i w:val="0"/>
          <w:iCs w:val="0"/>
          <w:sz w:val="22"/>
          <w:szCs w:val="22"/>
          <w:bdr w:val="nil"/>
          <w:lang w:bidi="en-US"/>
        </w:rPr>
      </w:pPr>
      <w:r w:rsidRPr="00AF4A38">
        <w:rPr>
          <w:rFonts w:ascii="Arial" w:eastAsia="Arial" w:hAnsi="Arial" w:cs="Arial"/>
          <w:i w:val="0"/>
          <w:iCs w:val="0"/>
          <w:sz w:val="22"/>
          <w:szCs w:val="22"/>
          <w:lang w:bidi="en-US"/>
        </w:rPr>
        <w:t>Share Issuances</w:t>
      </w:r>
    </w:p>
    <w:p w14:paraId="71F3EBD6" w14:textId="77777777" w:rsidR="00AC583F" w:rsidRPr="00AF4A38" w:rsidRDefault="003A4815" w:rsidP="00AF4A38">
      <w:pPr>
        <w:keepNext/>
        <w:keepLines/>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lang w:val="en-US" w:bidi="en-US"/>
        </w:rPr>
        <w:t xml:space="preserve"> </w:t>
      </w:r>
    </w:p>
    <w:p w14:paraId="71F3EBD7" w14:textId="77777777" w:rsidR="005564AE" w:rsidRPr="00AF4A38" w:rsidRDefault="003A4815" w:rsidP="00AF4A38">
      <w:pPr>
        <w:pBdr>
          <w:top w:val="nil"/>
          <w:left w:val="nil"/>
          <w:bottom w:val="nil"/>
          <w:right w:val="nil"/>
          <w:between w:val="nil"/>
          <w:bar w:val="nil"/>
        </w:pBdr>
        <w:jc w:val="both"/>
        <w:rPr>
          <w:rFonts w:ascii="Arial" w:eastAsia="Arial" w:hAnsi="Arial" w:cs="Arial"/>
          <w:bdr w:val="nil"/>
          <w:lang w:val="en-US"/>
        </w:rPr>
      </w:pPr>
      <w:r w:rsidRPr="00AF4A38">
        <w:rPr>
          <w:rFonts w:ascii="Arial" w:eastAsia="Arial" w:hAnsi="Arial" w:cs="Arial"/>
          <w:bdr w:val="none" w:sz="0" w:space="0" w:color="auto" w:frame="1"/>
          <w:lang w:val="en-US" w:bidi="en-US"/>
        </w:rPr>
        <w:t>In lieu of obtaining shareholder approval prior to the issuance of designated securities, we will comply with provisions of the Marshall Islands Business Corporations Act, which allows the Board of Directors to approve share issuances. Additionally, the NYSE restricts the issuance of super voting stock such as our Series C Preferred Shares.  However, pursuant to 313.00 of Section 3 of the NYSE Listed Company Manual, the NYSE will accept any action or issuance relating to the voting rights structure of a non-U.S. company that is in compliance with the NYSE’s requirements for domestic companies or that is not prohibited by the company's home country law. We are not subject to such restrictions under our home country, Marshall Islands, law.</w:t>
      </w:r>
    </w:p>
    <w:p w14:paraId="71F3EBD8" w14:textId="77777777" w:rsidR="00510CAA" w:rsidRDefault="00510CAA">
      <w:pPr>
        <w:pBdr>
          <w:top w:val="nil"/>
          <w:left w:val="nil"/>
          <w:bottom w:val="nil"/>
          <w:right w:val="nil"/>
          <w:between w:val="nil"/>
          <w:bar w:val="nil"/>
        </w:pBdr>
        <w:jc w:val="both"/>
        <w:rPr>
          <w:rFonts w:ascii="Arial" w:eastAsia="Arial" w:hAnsi="Arial" w:cs="Arial"/>
          <w:bdr w:val="nil"/>
        </w:rPr>
      </w:pPr>
    </w:p>
    <w:p w14:paraId="71F3EBD9" w14:textId="77777777" w:rsidR="00917A28" w:rsidRPr="007D30FE" w:rsidRDefault="003A4815" w:rsidP="007D30FE">
      <w:pPr>
        <w:pStyle w:val="Heading1"/>
        <w:keepLines/>
        <w:pBdr>
          <w:top w:val="nil"/>
          <w:left w:val="nil"/>
          <w:bottom w:val="nil"/>
          <w:right w:val="nil"/>
          <w:between w:val="nil"/>
          <w:bar w:val="nil"/>
        </w:pBdr>
        <w:spacing w:before="0" w:after="0"/>
        <w:jc w:val="both"/>
        <w:rPr>
          <w:rFonts w:ascii="Arial" w:eastAsia="Arial" w:hAnsi="Arial" w:cs="Arial"/>
          <w:color w:val="auto"/>
          <w:kern w:val="0"/>
          <w:bdr w:val="nil"/>
        </w:rPr>
      </w:pPr>
      <w:bookmarkStart w:id="311" w:name="part2item16h"/>
      <w:bookmarkStart w:id="312" w:name="RG_MARKER_23030"/>
      <w:bookmarkStart w:id="313" w:name="RG_MARKER_23027"/>
      <w:bookmarkStart w:id="314" w:name="_Toc222553140"/>
      <w:bookmarkStart w:id="315" w:name="_Toc223262954"/>
      <w:bookmarkEnd w:id="311"/>
      <w:r w:rsidRPr="007D30FE">
        <w:rPr>
          <w:rFonts w:ascii="Arial" w:eastAsia="Arial" w:hAnsi="Arial" w:cs="Arial"/>
          <w:iCs/>
          <w:color w:val="auto"/>
          <w:kern w:val="0"/>
          <w:szCs w:val="28"/>
          <w:lang w:val="en-GB" w:bidi="en-US"/>
        </w:rPr>
        <w:t xml:space="preserve">Item 16H. </w:t>
      </w:r>
      <w:bookmarkEnd w:id="312"/>
      <w:bookmarkEnd w:id="313"/>
      <w:bookmarkEnd w:id="314"/>
      <w:bookmarkEnd w:id="315"/>
      <w:r w:rsidRPr="007D30FE">
        <w:rPr>
          <w:rFonts w:ascii="Arial" w:eastAsia="Arial" w:hAnsi="Arial" w:cs="Arial"/>
          <w:iCs/>
          <w:color w:val="auto"/>
          <w:kern w:val="0"/>
          <w:szCs w:val="28"/>
          <w:lang w:val="en-GB" w:bidi="en-US"/>
        </w:rPr>
        <w:t>Mine Safety Disclosure</w:t>
      </w:r>
    </w:p>
    <w:p w14:paraId="71F3EBDA" w14:textId="77777777" w:rsidR="00917A28" w:rsidRPr="007D30FE" w:rsidRDefault="00917A28" w:rsidP="007D30FE">
      <w:pPr>
        <w:keepNext/>
        <w:keepLines/>
        <w:pBdr>
          <w:top w:val="nil"/>
          <w:left w:val="nil"/>
          <w:bottom w:val="nil"/>
          <w:right w:val="nil"/>
          <w:between w:val="nil"/>
          <w:bar w:val="nil"/>
        </w:pBdr>
        <w:jc w:val="both"/>
        <w:rPr>
          <w:rFonts w:ascii="Arial" w:eastAsia="Arial" w:hAnsi="Arial" w:cs="Arial"/>
          <w:bdr w:val="nil"/>
          <w:lang w:val="en-US"/>
        </w:rPr>
      </w:pPr>
    </w:p>
    <w:p w14:paraId="71F3EBDB" w14:textId="77777777" w:rsidR="00917A28" w:rsidRPr="007D30FE" w:rsidRDefault="003A4815" w:rsidP="007D30FE">
      <w:pPr>
        <w:pBdr>
          <w:top w:val="nil"/>
          <w:left w:val="nil"/>
          <w:bottom w:val="nil"/>
          <w:right w:val="nil"/>
          <w:between w:val="nil"/>
          <w:bar w:val="nil"/>
        </w:pBdr>
        <w:jc w:val="both"/>
        <w:rPr>
          <w:rFonts w:ascii="Arial" w:eastAsia="Arial" w:hAnsi="Arial" w:cs="Arial"/>
          <w:bdr w:val="nil"/>
          <w:lang w:val="en-US"/>
        </w:rPr>
      </w:pPr>
      <w:r w:rsidRPr="007D30FE">
        <w:rPr>
          <w:rFonts w:ascii="Arial" w:eastAsia="Arial" w:hAnsi="Arial" w:cs="Arial"/>
          <w:lang w:val="en-US"/>
        </w:rPr>
        <w:t>Not applicable.</w:t>
      </w:r>
    </w:p>
    <w:p w14:paraId="71F3EBDC" w14:textId="77777777" w:rsidR="00510CAA" w:rsidRDefault="00510CAA">
      <w:pPr>
        <w:pBdr>
          <w:top w:val="nil"/>
          <w:left w:val="nil"/>
          <w:bottom w:val="nil"/>
          <w:right w:val="nil"/>
          <w:between w:val="nil"/>
          <w:bar w:val="nil"/>
        </w:pBdr>
        <w:jc w:val="both"/>
        <w:rPr>
          <w:rFonts w:ascii="Arial" w:eastAsia="Arial" w:hAnsi="Arial" w:cs="Arial"/>
          <w:bdr w:val="nil"/>
        </w:rPr>
      </w:pPr>
    </w:p>
    <w:p w14:paraId="71F3EBDD" w14:textId="77777777" w:rsidR="00B60F1D" w:rsidRPr="000C269A" w:rsidRDefault="003A4815" w:rsidP="00B60F1D">
      <w:pPr>
        <w:pStyle w:val="Heading1"/>
        <w:keepLines/>
        <w:pBdr>
          <w:top w:val="nil"/>
          <w:left w:val="nil"/>
          <w:bottom w:val="nil"/>
          <w:right w:val="nil"/>
          <w:between w:val="nil"/>
          <w:bar w:val="nil"/>
        </w:pBdr>
        <w:spacing w:before="0" w:after="0"/>
        <w:jc w:val="both"/>
        <w:rPr>
          <w:rFonts w:ascii="Arial" w:eastAsia="Arial" w:hAnsi="Arial" w:cs="Arial"/>
          <w:color w:val="auto"/>
          <w:kern w:val="0"/>
          <w:bdr w:val="nil"/>
        </w:rPr>
      </w:pPr>
      <w:bookmarkStart w:id="316" w:name="part2item16i"/>
      <w:bookmarkStart w:id="317" w:name="RG_MARKER_23029"/>
      <w:bookmarkStart w:id="318" w:name="RG_MARKER_23028"/>
      <w:bookmarkEnd w:id="316"/>
      <w:r w:rsidRPr="000C269A">
        <w:rPr>
          <w:rFonts w:ascii="Arial" w:eastAsia="Arial" w:hAnsi="Arial" w:cs="Arial"/>
          <w:color w:val="auto"/>
          <w:kern w:val="0"/>
          <w:szCs w:val="28"/>
          <w:bdr w:val="none" w:sz="0" w:space="0" w:color="auto" w:frame="1"/>
          <w:lang w:val="en-GB" w:bidi="en-US"/>
        </w:rPr>
        <w:t>Item 16I. Disclosure Regarding Foreign Jurisdictions that Prevent Inspections</w:t>
      </w:r>
      <w:bookmarkEnd w:id="317"/>
      <w:bookmarkEnd w:id="318"/>
    </w:p>
    <w:p w14:paraId="71F3EBDE" w14:textId="77777777" w:rsidR="00917A28" w:rsidRPr="000C269A" w:rsidRDefault="00917A28" w:rsidP="004F71AF">
      <w:pPr>
        <w:keepNext/>
        <w:keepLines/>
        <w:pBdr>
          <w:top w:val="nil"/>
          <w:left w:val="nil"/>
          <w:bottom w:val="nil"/>
          <w:right w:val="nil"/>
          <w:between w:val="nil"/>
          <w:bar w:val="nil"/>
        </w:pBdr>
        <w:jc w:val="both"/>
        <w:rPr>
          <w:rFonts w:ascii="Arial" w:eastAsia="Arial" w:hAnsi="Arial" w:cs="Arial"/>
          <w:bdr w:val="nil"/>
          <w:lang w:val="en-US"/>
        </w:rPr>
      </w:pPr>
    </w:p>
    <w:p w14:paraId="71F3EBDF" w14:textId="77777777" w:rsidR="00917A28" w:rsidRPr="000C269A" w:rsidRDefault="003A4815" w:rsidP="00045E43">
      <w:pPr>
        <w:pBdr>
          <w:top w:val="nil"/>
          <w:left w:val="nil"/>
          <w:bottom w:val="nil"/>
          <w:right w:val="nil"/>
          <w:between w:val="nil"/>
          <w:bar w:val="nil"/>
        </w:pBdr>
        <w:jc w:val="both"/>
        <w:rPr>
          <w:rFonts w:ascii="Arial" w:eastAsia="Arial" w:hAnsi="Arial" w:cs="Arial"/>
          <w:bdr w:val="nil"/>
        </w:rPr>
      </w:pPr>
      <w:r w:rsidRPr="000C269A">
        <w:rPr>
          <w:rFonts w:ascii="Arial" w:eastAsia="Arial" w:hAnsi="Arial" w:cs="Arial"/>
        </w:rPr>
        <w:t>Not applicable.</w:t>
      </w:r>
    </w:p>
    <w:p w14:paraId="71F3EBE0" w14:textId="77777777" w:rsidR="00510CAA" w:rsidRDefault="00510CAA">
      <w:pPr>
        <w:pBdr>
          <w:top w:val="nil"/>
          <w:left w:val="nil"/>
          <w:bottom w:val="nil"/>
          <w:right w:val="nil"/>
          <w:between w:val="nil"/>
          <w:bar w:val="nil"/>
        </w:pBdr>
        <w:jc w:val="both"/>
        <w:rPr>
          <w:rFonts w:ascii="Arial" w:eastAsia="Arial" w:hAnsi="Arial" w:cs="Arial"/>
          <w:bdr w:val="nil"/>
        </w:rPr>
      </w:pPr>
    </w:p>
    <w:p w14:paraId="71F3EBE1" w14:textId="77777777" w:rsidR="00F5327A" w:rsidRPr="0033497A" w:rsidRDefault="003A4815" w:rsidP="0033497A">
      <w:pPr>
        <w:pStyle w:val="Heading1"/>
        <w:pBdr>
          <w:top w:val="nil"/>
          <w:left w:val="nil"/>
          <w:bottom w:val="nil"/>
          <w:right w:val="nil"/>
          <w:between w:val="nil"/>
          <w:bar w:val="nil"/>
        </w:pBdr>
        <w:spacing w:before="0" w:after="0"/>
        <w:jc w:val="both"/>
        <w:rPr>
          <w:rFonts w:ascii="Arial" w:eastAsia="Arial" w:hAnsi="Arial" w:cs="Arial"/>
          <w:color w:val="auto"/>
          <w:kern w:val="0"/>
          <w:bdr w:val="nil"/>
        </w:rPr>
      </w:pPr>
      <w:bookmarkStart w:id="319" w:name="part2item16j"/>
      <w:bookmarkStart w:id="320" w:name="RG_MARKER_23153"/>
      <w:bookmarkStart w:id="321" w:name="RG_MARKER_23152"/>
      <w:bookmarkEnd w:id="319"/>
      <w:r w:rsidRPr="0033497A">
        <w:rPr>
          <w:rFonts w:ascii="Arial" w:eastAsia="Arial" w:hAnsi="Arial" w:cs="Arial"/>
          <w:iCs/>
          <w:color w:val="auto"/>
          <w:kern w:val="0"/>
          <w:szCs w:val="28"/>
          <w:lang w:val="en-GB" w:bidi="en-US"/>
        </w:rPr>
        <w:t xml:space="preserve">Item 16J. Insider Trading Policies </w:t>
      </w:r>
      <w:bookmarkEnd w:id="320"/>
      <w:bookmarkEnd w:id="321"/>
    </w:p>
    <w:p w14:paraId="71F3EBE2" w14:textId="77777777" w:rsidR="00F5327A" w:rsidRDefault="00F5327A" w:rsidP="00F5327A">
      <w:pPr>
        <w:pBdr>
          <w:top w:val="nil"/>
          <w:left w:val="nil"/>
          <w:bottom w:val="nil"/>
          <w:right w:val="nil"/>
          <w:between w:val="nil"/>
          <w:bar w:val="nil"/>
        </w:pBdr>
        <w:jc w:val="both"/>
        <w:rPr>
          <w:rFonts w:ascii="Arial" w:eastAsia="Arial" w:hAnsi="Arial" w:cs="Arial"/>
          <w:highlight w:val="yellow"/>
          <w:bdr w:val="nil"/>
          <w:lang w:val="en-GB" w:bidi="en-US"/>
        </w:rPr>
      </w:pPr>
    </w:p>
    <w:p w14:paraId="71F3EBE3" w14:textId="77777777" w:rsidR="00F5327A" w:rsidRDefault="003A4815" w:rsidP="00077928">
      <w:pPr>
        <w:pBdr>
          <w:top w:val="nil"/>
          <w:left w:val="nil"/>
          <w:bottom w:val="nil"/>
          <w:right w:val="nil"/>
          <w:between w:val="nil"/>
          <w:bar w:val="nil"/>
        </w:pBdr>
        <w:jc w:val="both"/>
        <w:rPr>
          <w:rFonts w:ascii="Arial" w:eastAsia="Arial" w:hAnsi="Arial" w:cs="Arial"/>
          <w:bdr w:val="nil"/>
          <w:lang w:val="en-GB" w:bidi="en-US"/>
        </w:rPr>
      </w:pPr>
      <w:r>
        <w:rPr>
          <w:rFonts w:ascii="Arial" w:eastAsia="Arial" w:hAnsi="Arial" w:cs="Arial"/>
          <w:lang w:val="en-GB" w:bidi="en-US"/>
        </w:rPr>
        <w:t xml:space="preserve">Pursuant to applicable SEC transition guidance, </w:t>
      </w:r>
      <w:r w:rsidRPr="00077928">
        <w:rPr>
          <w:rFonts w:ascii="Arial" w:eastAsia="Arial" w:hAnsi="Arial" w:cs="Arial"/>
          <w:lang w:val="en-GB" w:bidi="en-US"/>
        </w:rPr>
        <w:t xml:space="preserve">we have </w:t>
      </w:r>
      <w:bookmarkStart w:id="322" w:name="XBRL_CS_4d0a7efaab26416f881089e4d61591b7"/>
      <w:r w:rsidRPr="00077928">
        <w:rPr>
          <w:rFonts w:ascii="Arial" w:eastAsia="Arial" w:hAnsi="Arial" w:cs="Arial"/>
          <w:lang w:val="en-GB" w:bidi="en-US"/>
        </w:rPr>
        <w:t>adopted</w:t>
      </w:r>
      <w:bookmarkEnd w:id="322"/>
      <w:r w:rsidRPr="00077928">
        <w:rPr>
          <w:rFonts w:ascii="Arial" w:eastAsia="Arial" w:hAnsi="Arial" w:cs="Arial"/>
          <w:lang w:val="en-GB" w:bidi="en-US"/>
        </w:rPr>
        <w:t xml:space="preserve"> insider trading policies and procedures governing the purchase,</w:t>
      </w:r>
      <w:r>
        <w:rPr>
          <w:rFonts w:ascii="Arial" w:eastAsia="Arial" w:hAnsi="Arial" w:cs="Arial"/>
          <w:lang w:val="en-GB" w:bidi="en-US"/>
        </w:rPr>
        <w:t xml:space="preserve"> </w:t>
      </w:r>
      <w:r w:rsidRPr="00077928">
        <w:rPr>
          <w:rFonts w:ascii="Arial" w:eastAsia="Arial" w:hAnsi="Arial" w:cs="Arial"/>
          <w:lang w:val="en-GB" w:bidi="en-US"/>
        </w:rPr>
        <w:t>sale, and other dispositions of the registrant’s securities by directors, senior management, and</w:t>
      </w:r>
      <w:r>
        <w:rPr>
          <w:rFonts w:ascii="Arial" w:eastAsia="Arial" w:hAnsi="Arial" w:cs="Arial"/>
          <w:lang w:val="en-GB" w:bidi="en-US"/>
        </w:rPr>
        <w:t xml:space="preserve"> </w:t>
      </w:r>
      <w:r w:rsidRPr="00077928">
        <w:rPr>
          <w:rFonts w:ascii="Arial" w:eastAsia="Arial" w:hAnsi="Arial" w:cs="Arial"/>
          <w:lang w:val="en-GB" w:bidi="en-US"/>
        </w:rPr>
        <w:t>employees that are reasonable designed to promote compliance with</w:t>
      </w:r>
      <w:r>
        <w:rPr>
          <w:rFonts w:ascii="Arial" w:eastAsia="Arial" w:hAnsi="Arial" w:cs="Arial"/>
          <w:lang w:val="en-GB" w:bidi="en-US"/>
        </w:rPr>
        <w:t xml:space="preserve"> </w:t>
      </w:r>
      <w:r w:rsidRPr="00077928">
        <w:rPr>
          <w:rFonts w:ascii="Arial" w:eastAsia="Arial" w:hAnsi="Arial" w:cs="Arial"/>
          <w:lang w:val="en-GB" w:bidi="en-US"/>
        </w:rPr>
        <w:t>applicable insider trading laws,</w:t>
      </w:r>
      <w:r>
        <w:rPr>
          <w:rFonts w:ascii="Arial" w:eastAsia="Arial" w:hAnsi="Arial" w:cs="Arial"/>
          <w:lang w:val="en-GB" w:bidi="en-US"/>
        </w:rPr>
        <w:t xml:space="preserve"> </w:t>
      </w:r>
      <w:r w:rsidRPr="00077928">
        <w:rPr>
          <w:rFonts w:ascii="Arial" w:eastAsia="Arial" w:hAnsi="Arial" w:cs="Arial"/>
          <w:lang w:val="en-GB" w:bidi="en-US"/>
        </w:rPr>
        <w:t>rules and regulations, and NYSE listing standards for</w:t>
      </w:r>
      <w:r>
        <w:rPr>
          <w:rFonts w:ascii="Arial" w:eastAsia="Arial" w:hAnsi="Arial" w:cs="Arial"/>
          <w:lang w:val="en-GB" w:bidi="en-US"/>
        </w:rPr>
        <w:t xml:space="preserve"> fiscal year ending December 31, 2024.</w:t>
      </w:r>
    </w:p>
    <w:p w14:paraId="71F3EBE4" w14:textId="77777777" w:rsidR="00077928" w:rsidRDefault="00077928" w:rsidP="00077928">
      <w:pPr>
        <w:pBdr>
          <w:top w:val="nil"/>
          <w:left w:val="nil"/>
          <w:bottom w:val="nil"/>
          <w:right w:val="nil"/>
          <w:between w:val="nil"/>
          <w:bar w:val="nil"/>
        </w:pBdr>
        <w:jc w:val="both"/>
        <w:rPr>
          <w:rFonts w:ascii="Arial" w:eastAsia="Arial" w:hAnsi="Arial" w:cs="Arial"/>
          <w:bdr w:val="nil"/>
          <w:lang w:val="en-GB" w:bidi="en-US"/>
        </w:rPr>
      </w:pPr>
    </w:p>
    <w:p w14:paraId="71F3EBE5" w14:textId="77777777" w:rsidR="00077928" w:rsidRPr="00077928" w:rsidRDefault="003A4815" w:rsidP="00077928">
      <w:pPr>
        <w:pBdr>
          <w:top w:val="nil"/>
          <w:left w:val="nil"/>
          <w:bottom w:val="nil"/>
          <w:right w:val="nil"/>
          <w:between w:val="nil"/>
          <w:bar w:val="nil"/>
        </w:pBdr>
        <w:jc w:val="both"/>
        <w:rPr>
          <w:rFonts w:ascii="Arial" w:eastAsia="Arial" w:hAnsi="Arial" w:cs="Arial"/>
          <w:bdr w:val="nil"/>
          <w:lang w:val="en-GB" w:bidi="en-US"/>
        </w:rPr>
      </w:pPr>
      <w:r w:rsidRPr="00077928">
        <w:rPr>
          <w:rFonts w:ascii="Arial" w:eastAsia="Arial" w:hAnsi="Arial" w:cs="Arial"/>
          <w:lang w:val="en-GB" w:bidi="en-US"/>
        </w:rPr>
        <w:t xml:space="preserve">Our insider trading policies and procedures </w:t>
      </w:r>
      <w:r>
        <w:rPr>
          <w:rFonts w:ascii="Arial" w:eastAsia="Arial" w:hAnsi="Arial" w:cs="Arial"/>
          <w:lang w:val="en-GB" w:bidi="en-US"/>
        </w:rPr>
        <w:t>are</w:t>
      </w:r>
      <w:r w:rsidRPr="00077928">
        <w:rPr>
          <w:rFonts w:ascii="Arial" w:eastAsia="Arial" w:hAnsi="Arial" w:cs="Arial"/>
          <w:lang w:val="en-GB" w:bidi="en-US"/>
        </w:rPr>
        <w:t xml:space="preserve"> filed as </w:t>
      </w:r>
      <w:r>
        <w:rPr>
          <w:rFonts w:ascii="Arial" w:eastAsia="Arial" w:hAnsi="Arial" w:cs="Arial"/>
          <w:lang w:val="en-GB" w:bidi="en-US"/>
        </w:rPr>
        <w:t>E</w:t>
      </w:r>
      <w:r w:rsidRPr="00077928">
        <w:rPr>
          <w:rFonts w:ascii="Arial" w:eastAsia="Arial" w:hAnsi="Arial" w:cs="Arial"/>
          <w:lang w:val="en-GB" w:bidi="en-US"/>
        </w:rPr>
        <w:t>xhibit 11.2 to this annual report.</w:t>
      </w:r>
    </w:p>
    <w:p w14:paraId="71F3EBE6"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BE7" w14:textId="77777777" w:rsidR="0079487D" w:rsidRPr="00080FD2" w:rsidRDefault="003A4815" w:rsidP="00080FD2">
      <w:pPr>
        <w:pStyle w:val="Heading1"/>
        <w:pBdr>
          <w:top w:val="nil"/>
          <w:left w:val="nil"/>
          <w:bottom w:val="nil"/>
          <w:right w:val="nil"/>
          <w:between w:val="nil"/>
          <w:bar w:val="nil"/>
        </w:pBdr>
        <w:spacing w:before="0" w:after="0"/>
        <w:jc w:val="both"/>
        <w:rPr>
          <w:rFonts w:ascii="Arial" w:eastAsia="Arial" w:hAnsi="Arial" w:cs="Arial"/>
          <w:color w:val="auto"/>
          <w:kern w:val="0"/>
          <w:bdr w:val="nil"/>
        </w:rPr>
      </w:pPr>
      <w:bookmarkStart w:id="323" w:name="part2item16k"/>
      <w:bookmarkStart w:id="324" w:name="RG_MARKER_23155"/>
      <w:bookmarkStart w:id="325" w:name="RG_MARKER_23154"/>
      <w:bookmarkEnd w:id="323"/>
      <w:r w:rsidRPr="00080FD2">
        <w:rPr>
          <w:rFonts w:ascii="Arial" w:eastAsia="Arial" w:hAnsi="Arial" w:cs="Arial"/>
          <w:iCs/>
          <w:color w:val="auto"/>
          <w:kern w:val="0"/>
          <w:szCs w:val="28"/>
          <w:lang w:val="en-GB" w:bidi="en-US"/>
        </w:rPr>
        <w:t xml:space="preserve">Item 16K. Cybersecurity </w:t>
      </w:r>
      <w:bookmarkEnd w:id="324"/>
      <w:bookmarkEnd w:id="325"/>
    </w:p>
    <w:p w14:paraId="71F3EBE8" w14:textId="77777777" w:rsidR="0079487D" w:rsidRPr="00987522" w:rsidRDefault="0079487D" w:rsidP="00987522">
      <w:pPr>
        <w:keepLines/>
        <w:pBdr>
          <w:top w:val="nil"/>
          <w:left w:val="nil"/>
          <w:bottom w:val="nil"/>
          <w:right w:val="nil"/>
          <w:between w:val="nil"/>
          <w:bar w:val="nil"/>
        </w:pBdr>
        <w:jc w:val="both"/>
        <w:rPr>
          <w:rFonts w:ascii="Arial" w:eastAsia="Arial" w:hAnsi="Arial" w:cs="Arial"/>
          <w:b/>
          <w:bCs/>
          <w:sz w:val="28"/>
          <w:szCs w:val="28"/>
          <w:bdr w:val="nil"/>
          <w:lang w:val="en-US" w:bidi="en-US"/>
        </w:rPr>
      </w:pPr>
    </w:p>
    <w:p w14:paraId="71F3EBE9" w14:textId="77777777" w:rsidR="006B3943" w:rsidRPr="00987522" w:rsidRDefault="003A4815" w:rsidP="00987522">
      <w:pPr>
        <w:pStyle w:val="Heading2"/>
        <w:keepLines/>
        <w:pBdr>
          <w:top w:val="nil"/>
          <w:left w:val="nil"/>
          <w:bottom w:val="nil"/>
          <w:right w:val="nil"/>
          <w:between w:val="nil"/>
          <w:bar w:val="nil"/>
        </w:pBdr>
        <w:jc w:val="both"/>
        <w:rPr>
          <w:rFonts w:eastAsia="Arial" w:cs="Arial"/>
          <w:i w:val="0"/>
          <w:iCs w:val="0"/>
          <w:color w:val="auto"/>
          <w:sz w:val="22"/>
          <w:bdr w:val="nil"/>
        </w:rPr>
      </w:pPr>
      <w:bookmarkStart w:id="326" w:name="XBRL_TS_85f70cd2c3784ff880b9c6c4d897ec86"/>
      <w:r w:rsidRPr="00987522">
        <w:rPr>
          <w:rFonts w:ascii="Arial" w:eastAsia="Arial" w:hAnsi="Arial" w:cs="Arial"/>
          <w:i w:val="0"/>
          <w:iCs w:val="0"/>
          <w:color w:val="auto"/>
          <w:sz w:val="22"/>
        </w:rPr>
        <w:t>Risk management and strategy</w:t>
      </w:r>
    </w:p>
    <w:p w14:paraId="71F3EBEA" w14:textId="77777777" w:rsidR="006B3943" w:rsidRPr="00987522" w:rsidRDefault="006B3943" w:rsidP="00987522">
      <w:pPr>
        <w:keepLines/>
        <w:pBdr>
          <w:top w:val="nil"/>
          <w:left w:val="nil"/>
          <w:bottom w:val="nil"/>
          <w:right w:val="nil"/>
          <w:between w:val="nil"/>
          <w:bar w:val="nil"/>
        </w:pBdr>
        <w:jc w:val="both"/>
        <w:rPr>
          <w:rFonts w:ascii="Arial" w:eastAsia="Arial" w:hAnsi="Arial" w:cs="Arial"/>
          <w:bdr w:val="nil"/>
          <w:lang w:val="en-US"/>
        </w:rPr>
      </w:pPr>
    </w:p>
    <w:p w14:paraId="71F3EBEB" w14:textId="77777777" w:rsidR="009C4676" w:rsidRPr="009C4676" w:rsidRDefault="003A4815" w:rsidP="001B040F">
      <w:pPr>
        <w:pBdr>
          <w:top w:val="nil"/>
          <w:left w:val="nil"/>
          <w:bottom w:val="nil"/>
          <w:right w:val="nil"/>
          <w:between w:val="nil"/>
          <w:bar w:val="nil"/>
        </w:pBdr>
        <w:jc w:val="both"/>
        <w:rPr>
          <w:rFonts w:ascii="Arial" w:eastAsia="Arial" w:hAnsi="Arial" w:cs="Arial"/>
          <w:bdr w:val="nil"/>
          <w:lang w:val="en-US"/>
        </w:rPr>
      </w:pPr>
      <w:bookmarkStart w:id="327" w:name="XBRL_TS_e5cf7038ad014ac9be46068958fddf1f"/>
      <w:r w:rsidRPr="009C4676">
        <w:rPr>
          <w:rFonts w:ascii="Arial" w:eastAsia="Arial" w:hAnsi="Arial" w:cs="Arial"/>
          <w:lang w:val="en-US"/>
        </w:rPr>
        <w:t xml:space="preserve">We have security measures </w:t>
      </w:r>
      <w:bookmarkStart w:id="328" w:name="XBRL_CS_3be314fc719f43d2904d1d5aa44dd632"/>
      <w:r w:rsidRPr="009C4676">
        <w:rPr>
          <w:rFonts w:ascii="Arial" w:eastAsia="Arial" w:hAnsi="Arial" w:cs="Arial"/>
          <w:lang w:val="en-US"/>
        </w:rPr>
        <w:t>in place</w:t>
      </w:r>
      <w:bookmarkEnd w:id="328"/>
      <w:r w:rsidRPr="009C4676">
        <w:rPr>
          <w:rFonts w:ascii="Arial" w:eastAsia="Arial" w:hAnsi="Arial" w:cs="Arial"/>
          <w:lang w:val="en-US"/>
        </w:rPr>
        <w:t xml:space="preserve"> to mitigate the risk of cybersecurity threats affecting our technolog</w:t>
      </w:r>
      <w:r w:rsidR="004208C4">
        <w:rPr>
          <w:rFonts w:ascii="Arial" w:eastAsia="Arial" w:hAnsi="Arial" w:cs="Arial"/>
          <w:lang w:val="en-US"/>
        </w:rPr>
        <w:t>ical</w:t>
      </w:r>
      <w:r w:rsidRPr="009C4676">
        <w:rPr>
          <w:rFonts w:ascii="Arial" w:eastAsia="Arial" w:hAnsi="Arial" w:cs="Arial"/>
          <w:lang w:val="en-US"/>
        </w:rPr>
        <w:t xml:space="preserve"> environment and our business. </w:t>
      </w:r>
      <w:r>
        <w:rPr>
          <w:rFonts w:ascii="Arial" w:eastAsia="Arial" w:hAnsi="Arial" w:cs="Arial"/>
          <w:lang w:val="en-US"/>
        </w:rPr>
        <w:t>C</w:t>
      </w:r>
      <w:r w:rsidRPr="001B040F">
        <w:rPr>
          <w:rFonts w:ascii="Arial" w:eastAsia="Arial" w:hAnsi="Arial" w:cs="Arial"/>
          <w:lang w:val="en-US"/>
        </w:rPr>
        <w:t xml:space="preserve">ybersecurity risk management </w:t>
      </w:r>
      <w:r>
        <w:rPr>
          <w:rFonts w:ascii="Arial" w:eastAsia="Arial" w:hAnsi="Arial" w:cs="Arial"/>
          <w:lang w:val="en-US"/>
        </w:rPr>
        <w:t xml:space="preserve">is integrated </w:t>
      </w:r>
      <w:r w:rsidRPr="001B040F">
        <w:rPr>
          <w:rFonts w:ascii="Arial" w:eastAsia="Arial" w:hAnsi="Arial" w:cs="Arial"/>
          <w:lang w:val="en-US"/>
        </w:rPr>
        <w:t xml:space="preserve">into </w:t>
      </w:r>
      <w:r>
        <w:rPr>
          <w:rFonts w:ascii="Arial" w:eastAsia="Arial" w:hAnsi="Arial" w:cs="Arial"/>
          <w:lang w:val="en-US"/>
        </w:rPr>
        <w:t>our</w:t>
      </w:r>
      <w:r w:rsidRPr="001B040F">
        <w:rPr>
          <w:rFonts w:ascii="Arial" w:eastAsia="Arial" w:hAnsi="Arial" w:cs="Arial"/>
          <w:lang w:val="en-US"/>
        </w:rPr>
        <w:t xml:space="preserve"> broader enterprise risk management (ERM) framework to protect shareholder value and ensure business continuity. Cyber risks are assessed alongside operational, financial, and compliance risks. By integrating cybersecurity into our broader risk management strategy, we aim to reduce exposure to cyber incidents, safeguard sensitive data, and maintain investor confidence in our long-term resilience and operational stability. </w:t>
      </w:r>
      <w:r w:rsidR="004208C4" w:rsidRPr="004208C4">
        <w:rPr>
          <w:rFonts w:ascii="Arial" w:eastAsia="Arial" w:hAnsi="Arial" w:cs="Arial"/>
          <w:lang w:val="en-US"/>
        </w:rPr>
        <w:t>Throughout 2025, the Company successfully maintained its</w:t>
      </w:r>
      <w:r w:rsidRPr="009C4676">
        <w:rPr>
          <w:rFonts w:ascii="Arial" w:eastAsia="Arial" w:hAnsi="Arial" w:cs="Arial"/>
          <w:lang w:val="en-US"/>
        </w:rPr>
        <w:t xml:space="preserve"> ISO 27001 certification, demonstrating ongoing compliance with the rigorous requirements of this internationally recognized standard. </w:t>
      </w:r>
      <w:bookmarkStart w:id="329" w:name="XBRL_TS_206a16b5fbad4791a885de60d5e8dcb5"/>
      <w:r w:rsidRPr="009C4676">
        <w:rPr>
          <w:rFonts w:ascii="Arial" w:eastAsia="Arial" w:hAnsi="Arial" w:cs="Arial"/>
          <w:lang w:val="en-US"/>
        </w:rPr>
        <w:t>The Company's Chief Information Security Officer (CISO) regularly conducts internal reviews and enhancements to ensure that our cyber risk management framework remains aligned with ISO 27001</w:t>
      </w:r>
      <w:r w:rsidR="004208C4">
        <w:rPr>
          <w:rFonts w:ascii="Arial" w:eastAsia="Arial" w:hAnsi="Arial" w:cs="Arial"/>
          <w:lang w:val="en-US"/>
        </w:rPr>
        <w:t>.</w:t>
      </w:r>
      <w:r w:rsidRPr="009C4676">
        <w:rPr>
          <w:rFonts w:ascii="Arial" w:eastAsia="Arial" w:hAnsi="Arial" w:cs="Arial"/>
          <w:lang w:val="en-US"/>
        </w:rPr>
        <w:t xml:space="preserve"> </w:t>
      </w:r>
      <w:bookmarkEnd w:id="329"/>
      <w:r w:rsidR="004208C4" w:rsidRPr="004208C4">
        <w:rPr>
          <w:rFonts w:ascii="Arial" w:eastAsia="Arial" w:hAnsi="Arial" w:cs="Arial"/>
          <w:lang w:val="en-US"/>
        </w:rPr>
        <w:t>In preparation for evolving regulatory landscapes, the Company also completed a NIS2 Gap Analysis in 2025 and has initiated remediation of findings to ensure future compliance.</w:t>
      </w:r>
      <w:r w:rsidRPr="001B040F">
        <w:rPr>
          <w:rFonts w:ascii="Arial" w:eastAsia="Arial" w:hAnsi="Arial" w:cs="Arial"/>
          <w:lang w:val="en-US"/>
        </w:rPr>
        <w:t xml:space="preserve"> </w:t>
      </w:r>
    </w:p>
    <w:bookmarkEnd w:id="327"/>
    <w:p w14:paraId="71F3EBEC" w14:textId="77777777" w:rsidR="009C4676" w:rsidRPr="009C4676" w:rsidRDefault="009C4676" w:rsidP="009C4676">
      <w:pPr>
        <w:pBdr>
          <w:top w:val="nil"/>
          <w:left w:val="nil"/>
          <w:bottom w:val="nil"/>
          <w:right w:val="nil"/>
          <w:between w:val="nil"/>
          <w:bar w:val="nil"/>
        </w:pBdr>
        <w:jc w:val="both"/>
        <w:rPr>
          <w:rFonts w:ascii="Arial" w:eastAsia="Arial" w:hAnsi="Arial" w:cs="Arial"/>
          <w:bdr w:val="nil"/>
          <w:lang w:val="en-US"/>
        </w:rPr>
      </w:pPr>
    </w:p>
    <w:p w14:paraId="71F3EBED" w14:textId="77777777" w:rsidR="009C4676" w:rsidRPr="009C4676" w:rsidRDefault="003A4815" w:rsidP="009C4676">
      <w:pPr>
        <w:pBdr>
          <w:top w:val="nil"/>
          <w:left w:val="nil"/>
          <w:bottom w:val="nil"/>
          <w:right w:val="nil"/>
          <w:between w:val="nil"/>
          <w:bar w:val="nil"/>
        </w:pBdr>
        <w:jc w:val="both"/>
        <w:rPr>
          <w:rFonts w:ascii="Arial" w:eastAsia="Arial" w:hAnsi="Arial" w:cs="Arial"/>
          <w:bdr w:val="nil"/>
          <w:lang w:val="en-US"/>
        </w:rPr>
      </w:pPr>
      <w:r w:rsidRPr="009C4676">
        <w:rPr>
          <w:rFonts w:ascii="Arial" w:eastAsia="Arial" w:hAnsi="Arial" w:cs="Arial"/>
          <w:lang w:val="en-US"/>
        </w:rPr>
        <w:t>Additionally, we have established structured processes for third-party risk management. During vendor onboarding and ongoing monitoring, information security assessments are conducted</w:t>
      </w:r>
      <w:r w:rsidR="004208C4">
        <w:rPr>
          <w:rFonts w:ascii="Arial" w:eastAsia="Arial" w:hAnsi="Arial" w:cs="Arial"/>
          <w:lang w:val="en-US"/>
        </w:rPr>
        <w:t>.</w:t>
      </w:r>
      <w:r w:rsidRPr="009C4676">
        <w:rPr>
          <w:rFonts w:ascii="Arial" w:eastAsia="Arial" w:hAnsi="Arial" w:cs="Arial"/>
          <w:lang w:val="en-US"/>
        </w:rPr>
        <w:t xml:space="preserve"> </w:t>
      </w:r>
      <w:r w:rsidR="004208C4" w:rsidRPr="004208C4">
        <w:rPr>
          <w:rFonts w:ascii="Arial" w:eastAsia="Arial" w:hAnsi="Arial" w:cs="Arial"/>
          <w:lang w:val="en-US"/>
        </w:rPr>
        <w:t>During 2025, this third-party risk management program included a focused web application penetration test on a critical ERP vendor, ensuring the security of our supply chain and partner ecosystem.</w:t>
      </w:r>
    </w:p>
    <w:p w14:paraId="71F3EBEE" w14:textId="77777777" w:rsidR="008D4534" w:rsidRPr="008D4534" w:rsidRDefault="008D4534" w:rsidP="008D4534">
      <w:pPr>
        <w:pBdr>
          <w:top w:val="nil"/>
          <w:left w:val="nil"/>
          <w:bottom w:val="nil"/>
          <w:right w:val="nil"/>
          <w:between w:val="nil"/>
          <w:bar w:val="nil"/>
        </w:pBdr>
        <w:jc w:val="both"/>
        <w:rPr>
          <w:rFonts w:ascii="Arial" w:eastAsia="Arial" w:hAnsi="Arial" w:cs="Arial"/>
          <w:bdr w:val="nil"/>
          <w:lang w:val="en-US"/>
        </w:rPr>
      </w:pPr>
    </w:p>
    <w:p w14:paraId="71F3EBEF" w14:textId="77777777" w:rsidR="004208C4" w:rsidRDefault="003A4815" w:rsidP="008D453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Cybersecurity training is carried out on a company-wide basis to all employees and seafarers. During 2025, the Company executed a multi-faceted awareness strategy. This included the release of a fully digitalized cybersecurity awareness training program specifically for crew members. Onshore, we implemented gamified learning experiences, synchronous and asynchronous security awareness sessions, and custom-tailored phishing campaigns. To further enhance visibility, we deployed a new internal communication mechanism to push security awareness material directly to employee workstation lock-screens. The security team has further enhanced our processes and increased our defenses by maintaining a cybersecurity testing program. In 2025, this included internal penetration testing on vessel networks and a comprehensive social engineering exercise conducted across the entire fleet. A centralized monitoring system is in place throughout the year. In 2025, we fully onboarded our shore-based operations to a managed Security Operations Center (SOC). This partnership enables proactive 24/7 security monitoring, threat intelligence, and rapid incident response. Regarding operational resilience and network security, we optimized our fleet’s data consumption and patch management strategy during the year by centralizing Windows update deployment on vessels, significantly reducing bandwidth usage and ensuring that critical security patches are applied efficiently across the fleet. To further ensure business continuity and operational resilience, the Company successfully implemented a cloud-based disaster recovery site for critical applications during 2025. This migration ensures that essential business functions can be rapidly restored and maintained in the event of physical or digital disruptions to our primary systems.</w:t>
      </w:r>
    </w:p>
    <w:p w14:paraId="71F3EBF0" w14:textId="77777777" w:rsidR="004208C4" w:rsidRDefault="004208C4" w:rsidP="008D4534">
      <w:pPr>
        <w:pBdr>
          <w:top w:val="nil"/>
          <w:left w:val="nil"/>
          <w:bottom w:val="nil"/>
          <w:right w:val="nil"/>
          <w:between w:val="nil"/>
          <w:bar w:val="nil"/>
        </w:pBdr>
        <w:jc w:val="both"/>
        <w:rPr>
          <w:rFonts w:ascii="Arial" w:eastAsia="Arial" w:hAnsi="Arial" w:cs="Arial"/>
          <w:bdr w:val="nil"/>
          <w:lang w:val="en-US"/>
        </w:rPr>
      </w:pPr>
    </w:p>
    <w:p w14:paraId="71F3EBF1" w14:textId="77777777" w:rsidR="008D4534" w:rsidRPr="008D4534" w:rsidRDefault="003A4815" w:rsidP="008D453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 xml:space="preserve">As emerging technologies such as Artificial Intelligence become more prevalent, the Company is taking steps to ensure responsible use. In 2025, we initiated the creation of a draft AI policy to govern the usage of AI tools within the organization. Furthermore, we selected a training provider for an AI training workshop to upskill employees on the risks and benefits of AI technology. While we utilize AI-driven tools within our security stack (such as within our </w:t>
      </w:r>
      <w:r w:rsidR="0011311D" w:rsidRPr="0011311D">
        <w:rPr>
          <w:rFonts w:ascii="Arial" w:eastAsia="Arial" w:hAnsi="Arial" w:cs="Arial"/>
          <w:lang w:val="en-US"/>
        </w:rPr>
        <w:t>Security Information and Event Management — SIEM</w:t>
      </w:r>
      <w:r w:rsidRPr="004208C4">
        <w:rPr>
          <w:rFonts w:ascii="Arial" w:eastAsia="Arial" w:hAnsi="Arial" w:cs="Arial"/>
          <w:lang w:val="en-US"/>
        </w:rPr>
        <w:t xml:space="preserve"> and </w:t>
      </w:r>
      <w:r w:rsidR="0011311D" w:rsidRPr="0011311D">
        <w:rPr>
          <w:rFonts w:ascii="Arial" w:eastAsia="Arial" w:hAnsi="Arial" w:cs="Arial"/>
          <w:lang w:val="en-US"/>
        </w:rPr>
        <w:t>Security Operations Center</w:t>
      </w:r>
      <w:r w:rsidR="0011311D">
        <w:rPr>
          <w:rFonts w:ascii="Arial" w:eastAsia="Arial" w:hAnsi="Arial" w:cs="Arial"/>
          <w:lang w:val="en-US"/>
        </w:rPr>
        <w:t>-</w:t>
      </w:r>
      <w:r w:rsidRPr="004208C4">
        <w:rPr>
          <w:rFonts w:ascii="Arial" w:eastAsia="Arial" w:hAnsi="Arial" w:cs="Arial"/>
          <w:lang w:val="en-US"/>
        </w:rPr>
        <w:t xml:space="preserve">SOC solutions), we continue to monitor the regulatory environment regarding AI disclosures. </w:t>
      </w:r>
    </w:p>
    <w:p w14:paraId="71F3EBF2" w14:textId="77777777" w:rsidR="008D4534" w:rsidRPr="008D4534" w:rsidRDefault="008D4534" w:rsidP="008D4534">
      <w:pPr>
        <w:pBdr>
          <w:top w:val="nil"/>
          <w:left w:val="nil"/>
          <w:bottom w:val="nil"/>
          <w:right w:val="nil"/>
          <w:between w:val="nil"/>
          <w:bar w:val="nil"/>
        </w:pBdr>
        <w:jc w:val="both"/>
        <w:rPr>
          <w:rFonts w:ascii="Arial" w:eastAsia="Arial" w:hAnsi="Arial" w:cs="Arial"/>
          <w:bdr w:val="nil"/>
          <w:lang w:val="en-US"/>
        </w:rPr>
      </w:pPr>
    </w:p>
    <w:p w14:paraId="71F3EBF3" w14:textId="77777777" w:rsidR="004208C4" w:rsidRPr="004208C4" w:rsidRDefault="003A4815" w:rsidP="004208C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Looking ahead to 2026, our strategic focus shifts towards hardening our infrastructure and expanding control over unmanaged assets. Key projects include the implementation of Mobile Application Management (MAM) technology to secure corporate data on unmanaged devices, and the installation of enterprise-grade firewalls across our vessel fleet. We will also prioritize the hardening of our Azure cloud infrastructure and proceed with a comprehensive Information Protection project, for which an RFP was issued in late 2025. Furthermore, we will maintain a strong focus on the human factor by continuing our rigorous information security training and awareness programs, incorporating new modules on emerging threats to ensure our staff and crew remain vigilant.</w:t>
      </w:r>
    </w:p>
    <w:p w14:paraId="71F3EBF4" w14:textId="77777777" w:rsidR="008D4534" w:rsidRPr="008D4534" w:rsidRDefault="008D4534" w:rsidP="008D4534">
      <w:pPr>
        <w:pBdr>
          <w:top w:val="nil"/>
          <w:left w:val="nil"/>
          <w:bottom w:val="nil"/>
          <w:right w:val="nil"/>
          <w:between w:val="nil"/>
          <w:bar w:val="nil"/>
        </w:pBdr>
        <w:jc w:val="both"/>
        <w:rPr>
          <w:rFonts w:ascii="Arial" w:eastAsia="Arial" w:hAnsi="Arial" w:cs="Arial"/>
          <w:bdr w:val="nil"/>
          <w:lang w:val="en-US"/>
        </w:rPr>
      </w:pPr>
    </w:p>
    <w:p w14:paraId="71F3EBF5" w14:textId="77777777" w:rsidR="004208C4" w:rsidRDefault="003A4815" w:rsidP="008D453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In parallel to these security measures, our Company continues to actively invest on Data Governance and the</w:t>
      </w:r>
      <w:r>
        <w:rPr>
          <w:rFonts w:ascii="Arial" w:eastAsia="Arial" w:hAnsi="Arial" w:cs="Arial"/>
          <w:lang w:val="en-US"/>
        </w:rPr>
        <w:t xml:space="preserve"> </w:t>
      </w:r>
      <w:r w:rsidRPr="004208C4">
        <w:rPr>
          <w:rFonts w:ascii="Arial" w:eastAsia="Arial" w:hAnsi="Arial" w:cs="Arial"/>
          <w:lang w:val="en-US"/>
        </w:rPr>
        <w:t>Data Management, expanding its Data Platform over Microsoft Azure Technologies, which acts as a centralized and secure source of truth for our operations, strengthening the quality and integrity of company’s informational assets. The Data Platform enables better, faster and more accurate monitoring of Company activities and improves decision making and productivity. This transition is further strengthened with the digital upskilling of relevant personnel, enabling the proper and secure use of information assets.</w:t>
      </w:r>
    </w:p>
    <w:p w14:paraId="71F3EBF6" w14:textId="77777777" w:rsidR="004208C4" w:rsidRDefault="004208C4" w:rsidP="008D4534">
      <w:pPr>
        <w:pBdr>
          <w:top w:val="nil"/>
          <w:left w:val="nil"/>
          <w:bottom w:val="nil"/>
          <w:right w:val="nil"/>
          <w:between w:val="nil"/>
          <w:bar w:val="nil"/>
        </w:pBdr>
        <w:jc w:val="both"/>
        <w:rPr>
          <w:rFonts w:ascii="Arial" w:eastAsia="Arial" w:hAnsi="Arial" w:cs="Arial"/>
          <w:bdr w:val="nil"/>
          <w:lang w:val="en-US"/>
        </w:rPr>
      </w:pPr>
    </w:p>
    <w:p w14:paraId="71F3EBF7" w14:textId="77777777" w:rsidR="00987522" w:rsidRDefault="003A4815" w:rsidP="008D4534">
      <w:pPr>
        <w:pBdr>
          <w:top w:val="nil"/>
          <w:left w:val="nil"/>
          <w:bottom w:val="nil"/>
          <w:right w:val="nil"/>
          <w:between w:val="nil"/>
          <w:bar w:val="nil"/>
        </w:pBdr>
        <w:jc w:val="both"/>
        <w:rPr>
          <w:rFonts w:ascii="Arial" w:eastAsia="Arial" w:hAnsi="Arial" w:cs="Arial"/>
          <w:bdr w:val="nil"/>
          <w:lang w:val="en-US"/>
        </w:rPr>
      </w:pPr>
      <w:r w:rsidRPr="008D4534">
        <w:rPr>
          <w:rFonts w:ascii="Arial" w:eastAsia="Arial" w:hAnsi="Arial" w:cs="Arial"/>
          <w:lang w:val="en-US"/>
        </w:rPr>
        <w:t xml:space="preserve">We are committed to enhance and </w:t>
      </w:r>
      <w:r w:rsidR="004208C4" w:rsidRPr="008D4534">
        <w:rPr>
          <w:rFonts w:ascii="Arial" w:eastAsia="Arial" w:hAnsi="Arial" w:cs="Arial"/>
          <w:lang w:val="en-US"/>
        </w:rPr>
        <w:t>enriching</w:t>
      </w:r>
      <w:r w:rsidRPr="008D4534">
        <w:rPr>
          <w:rFonts w:ascii="Arial" w:eastAsia="Arial" w:hAnsi="Arial" w:cs="Arial"/>
          <w:lang w:val="en-US"/>
        </w:rPr>
        <w:t xml:space="preserve"> our operational excellence through our external 3rd parties’ inspections and audits (PSC-Vetting inspections Audits). We openly share our results and “lessons learnt” within the industry and organizations, we compare and benchmark our performance and we continuously improve our safety footprint.</w:t>
      </w:r>
    </w:p>
    <w:bookmarkEnd w:id="326"/>
    <w:p w14:paraId="71F3EBF8" w14:textId="77777777" w:rsidR="00535CC7" w:rsidRPr="00987522" w:rsidRDefault="00535CC7" w:rsidP="008D4534">
      <w:pPr>
        <w:pBdr>
          <w:top w:val="nil"/>
          <w:left w:val="nil"/>
          <w:bottom w:val="nil"/>
          <w:right w:val="nil"/>
          <w:between w:val="nil"/>
          <w:bar w:val="nil"/>
        </w:pBdr>
        <w:jc w:val="both"/>
        <w:rPr>
          <w:rFonts w:ascii="Arial" w:eastAsia="Arial" w:hAnsi="Arial" w:cs="Arial"/>
          <w:bdr w:val="nil"/>
          <w:lang w:val="en-US"/>
        </w:rPr>
      </w:pPr>
    </w:p>
    <w:p w14:paraId="71F3EBF9" w14:textId="77777777" w:rsidR="006B3943" w:rsidRDefault="003A4815" w:rsidP="00987522">
      <w:pPr>
        <w:pStyle w:val="Heading2"/>
        <w:keepLines/>
        <w:pBdr>
          <w:top w:val="nil"/>
          <w:left w:val="nil"/>
          <w:bottom w:val="nil"/>
          <w:right w:val="nil"/>
          <w:between w:val="nil"/>
          <w:bar w:val="nil"/>
        </w:pBdr>
        <w:jc w:val="both"/>
        <w:rPr>
          <w:rFonts w:eastAsia="Arial" w:cs="Arial"/>
          <w:i w:val="0"/>
          <w:iCs w:val="0"/>
          <w:color w:val="auto"/>
          <w:sz w:val="22"/>
          <w:bdr w:val="nil"/>
        </w:rPr>
      </w:pPr>
      <w:r w:rsidRPr="00987522">
        <w:rPr>
          <w:rFonts w:ascii="Arial" w:eastAsia="Arial" w:hAnsi="Arial" w:cs="Arial"/>
          <w:i w:val="0"/>
          <w:iCs w:val="0"/>
          <w:color w:val="auto"/>
          <w:sz w:val="22"/>
        </w:rPr>
        <w:t>Governance</w:t>
      </w:r>
    </w:p>
    <w:p w14:paraId="71F3EBFA" w14:textId="77777777" w:rsidR="00987522" w:rsidRPr="00A07C11" w:rsidRDefault="00987522" w:rsidP="00A07C11">
      <w:pPr>
        <w:pBdr>
          <w:top w:val="nil"/>
          <w:left w:val="nil"/>
          <w:bottom w:val="nil"/>
          <w:right w:val="nil"/>
          <w:between w:val="nil"/>
          <w:bar w:val="nil"/>
        </w:pBdr>
        <w:jc w:val="both"/>
        <w:rPr>
          <w:rFonts w:ascii="Arial" w:eastAsia="Arial" w:hAnsi="Arial" w:cs="Arial"/>
          <w:bdr w:val="nil"/>
          <w:lang w:val="en-US"/>
        </w:rPr>
      </w:pPr>
    </w:p>
    <w:p w14:paraId="71F3EBFB" w14:textId="77777777" w:rsidR="00676089" w:rsidRDefault="003A4815" w:rsidP="00676089">
      <w:pPr>
        <w:pBdr>
          <w:top w:val="nil"/>
          <w:left w:val="nil"/>
          <w:bottom w:val="nil"/>
          <w:right w:val="nil"/>
          <w:between w:val="nil"/>
          <w:bar w:val="nil"/>
        </w:pBdr>
        <w:jc w:val="both"/>
        <w:rPr>
          <w:rFonts w:ascii="Arial" w:eastAsia="Arial" w:hAnsi="Arial" w:cs="Arial"/>
          <w:bdr w:val="nil"/>
          <w:lang w:val="en-US"/>
        </w:rPr>
      </w:pPr>
      <w:bookmarkStart w:id="330" w:name="XBRL_TS_2d6e6b6ec2eb429ba8d38cb3086f0da7"/>
      <w:r w:rsidRPr="004208C4">
        <w:rPr>
          <w:rFonts w:ascii="Arial" w:eastAsia="Arial" w:hAnsi="Arial" w:cs="Arial"/>
          <w:lang w:val="en-US"/>
        </w:rPr>
        <w:t>Our board of directors considers cybersecurity risk as part of its risk oversight function and has delegated the day-to-day oversight of cybersecurity and other technology risks to the Chief Information Security Officer, who has 12 years of specialized information security experience.</w:t>
      </w:r>
    </w:p>
    <w:p w14:paraId="71F3EBFC" w14:textId="77777777" w:rsidR="004208C4" w:rsidRPr="00676089" w:rsidRDefault="004208C4" w:rsidP="00676089">
      <w:pPr>
        <w:pBdr>
          <w:top w:val="nil"/>
          <w:left w:val="nil"/>
          <w:bottom w:val="nil"/>
          <w:right w:val="nil"/>
          <w:between w:val="nil"/>
          <w:bar w:val="nil"/>
        </w:pBdr>
        <w:jc w:val="both"/>
        <w:rPr>
          <w:rFonts w:ascii="Arial" w:eastAsia="Arial" w:hAnsi="Arial" w:cs="Arial"/>
          <w:bdr w:val="nil"/>
          <w:lang w:val="en-US"/>
        </w:rPr>
      </w:pPr>
    </w:p>
    <w:bookmarkEnd w:id="330"/>
    <w:p w14:paraId="71F3EBFD" w14:textId="77777777" w:rsidR="004208C4" w:rsidRPr="004208C4" w:rsidRDefault="003A4815" w:rsidP="004208C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This experience includes serving as Chief Information Security Officer at Diana Shipping Services</w:t>
      </w:r>
      <w:r w:rsidR="000845D6">
        <w:rPr>
          <w:rFonts w:ascii="Arial" w:eastAsia="Arial" w:hAnsi="Arial" w:cs="Arial"/>
          <w:lang w:val="en-US"/>
        </w:rPr>
        <w:t xml:space="preserve"> S.A.</w:t>
      </w:r>
      <w:r w:rsidRPr="004208C4">
        <w:rPr>
          <w:rFonts w:ascii="Arial" w:eastAsia="Arial" w:hAnsi="Arial" w:cs="Arial"/>
          <w:lang w:val="en-US"/>
        </w:rPr>
        <w:t>, Information Security Officer at Viva Wallet, Senior IT Auditor at First Data Corporation focusing on EMEA region security audits, and IT Auditor/Security Consultant at Deloitte's Enterprise Risk Services. The Chief Information Security Officer holds CISA and CDPSE certifications from ISACA, completed Information Security Management Systems (ISMS) Auditor/Lead Auditor Training in accordance with ISO 27001:2013, and possesses an MSc in Digital Systems Security from the University of Piraeus.</w:t>
      </w:r>
    </w:p>
    <w:p w14:paraId="71F3EBFE" w14:textId="77777777" w:rsidR="004208C4" w:rsidRPr="004208C4" w:rsidRDefault="004208C4" w:rsidP="004208C4">
      <w:pPr>
        <w:pBdr>
          <w:top w:val="nil"/>
          <w:left w:val="nil"/>
          <w:bottom w:val="nil"/>
          <w:right w:val="nil"/>
          <w:between w:val="nil"/>
          <w:bar w:val="nil"/>
        </w:pBdr>
        <w:jc w:val="both"/>
        <w:rPr>
          <w:rFonts w:ascii="Arial" w:eastAsia="Arial" w:hAnsi="Arial" w:cs="Arial"/>
          <w:bdr w:val="nil"/>
          <w:lang w:val="en-US"/>
        </w:rPr>
      </w:pPr>
    </w:p>
    <w:p w14:paraId="71F3EBFF" w14:textId="77777777" w:rsidR="004208C4" w:rsidRPr="004208C4" w:rsidRDefault="003A4815" w:rsidP="004208C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 xml:space="preserve">The Chief Information Security Officer is </w:t>
      </w:r>
      <w:bookmarkStart w:id="331" w:name="XBRL_CS_feebcc9447bc4d2bbee1285b6db6b208"/>
      <w:r w:rsidRPr="004208C4">
        <w:rPr>
          <w:rFonts w:ascii="Arial" w:eastAsia="Arial" w:hAnsi="Arial" w:cs="Arial"/>
          <w:lang w:val="en-US"/>
        </w:rPr>
        <w:t>responsible</w:t>
      </w:r>
      <w:bookmarkEnd w:id="331"/>
      <w:r w:rsidRPr="004208C4">
        <w:rPr>
          <w:rFonts w:ascii="Arial" w:eastAsia="Arial" w:hAnsi="Arial" w:cs="Arial"/>
          <w:lang w:val="en-US"/>
        </w:rPr>
        <w:t xml:space="preserve"> for assessing, managing and mitigating cybersecurity threats and for reporting cybersecurity updates, including updates on monitoring strategies and efforts to prevent cybersecurity threats, to the board of directors on a quarterly basis or more often as needed. To support these efforts, the cybersecurity department expanded its resources in 2025, finalizing the recruitment process for additional specialized personnel who joined the team in early 2026.</w:t>
      </w:r>
    </w:p>
    <w:p w14:paraId="71F3EC00" w14:textId="77777777" w:rsidR="004208C4" w:rsidRPr="004208C4" w:rsidRDefault="004208C4" w:rsidP="004208C4">
      <w:pPr>
        <w:pBdr>
          <w:top w:val="nil"/>
          <w:left w:val="nil"/>
          <w:bottom w:val="nil"/>
          <w:right w:val="nil"/>
          <w:between w:val="nil"/>
          <w:bar w:val="nil"/>
        </w:pBdr>
        <w:jc w:val="both"/>
        <w:rPr>
          <w:rFonts w:ascii="Arial" w:eastAsia="Arial" w:hAnsi="Arial" w:cs="Arial"/>
          <w:bdr w:val="nil"/>
          <w:lang w:val="en-US"/>
        </w:rPr>
      </w:pPr>
    </w:p>
    <w:p w14:paraId="71F3EC01" w14:textId="77777777" w:rsidR="004208C4" w:rsidRPr="004208C4" w:rsidRDefault="003A4815" w:rsidP="004208C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Our management team plays a vital role in assessing and managing the Company's material risks from cybersecurity threats. The Chief Information Security Officer leads our cybersecurity program, reporting to the Digital Transformation Officer, who in turn reports to the Chief Executive Officer on matters of strategic importance. Additionally, the Chief Information Security Officer holds biweekly meetings with the CEO to discuss emerging threats, ongoing security initiatives, and strategic cybersecurity priorities.</w:t>
      </w:r>
    </w:p>
    <w:p w14:paraId="71F3EC02" w14:textId="77777777" w:rsidR="004208C4" w:rsidRPr="004208C4" w:rsidRDefault="004208C4" w:rsidP="004208C4">
      <w:pPr>
        <w:pBdr>
          <w:top w:val="nil"/>
          <w:left w:val="nil"/>
          <w:bottom w:val="nil"/>
          <w:right w:val="nil"/>
          <w:between w:val="nil"/>
          <w:bar w:val="nil"/>
        </w:pBdr>
        <w:jc w:val="both"/>
        <w:rPr>
          <w:rFonts w:ascii="Arial" w:eastAsia="Arial" w:hAnsi="Arial" w:cs="Arial"/>
          <w:bdr w:val="nil"/>
          <w:lang w:val="en-US"/>
        </w:rPr>
      </w:pPr>
    </w:p>
    <w:p w14:paraId="71F3EC03" w14:textId="77777777" w:rsidR="00676089" w:rsidRPr="00676089" w:rsidRDefault="003A4815" w:rsidP="004208C4">
      <w:pPr>
        <w:pBdr>
          <w:top w:val="nil"/>
          <w:left w:val="nil"/>
          <w:bottom w:val="nil"/>
          <w:right w:val="nil"/>
          <w:between w:val="nil"/>
          <w:bar w:val="nil"/>
        </w:pBdr>
        <w:jc w:val="both"/>
        <w:rPr>
          <w:rFonts w:ascii="Arial" w:eastAsia="Arial" w:hAnsi="Arial" w:cs="Arial"/>
          <w:bdr w:val="nil"/>
          <w:lang w:val="en-US"/>
        </w:rPr>
      </w:pPr>
      <w:r w:rsidRPr="004208C4">
        <w:rPr>
          <w:rFonts w:ascii="Arial" w:eastAsia="Arial" w:hAnsi="Arial" w:cs="Arial"/>
          <w:lang w:val="en-US"/>
        </w:rPr>
        <w:t>The Chief Information Security Officer reports to the management team on a semi-annual basis, presenting major cybersecurity incidents and key performance indicators related to the company's cybersecurity posture. Additionally, the Chief Information Security Officer reports to the audit committee on a semi-annual basis regarding progress on critical cybersecurity initiatives, results of the company's cybersecurity maturity level assessments, and updates on the implementation of our cybersecurity strategy.</w:t>
      </w:r>
    </w:p>
    <w:p w14:paraId="71F3EC04" w14:textId="77777777" w:rsidR="00676089" w:rsidRPr="00676089" w:rsidRDefault="00676089" w:rsidP="00676089">
      <w:pPr>
        <w:pBdr>
          <w:top w:val="nil"/>
          <w:left w:val="nil"/>
          <w:bottom w:val="nil"/>
          <w:right w:val="nil"/>
          <w:between w:val="nil"/>
          <w:bar w:val="nil"/>
        </w:pBdr>
        <w:jc w:val="both"/>
        <w:rPr>
          <w:rFonts w:ascii="Arial" w:eastAsia="Arial" w:hAnsi="Arial" w:cs="Arial"/>
          <w:bdr w:val="nil"/>
          <w:lang w:val="en-US"/>
        </w:rPr>
      </w:pPr>
    </w:p>
    <w:p w14:paraId="71F3EC05" w14:textId="77777777" w:rsidR="00676089" w:rsidRPr="00676089" w:rsidRDefault="003A4815" w:rsidP="00676089">
      <w:pPr>
        <w:pBdr>
          <w:top w:val="nil"/>
          <w:left w:val="nil"/>
          <w:bottom w:val="nil"/>
          <w:right w:val="nil"/>
          <w:between w:val="nil"/>
          <w:bar w:val="nil"/>
        </w:pBdr>
        <w:jc w:val="both"/>
        <w:rPr>
          <w:rFonts w:ascii="Arial" w:eastAsia="Arial" w:hAnsi="Arial" w:cs="Arial"/>
          <w:bdr w:val="nil"/>
          <w:lang w:val="en-US"/>
        </w:rPr>
      </w:pPr>
      <w:bookmarkStart w:id="332" w:name="XBRL_TS_62b7f908bc2c4ff2b15cf7dd4cb5bbde"/>
      <w:bookmarkStart w:id="333" w:name="XBRL_TS_ab946fd6d57341d1af9200fcca9e1503"/>
      <w:r w:rsidRPr="00676089">
        <w:rPr>
          <w:rFonts w:ascii="Arial" w:eastAsia="Arial" w:hAnsi="Arial" w:cs="Arial"/>
          <w:lang w:val="en-US"/>
        </w:rPr>
        <w:t xml:space="preserve">The </w:t>
      </w:r>
      <w:bookmarkStart w:id="334" w:name="XBRL_CS_58e423bfd57e40e1aaec4438367a8409"/>
      <w:r w:rsidRPr="00676089">
        <w:rPr>
          <w:rFonts w:ascii="Arial" w:eastAsia="Arial" w:hAnsi="Arial" w:cs="Arial"/>
          <w:lang w:val="en-US"/>
        </w:rPr>
        <w:t>audit committee</w:t>
      </w:r>
      <w:bookmarkEnd w:id="334"/>
      <w:r w:rsidRPr="00676089">
        <w:rPr>
          <w:rFonts w:ascii="Arial" w:eastAsia="Arial" w:hAnsi="Arial" w:cs="Arial"/>
          <w:lang w:val="en-US"/>
        </w:rPr>
        <w:t xml:space="preserve"> receives regular reports from management on our cybersecurity risks</w:t>
      </w:r>
      <w:bookmarkEnd w:id="332"/>
      <w:r w:rsidRPr="00676089">
        <w:rPr>
          <w:rFonts w:ascii="Arial" w:eastAsia="Arial" w:hAnsi="Arial" w:cs="Arial"/>
          <w:lang w:val="en-US"/>
        </w:rPr>
        <w:t xml:space="preserve">. In addition, management updates the audit committee, as necessary, regarding any material cybersecurity incidents, as well as any incidents with lesser impact potential. </w:t>
      </w:r>
      <w:bookmarkStart w:id="335" w:name="XBRL_TS_c67ebb92402644719538f16b49f1ff72"/>
      <w:r w:rsidRPr="00676089">
        <w:rPr>
          <w:rFonts w:ascii="Arial" w:eastAsia="Arial" w:hAnsi="Arial" w:cs="Arial"/>
          <w:lang w:val="en-US"/>
        </w:rPr>
        <w:t>The audit committee reviews the Company's cybersecurity risks and assess’ the steps that management has taken to protect against threats to the Company's information systems and security.</w:t>
      </w:r>
    </w:p>
    <w:bookmarkEnd w:id="333"/>
    <w:bookmarkEnd w:id="335"/>
    <w:p w14:paraId="71F3EC06" w14:textId="77777777" w:rsidR="00676089" w:rsidRPr="00676089" w:rsidRDefault="00676089" w:rsidP="00676089">
      <w:pPr>
        <w:pBdr>
          <w:top w:val="nil"/>
          <w:left w:val="nil"/>
          <w:bottom w:val="nil"/>
          <w:right w:val="nil"/>
          <w:between w:val="nil"/>
          <w:bar w:val="nil"/>
        </w:pBdr>
        <w:jc w:val="both"/>
        <w:rPr>
          <w:rFonts w:ascii="Arial" w:eastAsia="Arial" w:hAnsi="Arial" w:cs="Arial"/>
          <w:bdr w:val="nil"/>
          <w:lang w:val="en-US"/>
        </w:rPr>
      </w:pPr>
    </w:p>
    <w:p w14:paraId="71F3EC07" w14:textId="77777777" w:rsidR="00676089" w:rsidRPr="00676089" w:rsidRDefault="003A4815" w:rsidP="00676089">
      <w:pPr>
        <w:pBdr>
          <w:top w:val="nil"/>
          <w:left w:val="nil"/>
          <w:bottom w:val="nil"/>
          <w:right w:val="nil"/>
          <w:between w:val="nil"/>
          <w:bar w:val="nil"/>
        </w:pBdr>
        <w:jc w:val="both"/>
        <w:rPr>
          <w:rFonts w:ascii="Arial" w:eastAsia="Arial" w:hAnsi="Arial" w:cs="Arial"/>
          <w:bdr w:val="nil"/>
          <w:lang w:val="en-US"/>
        </w:rPr>
      </w:pPr>
      <w:bookmarkStart w:id="336" w:name="XBRL_TS_cc4e3b89e07146bdb23950f6c322ea0f"/>
      <w:r w:rsidRPr="00676089">
        <w:rPr>
          <w:rFonts w:ascii="Arial" w:eastAsia="Arial" w:hAnsi="Arial" w:cs="Arial"/>
          <w:lang w:val="en-US"/>
        </w:rPr>
        <w:t>Our board of directors oversees the Company’s cybersecurity risk exposures and the steps taken by management to monitor and mitigate cybersecurity risks. The board of directors ensures allocation and prioritization of resources and overall strategic direction for cybersecurity and ensures alignment with the Company’s overall strategy.</w:t>
      </w:r>
      <w:bookmarkEnd w:id="336"/>
    </w:p>
    <w:p w14:paraId="71F3EC08" w14:textId="77777777" w:rsidR="00987522" w:rsidRPr="00A07C11" w:rsidRDefault="00987522" w:rsidP="00987522">
      <w:pPr>
        <w:pBdr>
          <w:top w:val="nil"/>
          <w:left w:val="nil"/>
          <w:bottom w:val="nil"/>
          <w:right w:val="nil"/>
          <w:between w:val="nil"/>
          <w:bar w:val="nil"/>
        </w:pBdr>
        <w:jc w:val="both"/>
        <w:rPr>
          <w:rFonts w:ascii="Arial" w:eastAsia="Arial" w:hAnsi="Arial" w:cs="Arial"/>
          <w:bdr w:val="nil"/>
          <w:lang w:val="en-US"/>
        </w:rPr>
      </w:pPr>
    </w:p>
    <w:p w14:paraId="71F3EC09" w14:textId="77777777" w:rsidR="006B3943" w:rsidRPr="00987522" w:rsidRDefault="003A4815" w:rsidP="00987522">
      <w:pPr>
        <w:pStyle w:val="Heading2"/>
        <w:keepLines/>
        <w:pBdr>
          <w:top w:val="nil"/>
          <w:left w:val="nil"/>
          <w:bottom w:val="nil"/>
          <w:right w:val="nil"/>
          <w:between w:val="nil"/>
          <w:bar w:val="nil"/>
        </w:pBdr>
        <w:jc w:val="both"/>
        <w:rPr>
          <w:rFonts w:eastAsia="Arial" w:cs="Arial"/>
          <w:i w:val="0"/>
          <w:iCs w:val="0"/>
          <w:color w:val="auto"/>
          <w:sz w:val="22"/>
          <w:bdr w:val="nil"/>
        </w:rPr>
      </w:pPr>
      <w:bookmarkStart w:id="337" w:name="XBRL_CS_82302b0e235341e2b408270c2b3c0f4c"/>
      <w:r w:rsidRPr="00987522">
        <w:rPr>
          <w:rFonts w:ascii="Arial" w:eastAsia="Arial" w:hAnsi="Arial" w:cs="Arial"/>
          <w:i w:val="0"/>
          <w:iCs w:val="0"/>
          <w:color w:val="auto"/>
          <w:sz w:val="22"/>
        </w:rPr>
        <w:t>Cybersecurity Threats</w:t>
      </w:r>
      <w:bookmarkEnd w:id="337"/>
    </w:p>
    <w:p w14:paraId="71F3EC0A" w14:textId="77777777" w:rsidR="00987522" w:rsidRPr="00A07C11" w:rsidRDefault="00987522" w:rsidP="00A07C11">
      <w:pPr>
        <w:pBdr>
          <w:top w:val="nil"/>
          <w:left w:val="nil"/>
          <w:bottom w:val="nil"/>
          <w:right w:val="nil"/>
          <w:between w:val="nil"/>
          <w:bar w:val="nil"/>
        </w:pBdr>
        <w:jc w:val="both"/>
        <w:rPr>
          <w:rFonts w:ascii="Arial" w:eastAsia="Arial" w:hAnsi="Arial" w:cs="Arial"/>
          <w:bdr w:val="nil"/>
          <w:lang w:val="en-US"/>
        </w:rPr>
      </w:pPr>
    </w:p>
    <w:p w14:paraId="71F3EC0B" w14:textId="77777777" w:rsidR="006B3943" w:rsidRPr="00A07C11" w:rsidRDefault="003A4815" w:rsidP="006B3943">
      <w:pPr>
        <w:pBdr>
          <w:top w:val="nil"/>
          <w:left w:val="nil"/>
          <w:bottom w:val="nil"/>
          <w:right w:val="nil"/>
          <w:between w:val="nil"/>
          <w:bar w:val="nil"/>
        </w:pBdr>
        <w:jc w:val="both"/>
        <w:rPr>
          <w:rFonts w:ascii="Arial" w:eastAsia="Arial" w:hAnsi="Arial" w:cs="Arial"/>
          <w:bdr w:val="nil"/>
          <w:lang w:val="en-US"/>
        </w:rPr>
      </w:pPr>
      <w:bookmarkStart w:id="338" w:name="XBRL_TS_2aacd5ce5200455e826d9c1536699690"/>
      <w:r>
        <w:rPr>
          <w:rFonts w:ascii="Arial" w:eastAsia="Arial" w:hAnsi="Arial" w:cs="Arial"/>
          <w:lang w:val="en-US"/>
        </w:rPr>
        <w:t>As of</w:t>
      </w:r>
      <w:r w:rsidRPr="00A07C11">
        <w:rPr>
          <w:rFonts w:ascii="Arial" w:eastAsia="Arial" w:hAnsi="Arial" w:cs="Arial"/>
          <w:lang w:val="en-US"/>
        </w:rPr>
        <w:t xml:space="preserve"> the date of this annual report, we </w:t>
      </w:r>
      <w:r>
        <w:rPr>
          <w:rFonts w:ascii="Arial" w:eastAsia="Arial" w:hAnsi="Arial" w:cs="Arial"/>
          <w:lang w:val="en-US"/>
        </w:rPr>
        <w:t>have</w:t>
      </w:r>
      <w:r w:rsidRPr="00A07C11">
        <w:rPr>
          <w:rFonts w:ascii="Arial" w:eastAsia="Arial" w:hAnsi="Arial" w:cs="Arial"/>
          <w:lang w:val="en-US"/>
        </w:rPr>
        <w:t xml:space="preserve"> not </w:t>
      </w:r>
      <w:r w:rsidR="00A520A1" w:rsidRPr="00A07C11">
        <w:rPr>
          <w:rFonts w:ascii="Arial" w:eastAsia="Arial" w:hAnsi="Arial" w:cs="Arial"/>
          <w:lang w:val="en-US"/>
        </w:rPr>
        <w:t>identif</w:t>
      </w:r>
      <w:r w:rsidR="00A520A1">
        <w:rPr>
          <w:rFonts w:ascii="Arial" w:eastAsia="Arial" w:hAnsi="Arial" w:cs="Arial"/>
          <w:lang w:val="en-US"/>
        </w:rPr>
        <w:t>ied</w:t>
      </w:r>
      <w:r w:rsidRPr="00A07C11">
        <w:rPr>
          <w:rFonts w:ascii="Arial" w:eastAsia="Arial" w:hAnsi="Arial" w:cs="Arial"/>
          <w:lang w:val="en-US"/>
        </w:rPr>
        <w:t xml:space="preserve"> any cybersecurity threats that have materially affected or are reasonably likely to materially affect our business strategy, results of operations, or financial condition. </w:t>
      </w:r>
      <w:r w:rsidR="00985E71" w:rsidRPr="00985E71">
        <w:rPr>
          <w:rFonts w:ascii="Arial" w:eastAsia="Arial" w:hAnsi="Arial" w:cs="Arial"/>
          <w:lang w:val="en-US"/>
        </w:rPr>
        <w:t xml:space="preserve">This assessment is supported by our proactive vulnerability management program, successful vessel audit schedule adherence, and the lack of material breaches identified during the fiscal year ended December 31, 2025. </w:t>
      </w:r>
      <w:r w:rsidRPr="00A07C11">
        <w:rPr>
          <w:rFonts w:ascii="Arial" w:eastAsia="Arial" w:hAnsi="Arial" w:cs="Arial"/>
          <w:lang w:val="en-US"/>
        </w:rPr>
        <w:t>For more information about the cybersecurity risks we face, please see Item 3. Key Information — D. Risk Factors — “A cyber-attack could materially disrupt our business.”</w:t>
      </w:r>
      <w:bookmarkEnd w:id="338"/>
    </w:p>
    <w:p w14:paraId="71F3EC0C" w14:textId="77777777" w:rsidR="00D06E87" w:rsidRPr="00DE78AD" w:rsidRDefault="003A4815" w:rsidP="00DC559C">
      <w:pPr>
        <w:pStyle w:val="Title"/>
        <w:keepNext/>
        <w:keepLines/>
        <w:pageBreakBefore/>
        <w:pBdr>
          <w:top w:val="nil"/>
          <w:left w:val="nil"/>
          <w:bottom w:val="nil"/>
          <w:right w:val="nil"/>
          <w:between w:val="nil"/>
          <w:bar w:val="nil"/>
        </w:pBdr>
        <w:spacing w:after="240" w:line="240" w:lineRule="auto"/>
        <w:rPr>
          <w:rFonts w:ascii="Arial" w:eastAsia="Arial" w:hAnsi="Arial" w:cs="Arial"/>
          <w:kern w:val="32"/>
          <w:szCs w:val="22"/>
          <w:bdr w:val="nil"/>
          <w:lang w:bidi="en-US"/>
        </w:rPr>
      </w:pPr>
      <w:bookmarkStart w:id="339" w:name="part3"/>
      <w:bookmarkStart w:id="340" w:name="RG_MARKER_23032"/>
      <w:bookmarkStart w:id="341" w:name="RG_MARKER_23031"/>
      <w:bookmarkStart w:id="342" w:name="_Toc222553141"/>
      <w:bookmarkStart w:id="343" w:name="_Toc223262955"/>
      <w:bookmarkStart w:id="344" w:name="_Toc103668654"/>
      <w:bookmarkEnd w:id="339"/>
      <w:r w:rsidRPr="00DE78AD">
        <w:rPr>
          <w:rFonts w:ascii="Arial" w:eastAsia="Arial" w:hAnsi="Arial" w:cs="Arial"/>
          <w:kern w:val="32"/>
          <w:sz w:val="32"/>
          <w:szCs w:val="22"/>
          <w:lang w:val="en-GB" w:bidi="en-US"/>
        </w:rPr>
        <w:t>PART III</w:t>
      </w:r>
      <w:bookmarkEnd w:id="340"/>
      <w:bookmarkEnd w:id="341"/>
      <w:bookmarkEnd w:id="342"/>
      <w:bookmarkEnd w:id="343"/>
      <w:bookmarkEnd w:id="344"/>
    </w:p>
    <w:p w14:paraId="71F3EC0D" w14:textId="77777777" w:rsidR="00DC559C" w:rsidRPr="00DC559C" w:rsidRDefault="00DC559C" w:rsidP="00DC559C">
      <w:pPr>
        <w:keepNext/>
        <w:keepLines/>
        <w:pBdr>
          <w:top w:val="nil"/>
          <w:left w:val="nil"/>
          <w:bottom w:val="nil"/>
          <w:right w:val="nil"/>
          <w:between w:val="nil"/>
          <w:bar w:val="nil"/>
        </w:pBdr>
        <w:rPr>
          <w:rFonts w:ascii="Arial" w:eastAsia="Arial" w:hAnsi="Arial" w:cs="Arial"/>
          <w:bdr w:val="nil"/>
          <w:lang w:val="en-GB"/>
        </w:rPr>
      </w:pPr>
    </w:p>
    <w:p w14:paraId="71F3EC0E" w14:textId="77777777" w:rsidR="000333CF" w:rsidRPr="0076613A" w:rsidRDefault="003A4815" w:rsidP="0082365D">
      <w:pPr>
        <w:pStyle w:val="Heading1"/>
        <w:keepLines/>
        <w:pBdr>
          <w:top w:val="nil"/>
          <w:left w:val="nil"/>
          <w:bottom w:val="nil"/>
          <w:right w:val="nil"/>
          <w:between w:val="nil"/>
          <w:bar w:val="nil"/>
        </w:pBdr>
        <w:rPr>
          <w:rFonts w:ascii="Arial" w:eastAsia="Arial" w:hAnsi="Arial" w:cs="Arial"/>
          <w:iCs/>
          <w:color w:val="auto"/>
          <w:kern w:val="0"/>
          <w:szCs w:val="22"/>
          <w:bdr w:val="nil"/>
          <w:lang w:bidi="en-US"/>
        </w:rPr>
      </w:pPr>
      <w:bookmarkStart w:id="345" w:name="part3item17"/>
      <w:bookmarkStart w:id="346" w:name="RG_MARKER_23034"/>
      <w:bookmarkStart w:id="347" w:name="RG_MARKER_23033"/>
      <w:bookmarkStart w:id="348" w:name="_Toc222553142"/>
      <w:bookmarkStart w:id="349" w:name="_Toc223262956"/>
      <w:bookmarkStart w:id="350" w:name="_Toc103668655"/>
      <w:bookmarkEnd w:id="345"/>
      <w:r w:rsidRPr="0076613A">
        <w:rPr>
          <w:rFonts w:ascii="Arial" w:eastAsia="Arial" w:hAnsi="Arial" w:cs="Arial"/>
          <w:iCs/>
          <w:color w:val="auto"/>
          <w:kern w:val="0"/>
          <w:szCs w:val="22"/>
          <w:lang w:val="en-GB" w:bidi="en-US"/>
        </w:rPr>
        <w:t>Item 17.</w:t>
      </w:r>
      <w:bookmarkEnd w:id="346"/>
      <w:bookmarkEnd w:id="347"/>
      <w:r w:rsidRPr="0076613A">
        <w:rPr>
          <w:rFonts w:ascii="Arial" w:eastAsia="Arial" w:hAnsi="Arial" w:cs="Arial"/>
          <w:iCs/>
          <w:color w:val="auto"/>
          <w:kern w:val="0"/>
          <w:szCs w:val="22"/>
          <w:lang w:val="en-GB" w:bidi="en-US"/>
        </w:rPr>
        <w:tab/>
        <w:t>Financial Statements</w:t>
      </w:r>
      <w:bookmarkEnd w:id="348"/>
      <w:bookmarkEnd w:id="349"/>
      <w:bookmarkEnd w:id="350"/>
    </w:p>
    <w:p w14:paraId="71F3EC0F" w14:textId="77777777" w:rsidR="00604B8A" w:rsidRPr="0076613A" w:rsidRDefault="00604B8A" w:rsidP="0082365D">
      <w:pPr>
        <w:keepNext/>
        <w:keepLines/>
        <w:pBdr>
          <w:top w:val="nil"/>
          <w:left w:val="nil"/>
          <w:bottom w:val="nil"/>
          <w:right w:val="nil"/>
          <w:between w:val="nil"/>
          <w:bar w:val="nil"/>
        </w:pBdr>
        <w:rPr>
          <w:rFonts w:ascii="Arial" w:eastAsia="Arial" w:hAnsi="Arial" w:cs="Arial"/>
          <w:bdr w:val="nil"/>
          <w:lang w:val="en-GB"/>
        </w:rPr>
      </w:pPr>
    </w:p>
    <w:p w14:paraId="71F3EC10" w14:textId="77777777" w:rsidR="000333CF" w:rsidRPr="0076613A" w:rsidRDefault="003A4815" w:rsidP="0082365D">
      <w:pPr>
        <w:pBdr>
          <w:top w:val="nil"/>
          <w:left w:val="nil"/>
          <w:bottom w:val="nil"/>
          <w:right w:val="nil"/>
          <w:between w:val="nil"/>
          <w:bar w:val="nil"/>
        </w:pBdr>
        <w:jc w:val="both"/>
        <w:rPr>
          <w:rFonts w:ascii="Arial" w:eastAsia="Arial" w:hAnsi="Arial" w:cs="Arial"/>
          <w:bdr w:val="nil"/>
          <w:lang w:val="en-GB"/>
        </w:rPr>
      </w:pPr>
      <w:r w:rsidRPr="0076613A">
        <w:rPr>
          <w:rFonts w:ascii="Arial" w:eastAsia="Arial" w:hAnsi="Arial" w:cs="Arial"/>
          <w:szCs w:val="24"/>
          <w:lang w:val="en-GB" w:bidi="en-US"/>
        </w:rPr>
        <w:t>See Item 18.</w:t>
      </w:r>
    </w:p>
    <w:p w14:paraId="71F3EC11"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EC12" w14:textId="77777777" w:rsidR="00391805" w:rsidRPr="0051020F" w:rsidRDefault="003A4815" w:rsidP="0051020F">
      <w:pPr>
        <w:pStyle w:val="Heading1"/>
        <w:keepLines/>
        <w:pBdr>
          <w:top w:val="nil"/>
          <w:left w:val="nil"/>
          <w:bottom w:val="nil"/>
          <w:right w:val="nil"/>
          <w:between w:val="nil"/>
          <w:bar w:val="nil"/>
        </w:pBdr>
        <w:spacing w:before="0" w:after="0"/>
        <w:jc w:val="both"/>
        <w:rPr>
          <w:rFonts w:ascii="Arial" w:eastAsia="Arial" w:hAnsi="Arial" w:cs="Arial"/>
          <w:iCs/>
          <w:color w:val="auto"/>
          <w:kern w:val="0"/>
          <w:szCs w:val="28"/>
          <w:bdr w:val="nil"/>
          <w:lang w:bidi="en-US"/>
        </w:rPr>
      </w:pPr>
      <w:bookmarkStart w:id="351" w:name="part3item18"/>
      <w:bookmarkStart w:id="352" w:name="RG_MARKER_23036"/>
      <w:bookmarkStart w:id="353" w:name="RG_MARKER_23035"/>
      <w:bookmarkStart w:id="354" w:name="_Toc222553143"/>
      <w:bookmarkStart w:id="355" w:name="_Toc223262957"/>
      <w:bookmarkStart w:id="356" w:name="_Toc103668656"/>
      <w:bookmarkEnd w:id="351"/>
      <w:r w:rsidRPr="0051020F">
        <w:rPr>
          <w:rFonts w:ascii="Arial" w:eastAsia="Arial" w:hAnsi="Arial" w:cs="Arial"/>
          <w:iCs/>
          <w:color w:val="auto"/>
          <w:kern w:val="0"/>
          <w:szCs w:val="28"/>
          <w:lang w:val="en-GB" w:bidi="en-US"/>
        </w:rPr>
        <w:t>Item 18.</w:t>
      </w:r>
      <w:bookmarkEnd w:id="352"/>
      <w:bookmarkEnd w:id="353"/>
      <w:r w:rsidRPr="0051020F">
        <w:rPr>
          <w:rFonts w:ascii="Arial" w:eastAsia="Arial" w:hAnsi="Arial" w:cs="Arial"/>
          <w:iCs/>
          <w:color w:val="auto"/>
          <w:kern w:val="0"/>
          <w:szCs w:val="28"/>
          <w:lang w:val="en-GB" w:bidi="en-US"/>
        </w:rPr>
        <w:tab/>
        <w:t>Financial Statements</w:t>
      </w:r>
      <w:bookmarkEnd w:id="354"/>
      <w:bookmarkEnd w:id="355"/>
      <w:bookmarkEnd w:id="356"/>
    </w:p>
    <w:p w14:paraId="71F3EC13" w14:textId="77777777" w:rsidR="00B56798" w:rsidRPr="0051020F" w:rsidRDefault="00B56798" w:rsidP="0051020F">
      <w:pPr>
        <w:keepNext/>
        <w:keepLines/>
        <w:pBdr>
          <w:top w:val="nil"/>
          <w:left w:val="nil"/>
          <w:bottom w:val="nil"/>
          <w:right w:val="nil"/>
          <w:between w:val="nil"/>
          <w:bar w:val="nil"/>
        </w:pBdr>
        <w:jc w:val="both"/>
        <w:rPr>
          <w:rFonts w:ascii="Arial" w:eastAsia="Arial" w:hAnsi="Arial" w:cs="Arial"/>
          <w:bdr w:val="nil"/>
          <w:lang w:val="en-GB"/>
        </w:rPr>
      </w:pPr>
    </w:p>
    <w:p w14:paraId="71F3EC14" w14:textId="77777777" w:rsidR="00655FB2" w:rsidRPr="0051020F" w:rsidRDefault="003A4815" w:rsidP="0051020F">
      <w:pPr>
        <w:pBdr>
          <w:top w:val="nil"/>
          <w:left w:val="nil"/>
          <w:bottom w:val="nil"/>
          <w:right w:val="nil"/>
          <w:between w:val="nil"/>
          <w:bar w:val="nil"/>
        </w:pBdr>
        <w:jc w:val="both"/>
        <w:rPr>
          <w:rFonts w:ascii="Arial" w:eastAsia="Arial" w:hAnsi="Arial" w:cs="Arial"/>
          <w:bdr w:val="nil"/>
          <w:lang w:val="en-GB"/>
        </w:rPr>
      </w:pPr>
      <w:r w:rsidRPr="0051020F">
        <w:rPr>
          <w:rFonts w:ascii="Arial" w:eastAsia="Arial" w:hAnsi="Arial" w:cs="Arial"/>
          <w:lang w:val="en-GB" w:bidi="en-US"/>
        </w:rPr>
        <w:t xml:space="preserve">The financial statements required by this Item 18 are filed as a part of this annual report beginning on page F-1. </w:t>
      </w:r>
    </w:p>
    <w:p w14:paraId="71F3EC1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EC16" w14:textId="77777777" w:rsidR="0075144E" w:rsidRPr="00E73869" w:rsidRDefault="003A4815" w:rsidP="0075144E">
      <w:pPr>
        <w:keepNext/>
        <w:keepLines/>
        <w:pBdr>
          <w:top w:val="nil"/>
          <w:left w:val="nil"/>
          <w:bottom w:val="nil"/>
          <w:right w:val="nil"/>
          <w:between w:val="nil"/>
          <w:bar w:val="nil"/>
        </w:pBdr>
        <w:spacing w:before="240" w:after="60"/>
        <w:jc w:val="both"/>
        <w:outlineLvl w:val="0"/>
        <w:rPr>
          <w:rFonts w:ascii="Arial" w:eastAsia="Arial" w:hAnsi="Arial" w:cs="Arial"/>
          <w:b/>
          <w:bCs/>
          <w:iCs/>
          <w:sz w:val="28"/>
          <w:szCs w:val="28"/>
          <w:bdr w:val="nil"/>
          <w:lang w:val="en-US" w:bidi="en-US"/>
        </w:rPr>
      </w:pPr>
      <w:bookmarkStart w:id="357" w:name="part3item19"/>
      <w:bookmarkStart w:id="358" w:name="RG_MARKER_23038"/>
      <w:bookmarkStart w:id="359" w:name="RG_MARKER_23037"/>
      <w:bookmarkStart w:id="360" w:name="_Toc222553144"/>
      <w:bookmarkStart w:id="361" w:name="_Toc223262958"/>
      <w:bookmarkStart w:id="362" w:name="_Toc103668657"/>
      <w:bookmarkEnd w:id="357"/>
      <w:r w:rsidRPr="00E73869">
        <w:rPr>
          <w:rFonts w:ascii="Arial" w:eastAsia="Arial" w:hAnsi="Arial" w:cs="Arial"/>
          <w:b/>
          <w:bCs/>
          <w:iCs/>
          <w:sz w:val="28"/>
          <w:szCs w:val="28"/>
          <w:lang w:val="en-GB" w:bidi="en-US"/>
        </w:rPr>
        <w:t>Item 19.</w:t>
      </w:r>
      <w:bookmarkEnd w:id="358"/>
      <w:bookmarkEnd w:id="359"/>
      <w:r w:rsidRPr="00E73869">
        <w:rPr>
          <w:rFonts w:ascii="Arial" w:eastAsia="Arial" w:hAnsi="Arial" w:cs="Arial"/>
          <w:b/>
          <w:bCs/>
          <w:iCs/>
          <w:sz w:val="28"/>
          <w:szCs w:val="28"/>
          <w:lang w:val="en-GB" w:bidi="en-US"/>
        </w:rPr>
        <w:tab/>
        <w:t>Exhibits</w:t>
      </w:r>
      <w:bookmarkEnd w:id="360"/>
      <w:bookmarkEnd w:id="361"/>
      <w:bookmarkEnd w:id="362"/>
    </w:p>
    <w:p w14:paraId="71F3EC17" w14:textId="77777777" w:rsidR="0075144E" w:rsidRPr="00E73869" w:rsidRDefault="0075144E" w:rsidP="0075144E">
      <w:pPr>
        <w:keepNext/>
        <w:keepLines/>
        <w:pBdr>
          <w:top w:val="nil"/>
          <w:left w:val="nil"/>
          <w:bottom w:val="nil"/>
          <w:right w:val="nil"/>
          <w:between w:val="nil"/>
          <w:bar w:val="nil"/>
        </w:pBdr>
        <w:jc w:val="both"/>
        <w:rPr>
          <w:rFonts w:ascii="Arial" w:eastAsia="Arial" w:hAnsi="Arial" w:cs="Arial"/>
          <w:color w:val="000000"/>
          <w:bdr w:val="nil"/>
          <w:lang w:val="en-GB"/>
        </w:rPr>
      </w:pPr>
    </w:p>
    <w:p w14:paraId="71F3EC18" w14:textId="77777777" w:rsidR="0075144E" w:rsidRPr="00E73869" w:rsidRDefault="003A4815" w:rsidP="0075144E">
      <w:pPr>
        <w:keepNext/>
        <w:keepLines/>
        <w:pBdr>
          <w:top w:val="nil"/>
          <w:left w:val="nil"/>
          <w:bottom w:val="nil"/>
          <w:right w:val="nil"/>
          <w:between w:val="nil"/>
          <w:bar w:val="nil"/>
        </w:pBdr>
        <w:jc w:val="both"/>
        <w:rPr>
          <w:rFonts w:ascii="Arial" w:eastAsia="Arial" w:hAnsi="Arial" w:cs="Arial"/>
          <w:bdr w:val="nil"/>
          <w:lang w:val="en-US"/>
        </w:rPr>
      </w:pPr>
      <w:r w:rsidRPr="00E73869">
        <w:rPr>
          <w:rFonts w:ascii="Arial" w:eastAsia="Arial" w:hAnsi="Arial" w:cs="Arial"/>
          <w:u w:val="single"/>
          <w:lang w:val="en-US" w:bidi="en-US"/>
        </w:rPr>
        <w:t>Exhibit</w:t>
      </w:r>
      <w:r w:rsidRPr="00E73869">
        <w:rPr>
          <w:rFonts w:ascii="Arial" w:eastAsia="Arial" w:hAnsi="Arial" w:cs="Arial"/>
          <w:lang w:val="en-US" w:bidi="en-US"/>
        </w:rPr>
        <w:br/>
      </w:r>
      <w:r w:rsidRPr="00E73869">
        <w:rPr>
          <w:rFonts w:ascii="Arial" w:eastAsia="Arial" w:hAnsi="Arial" w:cs="Arial"/>
          <w:u w:val="single"/>
          <w:lang w:val="en-US" w:bidi="en-US"/>
        </w:rPr>
        <w:t>Number</w:t>
      </w:r>
      <w:r w:rsidRPr="00E73869">
        <w:rPr>
          <w:rFonts w:ascii="Arial" w:eastAsia="Arial" w:hAnsi="Arial" w:cs="Arial"/>
          <w:lang w:val="en-US" w:bidi="en-US"/>
        </w:rPr>
        <w:tab/>
      </w:r>
      <w:r w:rsidRPr="00E73869">
        <w:rPr>
          <w:rFonts w:ascii="Arial" w:eastAsia="Arial" w:hAnsi="Arial" w:cs="Arial"/>
          <w:u w:val="single"/>
          <w:lang w:val="en-US" w:bidi="en-US"/>
        </w:rPr>
        <w:t>Description</w:t>
      </w:r>
    </w:p>
    <w:p w14:paraId="71F3EC19"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1.1 </w:t>
      </w:r>
      <w:r w:rsidRPr="00E73869">
        <w:rPr>
          <w:rFonts w:ascii="Arial" w:eastAsia="Arial" w:hAnsi="Arial" w:cs="Arial"/>
          <w:lang w:val="en-US" w:bidi="en-US"/>
        </w:rPr>
        <w:tab/>
      </w:r>
      <w:hyperlink r:id="rId25" w:history="1">
        <w:r w:rsidR="0075144E" w:rsidRPr="00E73869">
          <w:rPr>
            <w:rStyle w:val="Hyperlink"/>
            <w:rFonts w:ascii="Arial" w:eastAsia="Arial" w:hAnsi="Arial" w:cs="Arial"/>
            <w:color w:val="0000FF"/>
            <w:szCs w:val="24"/>
            <w:lang w:val="en-US" w:bidi="en-US"/>
          </w:rPr>
          <w:t>Amended and Restated Articles of Incorporation of Diana Shipping Inc. (originally known as Diana Shipping Investment Corp.)</w:t>
        </w:r>
        <w:r w:rsidR="0075144E" w:rsidRPr="00E73869">
          <w:rPr>
            <w:rStyle w:val="Hyperlink"/>
            <w:rFonts w:ascii="Arial" w:eastAsia="Arial" w:hAnsi="Arial" w:cs="Arial"/>
            <w:color w:val="0000FF"/>
            <w:lang w:val="en-US" w:bidi="en-US"/>
          </w:rPr>
          <w:t xml:space="preserve"> (1)</w:t>
        </w:r>
      </w:hyperlink>
    </w:p>
    <w:p w14:paraId="71F3EC1A"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color w:val="0000FF"/>
          <w:u w:val="single"/>
          <w:bdr w:val="nil"/>
          <w:lang w:val="en-US"/>
        </w:rPr>
      </w:pPr>
      <w:r w:rsidRPr="00E73869">
        <w:rPr>
          <w:rFonts w:ascii="Arial" w:eastAsia="Arial" w:hAnsi="Arial" w:cs="Arial"/>
          <w:lang w:val="en-US" w:bidi="en-US"/>
        </w:rPr>
        <w:t xml:space="preserve">1.2 </w:t>
      </w:r>
      <w:r w:rsidRPr="00E73869">
        <w:rPr>
          <w:rFonts w:ascii="Arial" w:eastAsia="Arial" w:hAnsi="Arial" w:cs="Arial"/>
          <w:lang w:val="en-US" w:bidi="en-US"/>
        </w:rPr>
        <w:tab/>
      </w:r>
      <w:hyperlink r:id="rId26" w:history="1">
        <w:r w:rsidR="0075144E" w:rsidRPr="00E73869">
          <w:rPr>
            <w:rStyle w:val="Hyperlink"/>
            <w:rFonts w:ascii="Arial" w:eastAsia="Arial" w:hAnsi="Arial" w:cs="Arial"/>
            <w:color w:val="0000FF"/>
            <w:szCs w:val="24"/>
            <w:lang w:val="en-US" w:bidi="en-US"/>
          </w:rPr>
          <w:t>Amended and Restated By-laws of the Company</w:t>
        </w:r>
        <w:r w:rsidR="0075144E" w:rsidRPr="00E73869">
          <w:rPr>
            <w:rStyle w:val="Hyperlink"/>
            <w:rFonts w:ascii="Arial" w:eastAsia="Arial" w:hAnsi="Arial" w:cs="Arial"/>
            <w:color w:val="0000FF"/>
            <w:lang w:val="en-US" w:bidi="en-US"/>
          </w:rPr>
          <w:t xml:space="preserve"> (2)</w:t>
        </w:r>
      </w:hyperlink>
    </w:p>
    <w:p w14:paraId="71F3EC1B"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rPr>
          <w:rFonts w:ascii="Arial" w:eastAsia="Arial" w:hAnsi="Arial" w:cs="Arial"/>
          <w:bdr w:val="nil"/>
          <w:lang w:val="en-US"/>
        </w:rPr>
      </w:pPr>
      <w:r w:rsidRPr="00E73869">
        <w:rPr>
          <w:rFonts w:ascii="Arial" w:eastAsia="Arial" w:hAnsi="Arial" w:cs="Arial"/>
          <w:szCs w:val="24"/>
          <w:lang w:val="en-US" w:bidi="en-US"/>
        </w:rPr>
        <w:t>1.3</w:t>
      </w:r>
      <w:r w:rsidRPr="00E73869">
        <w:rPr>
          <w:rFonts w:ascii="Arial" w:eastAsia="Arial" w:hAnsi="Arial" w:cs="Arial"/>
          <w:szCs w:val="24"/>
          <w:lang w:val="en-US" w:bidi="en-US"/>
        </w:rPr>
        <w:tab/>
      </w:r>
      <w:hyperlink r:id="rId27" w:history="1">
        <w:r w:rsidR="0075144E" w:rsidRPr="00E73869">
          <w:rPr>
            <w:rStyle w:val="Hyperlink"/>
            <w:rFonts w:ascii="Arial" w:eastAsia="Arial" w:hAnsi="Arial" w:cs="Arial"/>
            <w:color w:val="0000FF"/>
            <w:szCs w:val="24"/>
            <w:lang w:val="en-US" w:bidi="en-US"/>
          </w:rPr>
          <w:t>Equity Distribution Agreement between Diana Shipping Inc. and Maxim Group LLC. dated April 23, 2021 (21)</w:t>
        </w:r>
      </w:hyperlink>
      <w:r w:rsidRPr="00E73869">
        <w:rPr>
          <w:rStyle w:val="Hyperlink"/>
          <w:rFonts w:ascii="Arial" w:eastAsia="Arial" w:hAnsi="Arial" w:cs="Arial"/>
          <w:color w:val="0000FF"/>
          <w:szCs w:val="24"/>
          <w:lang w:val="en-US" w:bidi="en-US"/>
        </w:rPr>
        <w:t xml:space="preserve"> </w:t>
      </w:r>
    </w:p>
    <w:p w14:paraId="71F3EC1C"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color w:val="0000FF"/>
          <w:u w:val="single"/>
          <w:bdr w:val="nil"/>
          <w:lang w:val="en-US" w:bidi="en-US"/>
        </w:rPr>
      </w:pPr>
      <w:r w:rsidRPr="00E73869">
        <w:rPr>
          <w:rFonts w:ascii="Arial" w:eastAsia="Arial" w:hAnsi="Arial" w:cs="Arial"/>
          <w:szCs w:val="24"/>
          <w:lang w:val="en-US" w:bidi="en-US"/>
        </w:rPr>
        <w:t>1.4</w:t>
      </w:r>
      <w:r w:rsidRPr="00E73869">
        <w:rPr>
          <w:rFonts w:ascii="Arial" w:eastAsia="Arial" w:hAnsi="Arial" w:cs="Arial"/>
          <w:szCs w:val="24"/>
          <w:lang w:val="en-US" w:bidi="en-US"/>
        </w:rPr>
        <w:tab/>
      </w:r>
      <w:hyperlink r:id="rId28" w:history="1">
        <w:r w:rsidR="0075144E" w:rsidRPr="00E73869">
          <w:rPr>
            <w:rStyle w:val="Hyperlink"/>
            <w:rFonts w:ascii="Arial" w:eastAsia="Arial" w:hAnsi="Arial" w:cs="Arial"/>
            <w:color w:val="0000FF"/>
            <w:szCs w:val="24"/>
            <w:lang w:val="en-US" w:bidi="en-US"/>
          </w:rPr>
          <w:t>Amendment No.1 to Equity Distribution Agreement between Diana Shipping Inc. and Maxim Group LLC. dated July 7, 2021 (23)</w:t>
        </w:r>
      </w:hyperlink>
      <w:r w:rsidRPr="00E73869">
        <w:rPr>
          <w:rFonts w:ascii="Arial" w:eastAsia="Arial" w:hAnsi="Arial" w:cs="Arial"/>
          <w:color w:val="0000FF"/>
          <w:szCs w:val="24"/>
          <w:u w:val="single"/>
          <w:lang w:val="en-US" w:bidi="en-US"/>
        </w:rPr>
        <w:t xml:space="preserve"> </w:t>
      </w:r>
    </w:p>
    <w:p w14:paraId="71F3EC1D" w14:textId="77777777" w:rsidR="00CF3569"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szCs w:val="24"/>
          <w:lang w:val="en-US" w:bidi="en-US"/>
        </w:rPr>
        <w:t>1.5</w:t>
      </w:r>
      <w:r w:rsidRPr="00E73869">
        <w:rPr>
          <w:rFonts w:ascii="Arial" w:eastAsia="Arial" w:hAnsi="Arial" w:cs="Arial"/>
          <w:szCs w:val="24"/>
          <w:lang w:val="en-US" w:bidi="en-US"/>
        </w:rPr>
        <w:tab/>
      </w:r>
      <w:hyperlink r:id="rId29" w:history="1">
        <w:r w:rsidR="00CF3569" w:rsidRPr="00E73869">
          <w:rPr>
            <w:rStyle w:val="Hyperlink"/>
            <w:rFonts w:ascii="Arial" w:eastAsia="Arial" w:hAnsi="Arial" w:cs="Arial"/>
            <w:color w:val="0000FF"/>
            <w:szCs w:val="24"/>
            <w:lang w:val="en-US" w:bidi="en-US"/>
          </w:rPr>
          <w:t>Amendment No.2 to Equity Distribution Agreement between Diana Shipping Inc. and Maxim Group LLC. Dated September 9, 2024 (10)</w:t>
        </w:r>
      </w:hyperlink>
      <w:r w:rsidRPr="00E73869">
        <w:rPr>
          <w:rFonts w:ascii="Arial" w:eastAsia="Arial" w:hAnsi="Arial" w:cs="Arial"/>
          <w:color w:val="0000FF"/>
          <w:szCs w:val="24"/>
          <w:u w:val="single"/>
          <w:lang w:val="en-US" w:bidi="en-US"/>
        </w:rPr>
        <w:t xml:space="preserve"> </w:t>
      </w:r>
    </w:p>
    <w:p w14:paraId="71F3EC1E"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2.1 </w:t>
      </w:r>
      <w:r w:rsidRPr="00E73869">
        <w:rPr>
          <w:rFonts w:ascii="Arial" w:eastAsia="Arial" w:hAnsi="Arial" w:cs="Arial"/>
          <w:lang w:val="en-US" w:bidi="en-US"/>
        </w:rPr>
        <w:tab/>
      </w:r>
      <w:hyperlink r:id="rId30" w:history="1">
        <w:r w:rsidR="0075144E" w:rsidRPr="00E73869">
          <w:rPr>
            <w:rStyle w:val="Hyperlink"/>
            <w:rFonts w:ascii="Arial" w:eastAsia="Arial" w:hAnsi="Arial" w:cs="Arial"/>
            <w:color w:val="0000FF"/>
            <w:lang w:val="en-US" w:bidi="en-US"/>
          </w:rPr>
          <w:t>Form of Common Share Certificate (13)</w:t>
        </w:r>
      </w:hyperlink>
    </w:p>
    <w:p w14:paraId="71F3EC1F"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2.2 </w:t>
      </w:r>
      <w:r w:rsidRPr="00E73869">
        <w:rPr>
          <w:rFonts w:ascii="Arial" w:eastAsia="Arial" w:hAnsi="Arial" w:cs="Arial"/>
          <w:lang w:val="en-US" w:bidi="en-US"/>
        </w:rPr>
        <w:tab/>
      </w:r>
      <w:hyperlink r:id="rId31" w:history="1">
        <w:r w:rsidR="0075144E" w:rsidRPr="00E73869">
          <w:rPr>
            <w:rStyle w:val="Hyperlink"/>
            <w:rFonts w:ascii="Arial" w:eastAsia="Arial" w:hAnsi="Arial" w:cs="Arial"/>
            <w:color w:val="0000FF"/>
            <w:szCs w:val="24"/>
            <w:lang w:val="en-US" w:bidi="en-US"/>
          </w:rPr>
          <w:t>Form of Series B Preferred Stock Certificate</w:t>
        </w:r>
        <w:r w:rsidR="0075144E" w:rsidRPr="00E73869">
          <w:rPr>
            <w:rStyle w:val="Hyperlink"/>
            <w:rFonts w:ascii="Arial" w:eastAsia="Arial" w:hAnsi="Arial" w:cs="Arial"/>
            <w:color w:val="0000FF"/>
            <w:lang w:val="en-US" w:bidi="en-US"/>
          </w:rPr>
          <w:t xml:space="preserve"> (16)</w:t>
        </w:r>
      </w:hyperlink>
    </w:p>
    <w:p w14:paraId="71F3EC20"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2.3 </w:t>
      </w:r>
      <w:r w:rsidRPr="00E73869">
        <w:rPr>
          <w:rFonts w:ascii="Arial" w:eastAsia="Arial" w:hAnsi="Arial" w:cs="Arial"/>
          <w:lang w:val="en-US" w:bidi="en-US"/>
        </w:rPr>
        <w:tab/>
      </w:r>
      <w:hyperlink r:id="rId32" w:history="1">
        <w:r w:rsidR="0075144E" w:rsidRPr="00E73869">
          <w:rPr>
            <w:rStyle w:val="Hyperlink"/>
            <w:rFonts w:ascii="Arial" w:eastAsia="Arial" w:hAnsi="Arial" w:cs="Arial"/>
            <w:color w:val="0000FF"/>
            <w:szCs w:val="24"/>
            <w:lang w:val="en-US" w:bidi="en-US"/>
          </w:rPr>
          <w:t>Statement of Designation of the 8.875% Series B Cumulative Redeemable Perpetual Preferred Shares of the Company</w:t>
        </w:r>
        <w:r w:rsidR="0075144E" w:rsidRPr="00E73869">
          <w:rPr>
            <w:rStyle w:val="Hyperlink"/>
            <w:rFonts w:ascii="Arial" w:eastAsia="Arial" w:hAnsi="Arial" w:cs="Arial"/>
            <w:color w:val="0000FF"/>
            <w:lang w:val="en-US" w:bidi="en-US"/>
          </w:rPr>
          <w:t xml:space="preserve"> (3)</w:t>
        </w:r>
      </w:hyperlink>
    </w:p>
    <w:p w14:paraId="71F3EC21"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2.4 </w:t>
      </w:r>
      <w:r w:rsidRPr="00E73869">
        <w:rPr>
          <w:rFonts w:ascii="Arial" w:eastAsia="Arial" w:hAnsi="Arial" w:cs="Arial"/>
          <w:lang w:val="en-US" w:bidi="en-US"/>
        </w:rPr>
        <w:tab/>
      </w:r>
      <w:hyperlink r:id="rId33" w:history="1">
        <w:r w:rsidR="0075144E" w:rsidRPr="00E73869">
          <w:rPr>
            <w:rStyle w:val="Hyperlink"/>
            <w:rFonts w:ascii="Arial" w:eastAsia="Arial" w:hAnsi="Arial" w:cs="Arial"/>
            <w:color w:val="0000FF"/>
            <w:szCs w:val="24"/>
            <w:lang w:val="en-US" w:bidi="en-US"/>
          </w:rPr>
          <w:t>Statement of Designations of the Series A Participating Preferred Stock of the Company</w:t>
        </w:r>
        <w:r w:rsidR="0075144E" w:rsidRPr="00E73869">
          <w:rPr>
            <w:rStyle w:val="Hyperlink"/>
            <w:rFonts w:ascii="Arial" w:eastAsia="Arial" w:hAnsi="Arial" w:cs="Arial"/>
            <w:color w:val="0000FF"/>
            <w:lang w:val="en-US" w:bidi="en-US"/>
          </w:rPr>
          <w:t xml:space="preserve"> (4)</w:t>
        </w:r>
      </w:hyperlink>
    </w:p>
    <w:p w14:paraId="71F3EC22"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2.</w:t>
      </w:r>
      <w:r w:rsidR="00736959">
        <w:rPr>
          <w:rFonts w:ascii="Arial" w:eastAsia="Arial" w:hAnsi="Arial" w:cs="Arial"/>
          <w:lang w:val="en-US" w:bidi="en-US"/>
        </w:rPr>
        <w:t>5</w:t>
      </w:r>
      <w:r w:rsidRPr="00E73869">
        <w:rPr>
          <w:rFonts w:ascii="Arial" w:eastAsia="Arial" w:hAnsi="Arial" w:cs="Arial"/>
          <w:lang w:val="en-US" w:bidi="en-US"/>
        </w:rPr>
        <w:t xml:space="preserve"> </w:t>
      </w:r>
      <w:r w:rsidRPr="00E73869">
        <w:rPr>
          <w:rFonts w:ascii="Arial" w:eastAsia="Arial" w:hAnsi="Arial" w:cs="Arial"/>
          <w:lang w:val="en-US" w:bidi="en-US"/>
        </w:rPr>
        <w:tab/>
      </w:r>
      <w:hyperlink r:id="rId34" w:history="1">
        <w:r w:rsidR="0075144E" w:rsidRPr="00E73869">
          <w:rPr>
            <w:rStyle w:val="Hyperlink"/>
            <w:rFonts w:ascii="Arial" w:eastAsia="Arial" w:hAnsi="Arial" w:cs="Arial"/>
            <w:color w:val="0000FF"/>
            <w:szCs w:val="24"/>
            <w:lang w:val="en-US" w:bidi="en-US"/>
          </w:rPr>
          <w:t>Statement of Designation of Rights, Preferences and Privileges of Series C Preferred Stock of the Company</w:t>
        </w:r>
        <w:r w:rsidR="0075144E" w:rsidRPr="00E73869">
          <w:rPr>
            <w:rStyle w:val="Hyperlink"/>
            <w:rFonts w:ascii="Arial" w:eastAsia="Arial" w:hAnsi="Arial" w:cs="Arial"/>
            <w:color w:val="0000FF"/>
            <w:lang w:val="en-US" w:bidi="en-US"/>
          </w:rPr>
          <w:t xml:space="preserve"> (18)</w:t>
        </w:r>
      </w:hyperlink>
    </w:p>
    <w:p w14:paraId="71F3EC23"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color w:val="0000FF"/>
          <w:u w:val="single"/>
          <w:bdr w:val="nil"/>
          <w:lang w:val="en-US"/>
        </w:rPr>
      </w:pPr>
      <w:r w:rsidRPr="00E73869">
        <w:rPr>
          <w:rFonts w:ascii="Arial" w:eastAsia="Arial" w:hAnsi="Arial" w:cs="Arial"/>
          <w:lang w:val="en-US" w:bidi="en-US"/>
        </w:rPr>
        <w:t>2.</w:t>
      </w:r>
      <w:r w:rsidR="00736959">
        <w:rPr>
          <w:rFonts w:ascii="Arial" w:eastAsia="Arial" w:hAnsi="Arial" w:cs="Arial"/>
          <w:lang w:val="en-US" w:bidi="en-US"/>
        </w:rPr>
        <w:t>6</w:t>
      </w:r>
      <w:r w:rsidRPr="00E73869">
        <w:rPr>
          <w:rFonts w:ascii="Arial" w:eastAsia="Arial" w:hAnsi="Arial" w:cs="Arial"/>
          <w:lang w:val="en-US" w:bidi="en-US"/>
        </w:rPr>
        <w:tab/>
      </w:r>
      <w:hyperlink r:id="rId35" w:history="1">
        <w:r w:rsidR="0075144E" w:rsidRPr="00541F0E">
          <w:rPr>
            <w:rStyle w:val="Hyperlink"/>
            <w:rFonts w:ascii="Arial" w:eastAsia="Arial" w:hAnsi="Arial" w:cs="Arial"/>
            <w:color w:val="0000FF"/>
            <w:lang w:val="en-US" w:bidi="en-US"/>
          </w:rPr>
          <w:t>Description of Securities Registered Pursuant to Section 12 of the Securities Exchange Act of 1934</w:t>
        </w:r>
      </w:hyperlink>
      <w:r w:rsidRPr="00E73869">
        <w:rPr>
          <w:rFonts w:ascii="Arial" w:eastAsia="Arial" w:hAnsi="Arial" w:cs="Arial"/>
          <w:lang w:val="en-US"/>
        </w:rPr>
        <w:t>**</w:t>
      </w:r>
    </w:p>
    <w:p w14:paraId="71F3EC24"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Style w:val="Hyperlink"/>
          <w:rFonts w:ascii="Arial" w:eastAsia="Arial" w:hAnsi="Arial" w:cs="Arial"/>
          <w:color w:val="0000FF"/>
          <w:bdr w:val="nil"/>
          <w:lang w:val="en-US" w:bidi="en-US"/>
        </w:rPr>
      </w:pPr>
      <w:r w:rsidRPr="00E73869">
        <w:rPr>
          <w:rFonts w:ascii="Arial" w:eastAsia="Arial" w:hAnsi="Arial" w:cs="Arial"/>
          <w:lang w:val="en-US" w:bidi="en-US"/>
        </w:rPr>
        <w:t>2.</w:t>
      </w:r>
      <w:r w:rsidR="00736959">
        <w:rPr>
          <w:rFonts w:ascii="Arial" w:eastAsia="Arial" w:hAnsi="Arial" w:cs="Arial"/>
          <w:lang w:val="en-US" w:bidi="en-US"/>
        </w:rPr>
        <w:t>7</w:t>
      </w:r>
      <w:r w:rsidRPr="00E73869">
        <w:rPr>
          <w:rFonts w:ascii="Arial" w:eastAsia="Arial" w:hAnsi="Arial" w:cs="Arial"/>
          <w:lang w:val="en-US" w:bidi="en-US"/>
        </w:rPr>
        <w:tab/>
      </w:r>
      <w:hyperlink r:id="rId36" w:history="1">
        <w:r w:rsidR="00C42371" w:rsidRPr="00E73869">
          <w:rPr>
            <w:rStyle w:val="Hyperlink"/>
            <w:rFonts w:ascii="Arial" w:eastAsia="Arial" w:hAnsi="Arial" w:cs="Arial"/>
            <w:color w:val="0000FF"/>
            <w:lang w:val="en-US" w:bidi="en-US"/>
          </w:rPr>
          <w:t xml:space="preserve">Amended and Restated </w:t>
        </w:r>
        <w:r w:rsidRPr="00E73869">
          <w:rPr>
            <w:rStyle w:val="Hyperlink"/>
            <w:rFonts w:ascii="Arial" w:eastAsia="Arial" w:hAnsi="Arial" w:cs="Arial"/>
            <w:color w:val="0000FF"/>
            <w:lang w:val="en-US" w:bidi="en-US"/>
          </w:rPr>
          <w:t>Statement of</w:t>
        </w:r>
        <w:r w:rsidR="00C42371" w:rsidRPr="00E73869">
          <w:rPr>
            <w:rStyle w:val="Hyperlink"/>
            <w:rFonts w:ascii="Arial" w:eastAsia="Arial" w:hAnsi="Arial" w:cs="Arial"/>
            <w:color w:val="0000FF"/>
            <w:lang w:val="en-US" w:bidi="en-US"/>
          </w:rPr>
          <w:t xml:space="preserve"> Designation of Rights, Preferences and Privileges of Series D Preferred Stock of the Company (22)</w:t>
        </w:r>
      </w:hyperlink>
    </w:p>
    <w:p w14:paraId="71F3EC25" w14:textId="77777777" w:rsidR="00C42371"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2.</w:t>
      </w:r>
      <w:r w:rsidR="00736959">
        <w:rPr>
          <w:rFonts w:ascii="Arial" w:eastAsia="Arial" w:hAnsi="Arial" w:cs="Arial"/>
          <w:lang w:val="en-US" w:bidi="en-US"/>
        </w:rPr>
        <w:t xml:space="preserve">8  </w:t>
      </w:r>
      <w:r w:rsidRPr="00E73869">
        <w:rPr>
          <w:rFonts w:ascii="Arial" w:eastAsia="Arial" w:hAnsi="Arial" w:cs="Arial"/>
          <w:lang w:val="en-US" w:bidi="en-US"/>
        </w:rPr>
        <w:t xml:space="preserve"> </w:t>
      </w:r>
      <w:hyperlink r:id="rId37" w:history="1">
        <w:r w:rsidR="00C42371" w:rsidRPr="00E73869">
          <w:rPr>
            <w:rStyle w:val="Hyperlink"/>
            <w:rFonts w:ascii="Arial" w:eastAsia="Arial" w:hAnsi="Arial" w:cs="Arial"/>
            <w:color w:val="0000FF"/>
            <w:lang w:val="en-US" w:bidi="en-US"/>
          </w:rPr>
          <w:t>Warrant Agreement dated December 14, 2023, between Computershare Inc., and its affiliate, Computershare Trust Company, N.A. and the Registrant (including the form of the Warrants) (27)</w:t>
        </w:r>
      </w:hyperlink>
    </w:p>
    <w:p w14:paraId="71F3EC26"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4.1 </w:t>
      </w:r>
      <w:r w:rsidRPr="00E73869">
        <w:rPr>
          <w:rFonts w:ascii="Arial" w:eastAsia="Arial" w:hAnsi="Arial" w:cs="Arial"/>
          <w:lang w:val="en-US" w:bidi="en-US"/>
        </w:rPr>
        <w:tab/>
      </w:r>
      <w:hyperlink r:id="rId38" w:history="1">
        <w:r w:rsidR="006C0F09">
          <w:rPr>
            <w:rStyle w:val="Hyperlink"/>
            <w:rFonts w:ascii="Arial" w:eastAsia="Arial" w:hAnsi="Arial" w:cs="Arial"/>
            <w:color w:val="0000FF"/>
            <w:lang w:val="en-US" w:bidi="en-US"/>
          </w:rPr>
          <w:t>Amended and Restated Stockholders Rights Agreement dated February 2, 2024 (7)</w:t>
        </w:r>
      </w:hyperlink>
    </w:p>
    <w:p w14:paraId="71F3EC27"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4.2 </w:t>
      </w:r>
      <w:r w:rsidRPr="00E73869">
        <w:rPr>
          <w:rFonts w:ascii="Arial" w:eastAsia="Arial" w:hAnsi="Arial" w:cs="Arial"/>
          <w:lang w:val="en-US" w:bidi="en-US"/>
        </w:rPr>
        <w:tab/>
      </w:r>
      <w:hyperlink r:id="rId39" w:history="1">
        <w:r w:rsidR="005E0C02">
          <w:rPr>
            <w:rStyle w:val="Hyperlink"/>
            <w:rFonts w:ascii="Arial" w:eastAsia="Arial" w:hAnsi="Arial" w:cs="Arial"/>
            <w:color w:val="0000FF"/>
            <w:szCs w:val="24"/>
            <w:lang w:val="en-US" w:bidi="en-US"/>
          </w:rPr>
          <w:t>2014 Equity Incentive Plan (as amended and restated effective January 8, 2021)</w:t>
        </w:r>
      </w:hyperlink>
      <w:r w:rsidR="005E0C02">
        <w:rPr>
          <w:rFonts w:ascii="Arial" w:eastAsia="Arial" w:hAnsi="Arial" w:cs="Arial"/>
          <w:sz w:val="24"/>
          <w:szCs w:val="24"/>
          <w:lang w:val="en-US"/>
        </w:rPr>
        <w:t>(24)</w:t>
      </w:r>
    </w:p>
    <w:p w14:paraId="71F3EC28" w14:textId="77777777" w:rsidR="00BF6CBE" w:rsidRPr="00E73869" w:rsidRDefault="003A4815" w:rsidP="00BF6CBE">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sidR="00643181">
        <w:rPr>
          <w:rFonts w:ascii="Arial" w:eastAsia="Arial" w:hAnsi="Arial" w:cs="Arial"/>
          <w:lang w:val="en-US"/>
        </w:rPr>
        <w:t>8</w:t>
      </w:r>
      <w:r w:rsidRPr="00E73869">
        <w:rPr>
          <w:rFonts w:ascii="Arial" w:eastAsia="Arial" w:hAnsi="Arial" w:cs="Arial"/>
          <w:lang w:val="en-US"/>
        </w:rPr>
        <w:t xml:space="preserve">: </w:t>
      </w:r>
      <w:r>
        <w:rPr>
          <w:rFonts w:ascii="Arial" w:eastAsia="Arial" w:hAnsi="Arial" w:cs="Arial"/>
          <w:lang w:val="en-US"/>
        </w:rPr>
        <w:tab/>
      </w:r>
      <w:hyperlink r:id="rId40" w:history="1">
        <w:r w:rsidR="00883996">
          <w:rPr>
            <w:rStyle w:val="Hyperlink"/>
            <w:rFonts w:ascii="Arial" w:eastAsia="Arial" w:hAnsi="Arial" w:cs="Arial"/>
            <w:color w:val="0000FF"/>
            <w:lang w:val="en-US"/>
          </w:rPr>
          <w:t>Brokerage Services Agreement, dated February 25, 2026</w:t>
        </w:r>
      </w:hyperlink>
      <w:r w:rsidRPr="00E73869">
        <w:rPr>
          <w:rFonts w:ascii="Arial" w:eastAsia="Arial" w:hAnsi="Arial" w:cs="Arial"/>
          <w:lang w:val="en-US"/>
        </w:rPr>
        <w:t>**</w:t>
      </w:r>
    </w:p>
    <w:p w14:paraId="71F3EC29" w14:textId="77777777" w:rsidR="00740EFC" w:rsidRPr="00E73869" w:rsidRDefault="003A4815" w:rsidP="00D21AB9">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1</w:t>
      </w:r>
      <w:r w:rsidR="00F1572D">
        <w:rPr>
          <w:rFonts w:ascii="Arial" w:eastAsia="Arial" w:hAnsi="Arial" w:cs="Arial"/>
          <w:lang w:val="en-US"/>
        </w:rPr>
        <w:t>2</w:t>
      </w:r>
      <w:r w:rsidRPr="00E73869">
        <w:rPr>
          <w:rFonts w:ascii="Arial" w:eastAsia="Arial" w:hAnsi="Arial" w:cs="Arial"/>
          <w:lang w:val="en-US"/>
        </w:rPr>
        <w:t xml:space="preserve">: </w:t>
      </w:r>
      <w:hyperlink r:id="rId41" w:history="1">
        <w:r w:rsidR="00740EFC">
          <w:rPr>
            <w:rStyle w:val="Hyperlink"/>
            <w:rFonts w:ascii="Arial" w:eastAsia="Arial" w:hAnsi="Arial" w:cs="Arial"/>
            <w:color w:val="0000FF"/>
            <w:lang w:val="en-US"/>
          </w:rPr>
          <w:t>Loan Agreement dated October 18, 2024 with Danish Ship Finance A/S</w:t>
        </w:r>
      </w:hyperlink>
      <w:r w:rsidR="00883996">
        <w:rPr>
          <w:rFonts w:ascii="Arial" w:eastAsia="Arial" w:hAnsi="Arial" w:cs="Arial"/>
          <w:sz w:val="24"/>
          <w:szCs w:val="24"/>
          <w:lang w:val="en-US"/>
        </w:rPr>
        <w:t>(28)</w:t>
      </w:r>
    </w:p>
    <w:p w14:paraId="71F3EC2A" w14:textId="77777777" w:rsidR="00E47D4E" w:rsidRDefault="003A4815" w:rsidP="00D21AB9">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1</w:t>
      </w:r>
      <w:r w:rsidR="00F1572D">
        <w:rPr>
          <w:rFonts w:ascii="Arial" w:eastAsia="Arial" w:hAnsi="Arial" w:cs="Arial"/>
          <w:lang w:val="en-US"/>
        </w:rPr>
        <w:t>3</w:t>
      </w:r>
      <w:r w:rsidRPr="00E73869">
        <w:rPr>
          <w:rFonts w:ascii="Arial" w:eastAsia="Arial" w:hAnsi="Arial" w:cs="Arial"/>
          <w:lang w:val="en-US"/>
        </w:rPr>
        <w:t xml:space="preserve">: </w:t>
      </w:r>
      <w:hyperlink r:id="rId42" w:history="1">
        <w:r w:rsidR="00E6489F">
          <w:rPr>
            <w:rStyle w:val="Hyperlink"/>
            <w:rFonts w:ascii="Arial" w:eastAsia="Arial" w:hAnsi="Arial" w:cs="Arial"/>
            <w:color w:val="0000FF"/>
            <w:lang w:val="en-US"/>
          </w:rPr>
          <w:t>Loan Agreement dated July 25, 2024 with Nordea Bank ABP</w:t>
        </w:r>
      </w:hyperlink>
      <w:r w:rsidR="00883996">
        <w:rPr>
          <w:rFonts w:ascii="Arial" w:eastAsia="Arial" w:hAnsi="Arial" w:cs="Arial"/>
          <w:sz w:val="24"/>
          <w:szCs w:val="24"/>
          <w:lang w:val="en-US"/>
        </w:rPr>
        <w:t>(28)</w:t>
      </w:r>
    </w:p>
    <w:p w14:paraId="71F3EC2B" w14:textId="77777777" w:rsidR="00643181" w:rsidRPr="00E73869" w:rsidRDefault="003A4815" w:rsidP="00D21AB9">
      <w:pPr>
        <w:pBdr>
          <w:top w:val="nil"/>
          <w:left w:val="nil"/>
          <w:bottom w:val="nil"/>
          <w:right w:val="nil"/>
          <w:between w:val="nil"/>
          <w:bar w:val="nil"/>
        </w:pBdr>
        <w:autoSpaceDE w:val="0"/>
        <w:autoSpaceDN w:val="0"/>
        <w:adjustRightInd w:val="0"/>
        <w:ind w:left="567" w:hanging="567"/>
        <w:jc w:val="both"/>
        <w:rPr>
          <w:rStyle w:val="Hyperlink"/>
          <w:rFonts w:ascii="Arial" w:eastAsia="Arial" w:hAnsi="Arial" w:cs="Arial"/>
          <w:color w:val="0000FF"/>
          <w:bdr w:val="nil"/>
          <w:lang w:val="en-US"/>
        </w:rPr>
      </w:pPr>
      <w:r w:rsidRPr="00E73869">
        <w:rPr>
          <w:rFonts w:ascii="Arial" w:eastAsia="Arial" w:hAnsi="Arial" w:cs="Arial"/>
          <w:lang w:val="en-US"/>
        </w:rPr>
        <w:t>4.</w:t>
      </w:r>
      <w:r>
        <w:rPr>
          <w:rFonts w:ascii="Arial" w:eastAsia="Arial" w:hAnsi="Arial" w:cs="Arial"/>
          <w:lang w:val="en-US"/>
        </w:rPr>
        <w:t>1</w:t>
      </w:r>
      <w:r w:rsidR="00F1572D">
        <w:rPr>
          <w:rFonts w:ascii="Arial" w:eastAsia="Arial" w:hAnsi="Arial" w:cs="Arial"/>
          <w:lang w:val="en-US"/>
        </w:rPr>
        <w:t>4</w:t>
      </w:r>
      <w:r w:rsidRPr="00E73869">
        <w:rPr>
          <w:rFonts w:ascii="Arial" w:eastAsia="Arial" w:hAnsi="Arial" w:cs="Arial"/>
          <w:lang w:val="en-US"/>
        </w:rPr>
        <w:t xml:space="preserve">: </w:t>
      </w:r>
      <w:hyperlink r:id="rId43" w:history="1">
        <w:r w:rsidR="00C7412C">
          <w:rPr>
            <w:rStyle w:val="Hyperlink"/>
            <w:rFonts w:ascii="Arial" w:eastAsia="Arial" w:hAnsi="Arial" w:cs="Arial"/>
            <w:color w:val="0000FF"/>
            <w:lang w:val="en-US"/>
          </w:rPr>
          <w:t>Loan Agreement dated September 29, 2025 with National Bank of Greece</w:t>
        </w:r>
      </w:hyperlink>
      <w:r>
        <w:rPr>
          <w:rFonts w:ascii="Arial" w:eastAsia="Arial" w:hAnsi="Arial" w:cs="Arial"/>
          <w:lang w:val="en-US"/>
        </w:rPr>
        <w:t>**</w:t>
      </w:r>
    </w:p>
    <w:p w14:paraId="71F3EC2C" w14:textId="77777777" w:rsidR="003C21B8" w:rsidRPr="00E73869"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4.</w:t>
      </w:r>
      <w:r>
        <w:rPr>
          <w:rFonts w:ascii="Arial" w:eastAsia="Arial" w:hAnsi="Arial" w:cs="Arial"/>
          <w:lang w:val="en-US" w:bidi="en-US"/>
        </w:rPr>
        <w:t>21</w:t>
      </w:r>
      <w:r w:rsidRPr="00E73869">
        <w:rPr>
          <w:rFonts w:ascii="Arial" w:eastAsia="Arial" w:hAnsi="Arial" w:cs="Arial"/>
          <w:lang w:val="en-US" w:bidi="en-US"/>
        </w:rPr>
        <w:t xml:space="preserve"> </w:t>
      </w:r>
      <w:r w:rsidRPr="00E73869">
        <w:rPr>
          <w:rFonts w:ascii="Arial" w:eastAsia="Arial" w:hAnsi="Arial" w:cs="Arial"/>
          <w:lang w:val="en-US" w:bidi="en-US"/>
        </w:rPr>
        <w:tab/>
      </w:r>
      <w:hyperlink r:id="rId44" w:history="1">
        <w:r w:rsidR="003C21B8" w:rsidRPr="00E73869">
          <w:rPr>
            <w:rStyle w:val="Hyperlink"/>
            <w:rFonts w:ascii="Arial" w:eastAsia="Arial" w:hAnsi="Arial" w:cs="Arial"/>
            <w:color w:val="0000FF"/>
            <w:lang w:val="en-US" w:bidi="en-US"/>
          </w:rPr>
          <w:t>Administrative Services Agreement, dated October 1, 2013, by and between Diana Shipping Inc. and Diana Shipping Services S.A. (11)</w:t>
        </w:r>
      </w:hyperlink>
    </w:p>
    <w:p w14:paraId="71F3EC2D" w14:textId="77777777" w:rsidR="003C21B8" w:rsidRPr="00E73869"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4.</w:t>
      </w:r>
      <w:r>
        <w:rPr>
          <w:rFonts w:ascii="Arial" w:eastAsia="Arial" w:hAnsi="Arial" w:cs="Arial"/>
          <w:lang w:val="en-US" w:bidi="en-US"/>
        </w:rPr>
        <w:t>22</w:t>
      </w:r>
      <w:r w:rsidRPr="00E73869">
        <w:rPr>
          <w:rFonts w:ascii="Arial" w:eastAsia="Arial" w:hAnsi="Arial" w:cs="Arial"/>
          <w:lang w:val="en-US" w:bidi="en-US"/>
        </w:rPr>
        <w:t xml:space="preserve"> </w:t>
      </w:r>
      <w:r w:rsidRPr="00E73869">
        <w:rPr>
          <w:rFonts w:ascii="Arial" w:eastAsia="Arial" w:hAnsi="Arial" w:cs="Arial"/>
          <w:lang w:val="en-US" w:bidi="en-US"/>
        </w:rPr>
        <w:tab/>
      </w:r>
      <w:hyperlink r:id="rId45" w:history="1">
        <w:r w:rsidR="003C21B8" w:rsidRPr="00E73869">
          <w:rPr>
            <w:rStyle w:val="Hyperlink"/>
            <w:rFonts w:ascii="Arial" w:eastAsia="Arial" w:hAnsi="Arial" w:cs="Arial"/>
            <w:color w:val="0000FF"/>
            <w:lang w:val="en-US" w:bidi="en-US"/>
          </w:rPr>
          <w:t>Joint Venture and Subscription Agreement with Wilhelmsen Ship Management, dated January 16, 2015 (13)</w:t>
        </w:r>
      </w:hyperlink>
    </w:p>
    <w:p w14:paraId="71F3EC2E" w14:textId="77777777" w:rsidR="003C21B8" w:rsidRPr="00E73869" w:rsidRDefault="003A4815" w:rsidP="003C21B8">
      <w:pPr>
        <w:pBdr>
          <w:top w:val="nil"/>
          <w:left w:val="nil"/>
          <w:bottom w:val="nil"/>
          <w:right w:val="nil"/>
          <w:between w:val="nil"/>
          <w:bar w:val="nil"/>
        </w:pBdr>
        <w:ind w:left="567" w:hanging="567"/>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47</w:t>
      </w:r>
      <w:r w:rsidRPr="00E73869">
        <w:rPr>
          <w:rFonts w:ascii="Arial" w:eastAsia="Arial" w:hAnsi="Arial" w:cs="Arial"/>
          <w:lang w:val="en-US"/>
        </w:rPr>
        <w:t>:</w:t>
      </w:r>
      <w:r>
        <w:rPr>
          <w:rFonts w:ascii="Arial" w:eastAsia="Arial" w:hAnsi="Arial" w:cs="Arial"/>
          <w:lang w:val="en-US"/>
        </w:rPr>
        <w:tab/>
      </w:r>
      <w:hyperlink r:id="rId46" w:history="1">
        <w:r w:rsidR="003C21B8" w:rsidRPr="00E73869">
          <w:rPr>
            <w:rStyle w:val="Hyperlink"/>
            <w:rFonts w:ascii="Arial" w:eastAsia="Arial" w:hAnsi="Arial" w:cs="Arial"/>
            <w:color w:val="0000FF"/>
            <w:lang w:val="en-US"/>
          </w:rPr>
          <w:t>Right of First Refusal Agreement with OceanPal Inc.</w:t>
        </w:r>
      </w:hyperlink>
      <w:r w:rsidRPr="00E73869">
        <w:rPr>
          <w:rFonts w:ascii="Arial" w:eastAsia="Arial" w:hAnsi="Arial" w:cs="Arial"/>
          <w:lang w:val="en-US"/>
        </w:rPr>
        <w:t>(26)</w:t>
      </w:r>
    </w:p>
    <w:p w14:paraId="71F3EC2F" w14:textId="77777777" w:rsidR="003C21B8" w:rsidRPr="00E73869"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48</w:t>
      </w:r>
      <w:r w:rsidRPr="00E73869">
        <w:rPr>
          <w:rFonts w:ascii="Arial" w:eastAsia="Arial" w:hAnsi="Arial" w:cs="Arial"/>
          <w:lang w:val="en-US"/>
        </w:rPr>
        <w:t>:</w:t>
      </w:r>
      <w:r>
        <w:rPr>
          <w:rFonts w:ascii="Arial" w:eastAsia="Arial" w:hAnsi="Arial" w:cs="Arial"/>
          <w:lang w:val="en-US"/>
        </w:rPr>
        <w:tab/>
      </w:r>
      <w:hyperlink r:id="rId47" w:history="1">
        <w:r w:rsidR="003C21B8" w:rsidRPr="00E73869">
          <w:rPr>
            <w:rStyle w:val="Hyperlink"/>
            <w:rFonts w:ascii="Arial" w:eastAsia="Arial" w:hAnsi="Arial" w:cs="Arial"/>
            <w:color w:val="0000FF"/>
            <w:lang w:val="en-US"/>
          </w:rPr>
          <w:t>Amended and Restated Contribution and Conveyance Agreement with OceanPal Inc.</w:t>
        </w:r>
      </w:hyperlink>
      <w:r w:rsidRPr="00E73869">
        <w:rPr>
          <w:rFonts w:ascii="Arial" w:eastAsia="Arial" w:hAnsi="Arial" w:cs="Arial"/>
          <w:lang w:val="en-US"/>
        </w:rPr>
        <w:t>(26)</w:t>
      </w:r>
    </w:p>
    <w:p w14:paraId="71F3EC30" w14:textId="77777777" w:rsidR="003C21B8" w:rsidRPr="00E73869"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50</w:t>
      </w:r>
      <w:r w:rsidRPr="00E73869">
        <w:rPr>
          <w:rFonts w:ascii="Arial" w:eastAsia="Arial" w:hAnsi="Arial" w:cs="Arial"/>
          <w:lang w:val="en-US"/>
        </w:rPr>
        <w:t xml:space="preserve">: </w:t>
      </w:r>
      <w:r>
        <w:rPr>
          <w:rFonts w:ascii="Arial" w:eastAsia="Arial" w:hAnsi="Arial" w:cs="Arial"/>
          <w:lang w:val="en-US"/>
        </w:rPr>
        <w:tab/>
      </w:r>
      <w:hyperlink r:id="rId48" w:history="1">
        <w:r w:rsidR="003C21B8" w:rsidRPr="00B83057">
          <w:rPr>
            <w:rStyle w:val="Hyperlink"/>
            <w:rFonts w:ascii="Arial" w:eastAsia="Arial" w:hAnsi="Arial" w:cs="Arial"/>
            <w:color w:val="0000FF"/>
            <w:lang w:val="en-US"/>
          </w:rPr>
          <w:t>Loan Agreement dated June 26, 2023 with DNB Bank ASA</w:t>
        </w:r>
      </w:hyperlink>
      <w:r w:rsidRPr="00B83057">
        <w:rPr>
          <w:rFonts w:ascii="Arial" w:eastAsia="Arial" w:hAnsi="Arial" w:cs="Arial"/>
          <w:sz w:val="24"/>
          <w:szCs w:val="24"/>
          <w:lang w:val="en-US"/>
        </w:rPr>
        <w:t>(2</w:t>
      </w:r>
      <w:r>
        <w:rPr>
          <w:rFonts w:ascii="Arial" w:eastAsia="Arial" w:hAnsi="Arial" w:cs="Arial"/>
          <w:sz w:val="24"/>
          <w:szCs w:val="24"/>
          <w:lang w:val="en-US"/>
        </w:rPr>
        <w:t>5</w:t>
      </w:r>
      <w:r w:rsidRPr="00B83057">
        <w:rPr>
          <w:rFonts w:ascii="Arial" w:eastAsia="Arial" w:hAnsi="Arial" w:cs="Arial"/>
          <w:sz w:val="24"/>
          <w:szCs w:val="24"/>
          <w:lang w:val="en-US"/>
        </w:rPr>
        <w:t>)</w:t>
      </w:r>
    </w:p>
    <w:p w14:paraId="71F3EC31" w14:textId="77777777" w:rsidR="003C21B8" w:rsidRPr="00E73869"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rPr>
        <w:t>4.</w:t>
      </w:r>
      <w:r>
        <w:rPr>
          <w:rFonts w:ascii="Arial" w:eastAsia="Arial" w:hAnsi="Arial" w:cs="Arial"/>
          <w:lang w:val="en-US"/>
        </w:rPr>
        <w:t>52</w:t>
      </w:r>
      <w:r w:rsidRPr="00E73869">
        <w:rPr>
          <w:rFonts w:ascii="Arial" w:eastAsia="Arial" w:hAnsi="Arial" w:cs="Arial"/>
          <w:lang w:val="en-US"/>
        </w:rPr>
        <w:t xml:space="preserve">: </w:t>
      </w:r>
      <w:hyperlink r:id="rId49" w:history="1">
        <w:r w:rsidR="003C21B8" w:rsidRPr="00E73869">
          <w:rPr>
            <w:rStyle w:val="Hyperlink"/>
            <w:rFonts w:ascii="Arial" w:eastAsia="Arial" w:hAnsi="Arial" w:cs="Arial"/>
            <w:color w:val="0000FF"/>
            <w:lang w:val="en-US"/>
          </w:rPr>
          <w:t>Amended and Restatement Deed re Secured Loan Agreement, dated July 19, 2023</w:t>
        </w:r>
      </w:hyperlink>
      <w:r>
        <w:rPr>
          <w:rFonts w:ascii="Arial" w:eastAsia="Arial" w:hAnsi="Arial" w:cs="Arial"/>
          <w:sz w:val="24"/>
          <w:szCs w:val="24"/>
          <w:lang w:val="en-US"/>
        </w:rPr>
        <w:t xml:space="preserve"> </w:t>
      </w:r>
      <w:r w:rsidRPr="00BF6CBE">
        <w:rPr>
          <w:rFonts w:ascii="Arial" w:eastAsia="Arial" w:hAnsi="Arial" w:cs="Arial"/>
          <w:sz w:val="24"/>
          <w:szCs w:val="24"/>
          <w:lang w:val="en-US"/>
        </w:rPr>
        <w:t>(2</w:t>
      </w:r>
      <w:r>
        <w:rPr>
          <w:rFonts w:ascii="Arial" w:eastAsia="Arial" w:hAnsi="Arial" w:cs="Arial"/>
          <w:sz w:val="24"/>
          <w:szCs w:val="24"/>
          <w:lang w:val="en-US"/>
        </w:rPr>
        <w:t>5</w:t>
      </w:r>
      <w:r w:rsidRPr="00BF6CBE">
        <w:rPr>
          <w:rFonts w:ascii="Arial" w:eastAsia="Arial" w:hAnsi="Arial" w:cs="Arial"/>
          <w:sz w:val="24"/>
          <w:szCs w:val="24"/>
          <w:lang w:val="en-US"/>
        </w:rPr>
        <w:t>)</w:t>
      </w:r>
    </w:p>
    <w:p w14:paraId="71F3EC32"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bidi="en-US"/>
        </w:rPr>
      </w:pPr>
      <w:r w:rsidRPr="00E73869">
        <w:rPr>
          <w:rFonts w:ascii="Arial" w:eastAsia="Arial" w:hAnsi="Arial" w:cs="Arial"/>
          <w:szCs w:val="24"/>
          <w:lang w:val="en-US" w:bidi="en-US"/>
        </w:rPr>
        <w:t>8.1</w:t>
      </w:r>
      <w:r w:rsidRPr="00E73869">
        <w:rPr>
          <w:rFonts w:ascii="Arial" w:eastAsia="Arial" w:hAnsi="Arial" w:cs="Arial"/>
          <w:szCs w:val="24"/>
          <w:lang w:val="en-US" w:bidi="en-US"/>
        </w:rPr>
        <w:tab/>
      </w:r>
      <w:hyperlink r:id="rId50" w:history="1">
        <w:r w:rsidR="0075144E" w:rsidRPr="00E73869">
          <w:rPr>
            <w:rStyle w:val="Hyperlink"/>
            <w:rFonts w:ascii="Arial" w:eastAsia="Arial" w:hAnsi="Arial" w:cs="Arial"/>
            <w:color w:val="0000FF"/>
            <w:szCs w:val="24"/>
            <w:lang w:val="en-US" w:bidi="en-US"/>
          </w:rPr>
          <w:t>Subsidiaries of the Company**</w:t>
        </w:r>
      </w:hyperlink>
    </w:p>
    <w:p w14:paraId="71F3EC33" w14:textId="77777777" w:rsidR="003C21B8" w:rsidRDefault="003A4815" w:rsidP="003C21B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Pr>
          <w:rFonts w:ascii="Arial" w:eastAsia="Arial" w:hAnsi="Arial" w:cs="Arial"/>
          <w:lang w:val="en-US" w:bidi="en-US"/>
        </w:rPr>
        <w:t>10.5</w:t>
      </w:r>
      <w:r w:rsidRPr="00E73869">
        <w:rPr>
          <w:rFonts w:ascii="Arial" w:eastAsia="Arial" w:hAnsi="Arial" w:cs="Arial"/>
          <w:lang w:val="en-US" w:bidi="en-US"/>
        </w:rPr>
        <w:t xml:space="preserve"> </w:t>
      </w:r>
      <w:r w:rsidRPr="00E73869">
        <w:rPr>
          <w:rFonts w:ascii="Arial" w:eastAsia="Arial" w:hAnsi="Arial" w:cs="Arial"/>
          <w:lang w:val="en-US" w:bidi="en-US"/>
        </w:rPr>
        <w:tab/>
      </w:r>
      <w:hyperlink r:id="rId51" w:history="1">
        <w:r w:rsidR="003C21B8" w:rsidRPr="00E73869">
          <w:rPr>
            <w:rStyle w:val="Hyperlink"/>
            <w:rFonts w:ascii="Arial" w:eastAsia="Arial" w:hAnsi="Arial" w:cs="Arial"/>
            <w:color w:val="0000FF"/>
            <w:szCs w:val="24"/>
            <w:lang w:val="en-US" w:bidi="en-US"/>
          </w:rPr>
          <w:t>Form of Management Agreement</w:t>
        </w:r>
        <w:r w:rsidR="003C21B8" w:rsidRPr="00E73869">
          <w:rPr>
            <w:rStyle w:val="Hyperlink"/>
            <w:rFonts w:ascii="Arial" w:eastAsia="Arial" w:hAnsi="Arial" w:cs="Arial"/>
            <w:color w:val="0000FF"/>
            <w:lang w:val="en-US" w:bidi="en-US"/>
          </w:rPr>
          <w:t xml:space="preserve"> (9)</w:t>
        </w:r>
      </w:hyperlink>
    </w:p>
    <w:p w14:paraId="71F3EC34" w14:textId="77777777" w:rsidR="007144C6" w:rsidRPr="00E73869" w:rsidRDefault="003A4815" w:rsidP="007144C6">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7144C6">
        <w:rPr>
          <w:rFonts w:ascii="Arial" w:eastAsia="Arial" w:hAnsi="Arial" w:cs="Arial"/>
          <w:lang w:val="en-US" w:bidi="en-US"/>
        </w:rPr>
        <w:t>11.1</w:t>
      </w:r>
      <w:r w:rsidRPr="007144C6">
        <w:rPr>
          <w:rFonts w:ascii="Arial" w:eastAsia="Arial" w:hAnsi="Arial" w:cs="Arial"/>
          <w:lang w:val="en-US" w:bidi="en-US"/>
        </w:rPr>
        <w:tab/>
      </w:r>
      <w:hyperlink r:id="rId52" w:history="1">
        <w:r w:rsidR="007144C6" w:rsidRPr="007144C6">
          <w:rPr>
            <w:rStyle w:val="Hyperlink"/>
            <w:rFonts w:ascii="Arial" w:eastAsia="Arial" w:hAnsi="Arial" w:cs="Arial"/>
            <w:color w:val="0000FF"/>
            <w:lang w:val="en-US" w:bidi="en-US"/>
          </w:rPr>
          <w:t>Amended Code of Ethics</w:t>
        </w:r>
      </w:hyperlink>
      <w:r>
        <w:rPr>
          <w:rFonts w:ascii="Arial" w:eastAsia="Arial" w:hAnsi="Arial" w:cs="Arial"/>
          <w:lang w:val="en-US" w:bidi="en-US"/>
        </w:rPr>
        <w:t>(28)</w:t>
      </w:r>
    </w:p>
    <w:p w14:paraId="71F3EC35" w14:textId="77777777" w:rsidR="00F45B98" w:rsidRPr="00E73869" w:rsidRDefault="003A4815" w:rsidP="00F45B98">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11.2</w:t>
      </w:r>
      <w:r w:rsidRPr="00E73869">
        <w:rPr>
          <w:rFonts w:ascii="Arial" w:eastAsia="Arial" w:hAnsi="Arial" w:cs="Arial"/>
          <w:lang w:val="en-US" w:bidi="en-US"/>
        </w:rPr>
        <w:tab/>
      </w:r>
      <w:hyperlink r:id="rId53" w:history="1">
        <w:r w:rsidR="00F45B98">
          <w:rPr>
            <w:rStyle w:val="Hyperlink"/>
            <w:rFonts w:ascii="Arial" w:eastAsia="Arial" w:hAnsi="Arial" w:cs="Arial"/>
            <w:color w:val="0000FF"/>
            <w:lang w:val="en-US" w:bidi="en-US"/>
          </w:rPr>
          <w:t>Insider Trading Policy</w:t>
        </w:r>
      </w:hyperlink>
      <w:r w:rsidRPr="00B368A8">
        <w:rPr>
          <w:rFonts w:ascii="Arial" w:eastAsia="Arial" w:hAnsi="Arial" w:cs="Arial"/>
          <w:lang w:val="en-US" w:bidi="en-US"/>
        </w:rPr>
        <w:t>**</w:t>
      </w:r>
    </w:p>
    <w:p w14:paraId="71F3EC36"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12.1</w:t>
      </w:r>
      <w:r w:rsidRPr="00E73869">
        <w:rPr>
          <w:rFonts w:ascii="Arial" w:eastAsia="Arial" w:hAnsi="Arial" w:cs="Arial"/>
          <w:lang w:val="en-US" w:bidi="en-US"/>
        </w:rPr>
        <w:tab/>
      </w:r>
      <w:hyperlink r:id="rId54" w:history="1">
        <w:r w:rsidR="0075144E" w:rsidRPr="00E73869">
          <w:rPr>
            <w:rStyle w:val="Hyperlink"/>
            <w:rFonts w:ascii="Arial" w:eastAsia="Arial" w:hAnsi="Arial" w:cs="Arial"/>
            <w:color w:val="0000FF"/>
            <w:lang w:val="en-US" w:bidi="en-US"/>
          </w:rPr>
          <w:t>Rule 13a-14(a)/15d-14(a) Certification of Principal Executive Officer</w:t>
        </w:r>
      </w:hyperlink>
      <w:r w:rsidRPr="00E73869">
        <w:rPr>
          <w:rFonts w:ascii="Arial" w:eastAsia="Arial" w:hAnsi="Arial" w:cs="Arial"/>
          <w:lang w:val="en-US" w:bidi="en-US"/>
        </w:rPr>
        <w:t>**</w:t>
      </w:r>
    </w:p>
    <w:p w14:paraId="71F3EC37"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12.2</w:t>
      </w:r>
      <w:r w:rsidRPr="00E73869">
        <w:rPr>
          <w:rFonts w:ascii="Arial" w:eastAsia="Arial" w:hAnsi="Arial" w:cs="Arial"/>
          <w:lang w:val="en-US" w:bidi="en-US"/>
        </w:rPr>
        <w:tab/>
      </w:r>
      <w:hyperlink r:id="rId55" w:history="1">
        <w:r w:rsidR="0075144E" w:rsidRPr="00E73869">
          <w:rPr>
            <w:rStyle w:val="Hyperlink"/>
            <w:rFonts w:ascii="Arial" w:eastAsia="Arial" w:hAnsi="Arial" w:cs="Arial"/>
            <w:color w:val="0000FF"/>
            <w:lang w:val="en-US" w:bidi="en-US"/>
          </w:rPr>
          <w:t>Rule 13a-14(a)/15d-14(a) Certification of Principal Financial Officer</w:t>
        </w:r>
      </w:hyperlink>
      <w:r w:rsidRPr="00E73869">
        <w:rPr>
          <w:rFonts w:ascii="Arial" w:eastAsia="Arial" w:hAnsi="Arial" w:cs="Arial"/>
          <w:lang w:val="en-US" w:bidi="en-US"/>
        </w:rPr>
        <w:t>**</w:t>
      </w:r>
    </w:p>
    <w:p w14:paraId="71F3EC38"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13.1</w:t>
      </w:r>
      <w:r w:rsidRPr="00E73869">
        <w:rPr>
          <w:rFonts w:ascii="Arial" w:eastAsia="Arial" w:hAnsi="Arial" w:cs="Arial"/>
          <w:lang w:val="en-US" w:bidi="en-US"/>
        </w:rPr>
        <w:tab/>
      </w:r>
      <w:hyperlink r:id="rId56" w:history="1">
        <w:r w:rsidR="0075144E" w:rsidRPr="00E73869">
          <w:rPr>
            <w:rStyle w:val="Hyperlink"/>
            <w:rFonts w:ascii="Arial" w:eastAsia="Arial" w:hAnsi="Arial" w:cs="Arial"/>
            <w:color w:val="0000FF"/>
            <w:lang w:val="en-US" w:bidi="en-US"/>
          </w:rPr>
          <w:t>Certification of Principal Executive Officer pursuant to 18 U.S.C. Section 1350, as adopted pursuant to Section 906 of the Sarbanes-Oxley Act of 2002</w:t>
        </w:r>
      </w:hyperlink>
      <w:r w:rsidRPr="00E73869">
        <w:rPr>
          <w:rFonts w:ascii="Arial" w:eastAsia="Arial" w:hAnsi="Arial" w:cs="Arial"/>
          <w:lang w:val="en-US" w:bidi="en-US"/>
        </w:rPr>
        <w:t>**</w:t>
      </w:r>
    </w:p>
    <w:p w14:paraId="71F3EC39"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13.2</w:t>
      </w:r>
      <w:r w:rsidRPr="00E73869">
        <w:rPr>
          <w:rFonts w:ascii="Arial" w:eastAsia="Arial" w:hAnsi="Arial" w:cs="Arial"/>
          <w:lang w:val="en-US" w:bidi="en-US"/>
        </w:rPr>
        <w:tab/>
      </w:r>
      <w:hyperlink r:id="rId57" w:history="1">
        <w:r w:rsidR="0075144E" w:rsidRPr="00E73869">
          <w:rPr>
            <w:rStyle w:val="Hyperlink"/>
            <w:rFonts w:ascii="Arial" w:eastAsia="Arial" w:hAnsi="Arial" w:cs="Arial"/>
            <w:color w:val="0000FF"/>
            <w:lang w:val="en-US" w:bidi="en-US"/>
          </w:rPr>
          <w:t>Certification of Principal Financial Officer pursuant to 18 U.S.C. Section 1350, as adopted pursuant to Section 906 of the Sarbanes-Oxley Act of 2002</w:t>
        </w:r>
      </w:hyperlink>
      <w:r w:rsidRPr="00E73869">
        <w:rPr>
          <w:rFonts w:ascii="Arial" w:eastAsia="Arial" w:hAnsi="Arial" w:cs="Arial"/>
          <w:lang w:val="en-US" w:bidi="en-US"/>
        </w:rPr>
        <w:t>**</w:t>
      </w:r>
    </w:p>
    <w:p w14:paraId="71F3EC3A"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bidi="en-US"/>
        </w:rPr>
      </w:pPr>
      <w:r w:rsidRPr="00E73869">
        <w:rPr>
          <w:rFonts w:ascii="Arial" w:eastAsia="Arial" w:hAnsi="Arial" w:cs="Arial"/>
          <w:lang w:val="en-US" w:bidi="en-US"/>
        </w:rPr>
        <w:t>15.1</w:t>
      </w:r>
      <w:r w:rsidRPr="00E73869">
        <w:rPr>
          <w:rFonts w:ascii="Arial" w:eastAsia="Arial" w:hAnsi="Arial" w:cs="Arial"/>
          <w:lang w:val="en-US" w:bidi="en-US"/>
        </w:rPr>
        <w:tab/>
      </w:r>
      <w:hyperlink r:id="rId58" w:history="1">
        <w:r w:rsidR="0075144E" w:rsidRPr="00E73869">
          <w:rPr>
            <w:rStyle w:val="Hyperlink"/>
            <w:rFonts w:ascii="Arial" w:eastAsia="Arial" w:hAnsi="Arial" w:cs="Arial"/>
            <w:color w:val="0000FF"/>
            <w:lang w:val="en-US" w:bidi="en-US"/>
          </w:rPr>
          <w:t>Consent of Independent Registered Public Accounting Firm</w:t>
        </w:r>
      </w:hyperlink>
      <w:r w:rsidRPr="00E73869">
        <w:rPr>
          <w:rFonts w:ascii="Arial" w:eastAsia="Arial" w:hAnsi="Arial" w:cs="Arial"/>
          <w:lang w:val="en-US" w:bidi="en-US"/>
        </w:rPr>
        <w:t>**</w:t>
      </w:r>
    </w:p>
    <w:p w14:paraId="71F3EC3B" w14:textId="77777777" w:rsidR="00E97366" w:rsidRDefault="003A4815" w:rsidP="00E97366">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bidi="en-US"/>
        </w:rPr>
      </w:pPr>
      <w:r w:rsidRPr="00E73869">
        <w:rPr>
          <w:rFonts w:ascii="Arial" w:eastAsia="Arial" w:hAnsi="Arial" w:cs="Arial"/>
          <w:lang w:val="en-US" w:bidi="en-US"/>
        </w:rPr>
        <w:t>15.2</w:t>
      </w:r>
      <w:r w:rsidRPr="00E73869">
        <w:rPr>
          <w:rFonts w:ascii="Arial" w:eastAsia="Arial" w:hAnsi="Arial" w:cs="Arial"/>
          <w:lang w:val="en-US" w:bidi="en-US"/>
        </w:rPr>
        <w:tab/>
      </w:r>
      <w:hyperlink r:id="rId59" w:history="1">
        <w:r w:rsidR="00E97366">
          <w:rPr>
            <w:rStyle w:val="Hyperlink"/>
            <w:rFonts w:ascii="Arial" w:eastAsia="Arial" w:hAnsi="Arial" w:cs="Arial"/>
            <w:color w:val="0000FF"/>
            <w:lang w:val="en-US" w:bidi="en-US"/>
          </w:rPr>
          <w:t>Consent of Independent Registered Public Accounting Firm</w:t>
        </w:r>
      </w:hyperlink>
      <w:r w:rsidRPr="00E73869">
        <w:rPr>
          <w:rFonts w:ascii="Arial" w:eastAsia="Arial" w:hAnsi="Arial" w:cs="Arial"/>
          <w:lang w:val="en-US" w:bidi="en-US"/>
        </w:rPr>
        <w:t>**</w:t>
      </w:r>
    </w:p>
    <w:p w14:paraId="71F3EC3C" w14:textId="77777777" w:rsidR="00E93858" w:rsidRPr="00E73869" w:rsidRDefault="003A4815" w:rsidP="00E93858">
      <w:pPr>
        <w:pBdr>
          <w:top w:val="nil"/>
          <w:left w:val="nil"/>
          <w:bottom w:val="nil"/>
          <w:right w:val="nil"/>
          <w:between w:val="nil"/>
          <w:bar w:val="nil"/>
        </w:pBdr>
        <w:autoSpaceDE w:val="0"/>
        <w:autoSpaceDN w:val="0"/>
        <w:adjustRightInd w:val="0"/>
        <w:ind w:left="567" w:hanging="567"/>
        <w:jc w:val="both"/>
        <w:rPr>
          <w:rFonts w:ascii="Arial" w:eastAsia="Arial" w:hAnsi="Arial" w:cs="Arial"/>
          <w:sz w:val="20"/>
          <w:szCs w:val="20"/>
          <w:bdr w:val="nil"/>
          <w:lang w:val="en-US"/>
        </w:rPr>
      </w:pPr>
      <w:r w:rsidRPr="00E73869">
        <w:rPr>
          <w:rFonts w:ascii="Arial" w:eastAsia="Arial" w:hAnsi="Arial" w:cs="Arial"/>
          <w:lang w:val="en-US" w:bidi="en-US"/>
        </w:rPr>
        <w:t>97.1</w:t>
      </w:r>
      <w:r w:rsidRPr="00E73869">
        <w:rPr>
          <w:rFonts w:ascii="Arial" w:eastAsia="Arial" w:hAnsi="Arial" w:cs="Arial"/>
          <w:lang w:val="en-US" w:bidi="en-US"/>
        </w:rPr>
        <w:tab/>
      </w:r>
      <w:hyperlink r:id="rId60" w:history="1">
        <w:r w:rsidR="00E93858" w:rsidRPr="00E73869">
          <w:rPr>
            <w:rStyle w:val="Hyperlink"/>
            <w:rFonts w:ascii="Arial" w:eastAsia="Arial" w:hAnsi="Arial" w:cs="Arial"/>
            <w:color w:val="0000FF"/>
            <w:lang w:val="en-US" w:bidi="en-US"/>
          </w:rPr>
          <w:t>Policy Regarding the Recovery of Erroneously Awarded Compensation (25)</w:t>
        </w:r>
      </w:hyperlink>
      <w:r w:rsidRPr="00E73869">
        <w:rPr>
          <w:rFonts w:ascii="Arial" w:eastAsia="Arial" w:hAnsi="Arial" w:cs="Arial"/>
          <w:lang w:val="en-US" w:bidi="en-US"/>
        </w:rPr>
        <w:t>.</w:t>
      </w:r>
    </w:p>
    <w:p w14:paraId="71F3EC3D" w14:textId="77777777" w:rsidR="0075144E" w:rsidRPr="00E73869" w:rsidRDefault="003A4815" w:rsidP="005716C4">
      <w:pPr>
        <w:pBdr>
          <w:top w:val="nil"/>
          <w:left w:val="nil"/>
          <w:bottom w:val="nil"/>
          <w:right w:val="nil"/>
          <w:between w:val="nil"/>
          <w:bar w:val="nil"/>
        </w:pBdr>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101</w:t>
      </w:r>
      <w:r w:rsidRPr="00E73869">
        <w:rPr>
          <w:rFonts w:ascii="Arial" w:eastAsia="Arial" w:hAnsi="Arial" w:cs="Arial"/>
          <w:lang w:val="en-US" w:bidi="en-US"/>
        </w:rPr>
        <w:tab/>
        <w:t xml:space="preserve">The following materials from the Company's Annual Report on Form 20-F for the fiscal year ended December 31, </w:t>
      </w:r>
      <w:r w:rsidR="00B150F2" w:rsidRPr="00E73869">
        <w:rPr>
          <w:rFonts w:ascii="Arial" w:eastAsia="Arial" w:hAnsi="Arial" w:cs="Arial"/>
          <w:lang w:val="en-US" w:bidi="en-US"/>
        </w:rPr>
        <w:t>2025</w:t>
      </w:r>
      <w:r w:rsidRPr="00E73869">
        <w:rPr>
          <w:rFonts w:ascii="Arial" w:eastAsia="Arial" w:hAnsi="Arial" w:cs="Arial"/>
          <w:lang w:val="en-US" w:bidi="en-US"/>
        </w:rPr>
        <w:t xml:space="preserve">, formatted in eXtensible Business Reporting Language (XBRL): (i) Consolidated Balance Sheets as of December 31, </w:t>
      </w:r>
      <w:r w:rsidR="00B150F2" w:rsidRPr="00E73869">
        <w:rPr>
          <w:rFonts w:ascii="Arial" w:eastAsia="Arial" w:hAnsi="Arial" w:cs="Arial"/>
          <w:lang w:val="en-US" w:bidi="en-US"/>
        </w:rPr>
        <w:t xml:space="preserve">2025 </w:t>
      </w:r>
      <w:r w:rsidRPr="00E73869">
        <w:rPr>
          <w:rFonts w:ascii="Arial" w:eastAsia="Arial" w:hAnsi="Arial" w:cs="Arial"/>
          <w:lang w:val="en-US" w:bidi="en-US"/>
        </w:rPr>
        <w:t xml:space="preserve">and </w:t>
      </w:r>
      <w:r w:rsidR="00B150F2" w:rsidRPr="00E73869">
        <w:rPr>
          <w:rFonts w:ascii="Arial" w:eastAsia="Arial" w:hAnsi="Arial" w:cs="Arial"/>
          <w:lang w:val="en-US" w:bidi="en-US"/>
        </w:rPr>
        <w:t>2024</w:t>
      </w:r>
      <w:r w:rsidRPr="00E73869">
        <w:rPr>
          <w:rFonts w:ascii="Arial" w:eastAsia="Arial" w:hAnsi="Arial" w:cs="Arial"/>
          <w:lang w:val="en-US" w:bidi="en-US"/>
        </w:rPr>
        <w:t xml:space="preserve">; (ii) Consolidated Statements of Income for the years ended December 31, </w:t>
      </w:r>
      <w:r w:rsidR="00B150F2" w:rsidRPr="00E73869">
        <w:rPr>
          <w:rFonts w:ascii="Arial" w:eastAsia="Arial" w:hAnsi="Arial" w:cs="Arial"/>
          <w:lang w:val="en-US" w:bidi="en-US"/>
        </w:rPr>
        <w:t xml:space="preserve">2025, 2024 </w:t>
      </w:r>
      <w:r w:rsidRPr="00E73869">
        <w:rPr>
          <w:rFonts w:ascii="Arial" w:eastAsia="Arial" w:hAnsi="Arial" w:cs="Arial"/>
          <w:lang w:val="en-US" w:bidi="en-US"/>
        </w:rPr>
        <w:t xml:space="preserve">and </w:t>
      </w:r>
      <w:r w:rsidR="00B150F2" w:rsidRPr="00E73869">
        <w:rPr>
          <w:rFonts w:ascii="Arial" w:eastAsia="Arial" w:hAnsi="Arial" w:cs="Arial"/>
          <w:lang w:val="en-US" w:bidi="en-US"/>
        </w:rPr>
        <w:t>2023</w:t>
      </w:r>
      <w:r w:rsidRPr="00E73869">
        <w:rPr>
          <w:rFonts w:ascii="Arial" w:eastAsia="Arial" w:hAnsi="Arial" w:cs="Arial"/>
          <w:lang w:val="en-US" w:bidi="en-US"/>
        </w:rPr>
        <w:t xml:space="preserve">; (iii) Consolidated Statements of Comprehensive Income for the years ended December 31, </w:t>
      </w:r>
      <w:r w:rsidR="00B150F2" w:rsidRPr="00E73869">
        <w:rPr>
          <w:rFonts w:ascii="Arial" w:eastAsia="Arial" w:hAnsi="Arial" w:cs="Arial"/>
          <w:lang w:val="en-US" w:bidi="en-US"/>
        </w:rPr>
        <w:t xml:space="preserve">2025, 2024 and 2023; </w:t>
      </w:r>
      <w:r w:rsidRPr="00E73869">
        <w:rPr>
          <w:rFonts w:ascii="Arial" w:eastAsia="Arial" w:hAnsi="Arial" w:cs="Arial"/>
          <w:lang w:val="en-US" w:bidi="en-US"/>
        </w:rPr>
        <w:t>(iv) Consolidated Statements of Stockholders' Equity for the years ended December 31, 2025, 2024 and 2023; (v) Consolidated Statements of Cash Flows for the years ended December 31, 2025, 2024 and 2023; and (v) the Notes to Consolidated Financial Statements</w:t>
      </w:r>
    </w:p>
    <w:p w14:paraId="71F3EC3E" w14:textId="77777777" w:rsidR="0043797B" w:rsidRPr="00E73869" w:rsidRDefault="003A4815" w:rsidP="0043797B">
      <w:pPr>
        <w:pBdr>
          <w:top w:val="nil"/>
          <w:left w:val="nil"/>
          <w:bottom w:val="nil"/>
          <w:right w:val="nil"/>
          <w:between w:val="nil"/>
          <w:bar w:val="nil"/>
        </w:pBdr>
        <w:autoSpaceDE w:val="0"/>
        <w:autoSpaceDN w:val="0"/>
        <w:adjustRightInd w:val="0"/>
        <w:ind w:left="567" w:hanging="567"/>
        <w:rPr>
          <w:rFonts w:ascii="Arial" w:eastAsia="Arial" w:hAnsi="Arial" w:cs="Arial"/>
          <w:bdr w:val="nil"/>
          <w:lang w:val="en-US" w:bidi="en-US"/>
        </w:rPr>
      </w:pPr>
      <w:r w:rsidRPr="00E73869">
        <w:rPr>
          <w:rFonts w:ascii="Arial" w:eastAsia="Arial" w:hAnsi="Arial" w:cs="Arial"/>
          <w:lang w:val="en-US" w:bidi="en-US"/>
        </w:rPr>
        <w:t>104</w:t>
      </w:r>
      <w:r w:rsidRPr="00E73869">
        <w:rPr>
          <w:rFonts w:ascii="Arial" w:eastAsia="Arial" w:hAnsi="Arial" w:cs="Arial"/>
          <w:lang w:val="en-US" w:bidi="en-US"/>
        </w:rPr>
        <w:tab/>
        <w:t>Cover Page Interactive Data File (formatted as Inline XBRL and contained in Exhibit 101)</w:t>
      </w:r>
    </w:p>
    <w:p w14:paraId="71F3EC3F" w14:textId="77777777" w:rsidR="0043797B" w:rsidRPr="00E73869" w:rsidRDefault="003A4815">
      <w:pPr>
        <w:pBdr>
          <w:top w:val="nil"/>
          <w:left w:val="nil"/>
          <w:bottom w:val="nil"/>
          <w:right w:val="nil"/>
          <w:between w:val="nil"/>
          <w:bar w:val="nil"/>
        </w:pBdr>
        <w:tabs>
          <w:tab w:val="left" w:pos="709"/>
          <w:tab w:val="left" w:pos="1043"/>
        </w:tabs>
        <w:rPr>
          <w:rFonts w:ascii="Arial" w:eastAsia="Arial" w:hAnsi="Arial" w:cs="Arial"/>
          <w:bdr w:val="nil"/>
          <w:lang w:val="en-US" w:bidi="en-US"/>
        </w:rPr>
      </w:pPr>
      <w:r w:rsidRPr="00E73869">
        <w:rPr>
          <w:rFonts w:ascii="Arial" w:eastAsia="Arial" w:hAnsi="Arial" w:cs="Arial"/>
          <w:lang w:val="en-US" w:bidi="en-US"/>
        </w:rPr>
        <w:tab/>
      </w:r>
      <w:r w:rsidRPr="00E73869">
        <w:rPr>
          <w:rFonts w:ascii="Arial" w:eastAsia="Arial" w:hAnsi="Arial" w:cs="Arial"/>
          <w:lang w:val="en-US" w:bidi="en-US"/>
        </w:rPr>
        <w:tab/>
      </w:r>
    </w:p>
    <w:p w14:paraId="71F3EC40"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w:t>
      </w:r>
      <w:r w:rsidRPr="00E73869">
        <w:rPr>
          <w:rFonts w:ascii="Arial" w:eastAsia="Arial" w:hAnsi="Arial" w:cs="Arial"/>
          <w:lang w:val="en-US" w:bidi="en-US"/>
        </w:rPr>
        <w:tab/>
        <w:t>Filed herewith.</w:t>
      </w:r>
    </w:p>
    <w:p w14:paraId="71F3EC41" w14:textId="77777777" w:rsidR="0075144E" w:rsidRPr="00E73869" w:rsidRDefault="0075144E" w:rsidP="003F7105">
      <w:pPr>
        <w:pBdr>
          <w:top w:val="nil"/>
          <w:left w:val="nil"/>
          <w:bottom w:val="nil"/>
          <w:right w:val="nil"/>
          <w:between w:val="nil"/>
          <w:bar w:val="nil"/>
        </w:pBdr>
        <w:tabs>
          <w:tab w:val="left" w:pos="426"/>
        </w:tabs>
        <w:autoSpaceDE w:val="0"/>
        <w:autoSpaceDN w:val="0"/>
        <w:adjustRightInd w:val="0"/>
        <w:ind w:left="851" w:hanging="851"/>
        <w:jc w:val="both"/>
        <w:rPr>
          <w:rFonts w:ascii="Arial" w:eastAsia="Arial" w:hAnsi="Arial" w:cs="Arial"/>
          <w:bdr w:val="nil"/>
          <w:lang w:val="en-US"/>
        </w:rPr>
      </w:pPr>
    </w:p>
    <w:p w14:paraId="71F3EC42" w14:textId="77777777" w:rsidR="0075144E" w:rsidRPr="00E73869" w:rsidRDefault="003A4815" w:rsidP="001521ED">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(1)</w:t>
      </w:r>
      <w:r w:rsidRPr="00E73869">
        <w:rPr>
          <w:rFonts w:ascii="Arial" w:eastAsia="Arial" w:hAnsi="Arial" w:cs="Arial"/>
          <w:lang w:val="en-US" w:bidi="en-US"/>
        </w:rPr>
        <w:tab/>
      </w:r>
      <w:bookmarkStart w:id="363" w:name="_Hlk162961743"/>
      <w:r w:rsidRPr="00E73869">
        <w:rPr>
          <w:rFonts w:ascii="Arial" w:eastAsia="Arial" w:hAnsi="Arial" w:cs="Arial"/>
          <w:lang w:val="en-US" w:bidi="en-US"/>
        </w:rPr>
        <w:t>Filed as Exhibit 99.2 to the Company's Form 6-K filed on November 15, 2023</w:t>
      </w:r>
      <w:bookmarkEnd w:id="363"/>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3" w14:textId="77777777" w:rsidR="00E93858" w:rsidRPr="00E73869" w:rsidRDefault="003A4815" w:rsidP="00E93858">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(2)</w:t>
      </w:r>
      <w:r w:rsidRPr="00E73869">
        <w:rPr>
          <w:rFonts w:ascii="Arial" w:eastAsia="Arial" w:hAnsi="Arial" w:cs="Arial"/>
          <w:lang w:val="en-US" w:bidi="en-US"/>
        </w:rPr>
        <w:tab/>
        <w:t>Filed as Exhibit 99.3 to the Company's Form 6-K filed on November 15, 2023</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4"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(3)</w:t>
      </w:r>
      <w:r w:rsidRPr="00E73869">
        <w:rPr>
          <w:rFonts w:ascii="Arial" w:eastAsia="Arial" w:hAnsi="Arial" w:cs="Arial"/>
          <w:lang w:val="en-US" w:bidi="en-US"/>
        </w:rPr>
        <w:tab/>
        <w:t>Filed as Exhibit 3.3 to the Company's Form 8-A filed on February 13, 2014</w:t>
      </w:r>
      <w:r w:rsidR="001521ED" w:rsidRPr="00E73869">
        <w:rPr>
          <w:rFonts w:ascii="Arial" w:eastAsia="Arial" w:hAnsi="Arial" w:cs="Arial"/>
          <w:lang w:val="en-US" w:bidi="en-US"/>
        </w:rPr>
        <w:t>, and incorporated by reference herein.</w:t>
      </w:r>
    </w:p>
    <w:p w14:paraId="71F3EC45"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(4)</w:t>
      </w:r>
      <w:r w:rsidRPr="00E73869">
        <w:rPr>
          <w:rFonts w:ascii="Arial" w:eastAsia="Arial" w:hAnsi="Arial" w:cs="Arial"/>
          <w:lang w:val="en-US" w:bidi="en-US"/>
        </w:rPr>
        <w:tab/>
        <w:t>Filed as Exhibit 3.1 to the Company's Form 8-A12B/A filed on January 15, 2016</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6"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(5) </w:t>
      </w:r>
      <w:r w:rsidRPr="00E73869">
        <w:rPr>
          <w:rFonts w:ascii="Arial" w:eastAsia="Arial" w:hAnsi="Arial" w:cs="Arial"/>
          <w:lang w:val="en-US" w:bidi="en-US"/>
        </w:rPr>
        <w:tab/>
        <w:t>Filed as Exhibit 4.1 to the Company's Form 6-K filed on May 28, 2015</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7"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(6) </w:t>
      </w:r>
      <w:r w:rsidRPr="00E73869">
        <w:rPr>
          <w:rFonts w:ascii="Arial" w:eastAsia="Arial" w:hAnsi="Arial" w:cs="Arial"/>
          <w:lang w:val="en-US" w:bidi="en-US"/>
        </w:rPr>
        <w:tab/>
        <w:t>Filed as Exhibit 4.2 to the Company's Form 6-K filed on May 28, 2015</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8"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(7) </w:t>
      </w:r>
      <w:r w:rsidRPr="00E73869">
        <w:rPr>
          <w:rFonts w:ascii="Arial" w:eastAsia="Arial" w:hAnsi="Arial" w:cs="Arial"/>
          <w:lang w:val="en-US" w:bidi="en-US"/>
        </w:rPr>
        <w:tab/>
        <w:t xml:space="preserve">Filed as Exhibit 4.1 to the Company's Form 8-A12B/A filed on </w:t>
      </w:r>
      <w:r w:rsidR="00C42371" w:rsidRPr="00E73869">
        <w:rPr>
          <w:rFonts w:ascii="Arial" w:eastAsia="Arial" w:hAnsi="Arial" w:cs="Arial"/>
          <w:lang w:val="en-US" w:bidi="en-US"/>
        </w:rPr>
        <w:t>February 2</w:t>
      </w:r>
      <w:r w:rsidRPr="00E73869">
        <w:rPr>
          <w:rFonts w:ascii="Arial" w:eastAsia="Arial" w:hAnsi="Arial" w:cs="Arial"/>
          <w:lang w:val="en-US" w:bidi="en-US"/>
        </w:rPr>
        <w:t>, 20</w:t>
      </w:r>
      <w:r w:rsidR="00C42371" w:rsidRPr="00E73869">
        <w:rPr>
          <w:rFonts w:ascii="Arial" w:eastAsia="Arial" w:hAnsi="Arial" w:cs="Arial"/>
          <w:lang w:val="en-US" w:bidi="en-US"/>
        </w:rPr>
        <w:t>24</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9"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(8) </w:t>
      </w:r>
      <w:r w:rsidRPr="00E73869">
        <w:rPr>
          <w:rFonts w:ascii="Arial" w:eastAsia="Arial" w:hAnsi="Arial" w:cs="Arial"/>
          <w:lang w:val="en-US" w:bidi="en-US"/>
        </w:rPr>
        <w:tab/>
        <w:t>Filed as an Exhibit to the Company's Registration Statement (File No. 123052) on March 1, 2005</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A"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426" w:hanging="426"/>
        <w:jc w:val="both"/>
        <w:rPr>
          <w:rFonts w:ascii="Arial" w:eastAsia="Arial" w:hAnsi="Arial" w:cs="Arial"/>
          <w:bdr w:val="nil"/>
          <w:lang w:val="en-US"/>
        </w:rPr>
      </w:pPr>
      <w:r w:rsidRPr="00E73869">
        <w:rPr>
          <w:rFonts w:ascii="Arial" w:eastAsia="Arial" w:hAnsi="Arial" w:cs="Arial"/>
          <w:lang w:val="en-US" w:bidi="en-US"/>
        </w:rPr>
        <w:t xml:space="preserve">(9) </w:t>
      </w:r>
      <w:r w:rsidRPr="00E73869">
        <w:rPr>
          <w:rFonts w:ascii="Arial" w:eastAsia="Arial" w:hAnsi="Arial" w:cs="Arial"/>
          <w:lang w:val="en-US" w:bidi="en-US"/>
        </w:rPr>
        <w:tab/>
        <w:t>Filed as an Exhibit to the Company's Amended Registration Statement (File No. 123052) on March 15, 2005</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4B"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(10) </w:t>
      </w:r>
      <w:r w:rsidRPr="00E73869">
        <w:rPr>
          <w:rFonts w:ascii="Arial" w:eastAsia="Arial" w:hAnsi="Arial" w:cs="Arial"/>
          <w:lang w:val="en-US" w:bidi="en-US"/>
        </w:rPr>
        <w:tab/>
      </w:r>
      <w:r w:rsidR="001521ED" w:rsidRPr="00E73869">
        <w:rPr>
          <w:rFonts w:ascii="Arial" w:eastAsia="Arial" w:hAnsi="Arial" w:cs="Arial"/>
          <w:lang w:val="en-US" w:bidi="en-US"/>
        </w:rPr>
        <w:t>Filed as Exhibit 1.1 to the Company's Form 6-K filed on September 9, 2024, and incorporated by reference herein.</w:t>
      </w:r>
    </w:p>
    <w:p w14:paraId="71F3EC4C"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(11) </w:t>
      </w:r>
      <w:r w:rsidRPr="00E73869">
        <w:rPr>
          <w:rFonts w:ascii="Arial" w:eastAsia="Arial" w:hAnsi="Arial" w:cs="Arial"/>
          <w:lang w:val="en-US" w:bidi="en-US"/>
        </w:rPr>
        <w:tab/>
        <w:t>Filed as an Exhibit to the Company's Annual Report filed on Form 20-F on March 27, 2014</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 xml:space="preserve">. </w:t>
      </w:r>
    </w:p>
    <w:p w14:paraId="71F3EC4D"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(12) </w:t>
      </w:r>
      <w:r w:rsidRPr="00E73869">
        <w:rPr>
          <w:rFonts w:ascii="Arial" w:eastAsia="Arial" w:hAnsi="Arial" w:cs="Arial"/>
          <w:lang w:val="en-US" w:bidi="en-US"/>
        </w:rPr>
        <w:tab/>
      </w:r>
      <w:r w:rsidR="001521ED" w:rsidRPr="00E73869">
        <w:rPr>
          <w:rFonts w:ascii="Arial" w:eastAsia="Arial" w:hAnsi="Arial" w:cs="Arial"/>
          <w:lang w:val="en-US" w:bidi="en-US"/>
        </w:rPr>
        <w:t>Reserved.</w:t>
      </w:r>
      <w:r w:rsidRPr="00E73869">
        <w:rPr>
          <w:rFonts w:ascii="Arial" w:eastAsia="Arial" w:hAnsi="Arial" w:cs="Arial"/>
          <w:lang w:val="en-US" w:bidi="en-US"/>
        </w:rPr>
        <w:t xml:space="preserve"> </w:t>
      </w:r>
    </w:p>
    <w:p w14:paraId="71F3EC4E"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(13) </w:t>
      </w:r>
      <w:r w:rsidRPr="00E73869">
        <w:rPr>
          <w:rFonts w:ascii="Arial" w:eastAsia="Arial" w:hAnsi="Arial" w:cs="Arial"/>
          <w:lang w:val="en-US" w:bidi="en-US"/>
        </w:rPr>
        <w:tab/>
        <w:t>Filed as an Exhibit to the Company's Annual Report filed on Form 20-F on March 28, 2016</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 xml:space="preserve">. </w:t>
      </w:r>
    </w:p>
    <w:p w14:paraId="71F3EC4F"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(14) </w:t>
      </w:r>
      <w:r w:rsidRPr="00E73869">
        <w:rPr>
          <w:rFonts w:ascii="Arial" w:eastAsia="Arial" w:hAnsi="Arial" w:cs="Arial"/>
          <w:lang w:val="en-US" w:bidi="en-US"/>
        </w:rPr>
        <w:tab/>
      </w:r>
      <w:r w:rsidR="001521ED" w:rsidRPr="00E73869">
        <w:rPr>
          <w:rFonts w:ascii="Arial" w:eastAsia="Arial" w:hAnsi="Arial" w:cs="Arial"/>
          <w:lang w:val="en-US" w:bidi="en-US"/>
        </w:rPr>
        <w:t>Reserved.</w:t>
      </w:r>
      <w:r w:rsidRPr="00E73869">
        <w:rPr>
          <w:rFonts w:ascii="Arial" w:eastAsia="Arial" w:hAnsi="Arial" w:cs="Arial"/>
          <w:lang w:val="en-US" w:bidi="en-US"/>
        </w:rPr>
        <w:t xml:space="preserve"> </w:t>
      </w:r>
    </w:p>
    <w:p w14:paraId="71F3EC50"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(15) </w:t>
      </w:r>
      <w:r w:rsidRPr="00E73869">
        <w:rPr>
          <w:rFonts w:ascii="Arial" w:eastAsia="Arial" w:hAnsi="Arial" w:cs="Arial"/>
          <w:lang w:val="en-US" w:bidi="en-US"/>
        </w:rPr>
        <w:tab/>
      </w:r>
      <w:r w:rsidR="001521ED" w:rsidRPr="00E73869">
        <w:rPr>
          <w:rFonts w:ascii="Arial" w:eastAsia="Arial" w:hAnsi="Arial" w:cs="Arial"/>
          <w:lang w:val="en-US" w:bidi="en-US"/>
        </w:rPr>
        <w:t>Reserved.</w:t>
      </w:r>
    </w:p>
    <w:p w14:paraId="71F3EC51"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(16) </w:t>
      </w:r>
      <w:r w:rsidRPr="00E73869">
        <w:rPr>
          <w:rFonts w:ascii="Arial" w:eastAsia="Arial" w:hAnsi="Arial" w:cs="Arial"/>
          <w:lang w:val="en-US" w:bidi="en-US"/>
        </w:rPr>
        <w:tab/>
        <w:t>Filed as Exhibit 4.1 to the Company's Form 8-A12B filed on February 13, 2014</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52"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(17) </w:t>
      </w:r>
      <w:r w:rsidRPr="00E73869">
        <w:rPr>
          <w:rFonts w:ascii="Arial" w:eastAsia="Arial" w:hAnsi="Arial" w:cs="Arial"/>
          <w:lang w:val="en-US" w:bidi="en-US"/>
        </w:rPr>
        <w:tab/>
      </w:r>
      <w:r w:rsidR="001521ED" w:rsidRPr="00E73869">
        <w:rPr>
          <w:rFonts w:ascii="Arial" w:eastAsia="Arial" w:hAnsi="Arial" w:cs="Arial"/>
          <w:lang w:val="en-US" w:bidi="en-US"/>
        </w:rPr>
        <w:t>Reserved.</w:t>
      </w:r>
    </w:p>
    <w:p w14:paraId="71F3EC53" w14:textId="77777777" w:rsidR="0075144E" w:rsidRPr="00E73869" w:rsidRDefault="003A4815" w:rsidP="003F7105">
      <w:pPr>
        <w:pBdr>
          <w:top w:val="nil"/>
          <w:left w:val="nil"/>
          <w:bottom w:val="nil"/>
          <w:right w:val="nil"/>
          <w:between w:val="nil"/>
          <w:bar w:val="nil"/>
        </w:pBdr>
        <w:tabs>
          <w:tab w:val="left" w:pos="426"/>
        </w:tabs>
        <w:autoSpaceDE w:val="0"/>
        <w:autoSpaceDN w:val="0"/>
        <w:adjustRightInd w:val="0"/>
        <w:ind w:left="567" w:hanging="567"/>
        <w:jc w:val="both"/>
        <w:rPr>
          <w:rFonts w:ascii="Arial" w:eastAsia="Arial" w:hAnsi="Arial" w:cs="Arial"/>
          <w:bdr w:val="nil"/>
          <w:lang w:val="en-US"/>
        </w:rPr>
      </w:pPr>
      <w:r w:rsidRPr="00E73869">
        <w:rPr>
          <w:rFonts w:ascii="Arial" w:eastAsia="Arial" w:hAnsi="Arial" w:cs="Arial"/>
          <w:lang w:val="en-US" w:bidi="en-US"/>
        </w:rPr>
        <w:t xml:space="preserve">(18) </w:t>
      </w:r>
      <w:r w:rsidRPr="00E73869">
        <w:rPr>
          <w:rFonts w:ascii="Arial" w:eastAsia="Arial" w:hAnsi="Arial" w:cs="Arial"/>
          <w:lang w:val="en-US" w:bidi="en-US"/>
        </w:rPr>
        <w:tab/>
        <w:t>Filed as an Exhibit to the Company’s Form 6-K filed on February 6, 2019</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54"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rPr>
      </w:pPr>
      <w:r w:rsidRPr="00E73869">
        <w:rPr>
          <w:rFonts w:ascii="Arial" w:eastAsia="Arial" w:hAnsi="Arial" w:cs="Arial"/>
          <w:lang w:val="en-US" w:bidi="en-US"/>
        </w:rPr>
        <w:t xml:space="preserve">(19) </w:t>
      </w:r>
      <w:r w:rsidRPr="00E73869">
        <w:rPr>
          <w:rFonts w:ascii="Arial" w:eastAsia="Arial" w:hAnsi="Arial" w:cs="Arial"/>
          <w:lang w:val="en-US" w:bidi="en-US"/>
        </w:rPr>
        <w:tab/>
      </w:r>
      <w:r w:rsidR="001521ED" w:rsidRPr="00E73869">
        <w:rPr>
          <w:rFonts w:ascii="Arial" w:eastAsia="Arial" w:hAnsi="Arial" w:cs="Arial"/>
          <w:lang w:val="en-US" w:bidi="en-US"/>
        </w:rPr>
        <w:t>Reserved.</w:t>
      </w:r>
    </w:p>
    <w:p w14:paraId="71F3EC55"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rPr>
      </w:pPr>
      <w:r w:rsidRPr="00E73869">
        <w:rPr>
          <w:rFonts w:ascii="Arial" w:eastAsia="Arial" w:hAnsi="Arial" w:cs="Arial"/>
          <w:lang w:val="en-US" w:bidi="en-US"/>
        </w:rPr>
        <w:t xml:space="preserve">(20) </w:t>
      </w:r>
      <w:r w:rsidRPr="00E73869">
        <w:rPr>
          <w:rFonts w:ascii="Arial" w:eastAsia="Arial" w:hAnsi="Arial" w:cs="Arial"/>
          <w:lang w:val="en-US" w:bidi="en-US"/>
        </w:rPr>
        <w:tab/>
      </w:r>
      <w:r w:rsidR="001521ED" w:rsidRPr="00E73869">
        <w:rPr>
          <w:rFonts w:ascii="Arial" w:eastAsia="Arial" w:hAnsi="Arial" w:cs="Arial"/>
          <w:lang w:val="en-US" w:bidi="en-US"/>
        </w:rPr>
        <w:t>Reserved.</w:t>
      </w:r>
    </w:p>
    <w:p w14:paraId="71F3EC56"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rPr>
      </w:pPr>
      <w:r w:rsidRPr="00E73869">
        <w:rPr>
          <w:rFonts w:ascii="Arial" w:eastAsia="Arial" w:hAnsi="Arial" w:cs="Arial"/>
          <w:lang w:val="en-US" w:bidi="en-US"/>
        </w:rPr>
        <w:t xml:space="preserve">(21) </w:t>
      </w:r>
      <w:r w:rsidRPr="00E73869">
        <w:rPr>
          <w:rFonts w:ascii="Arial" w:eastAsia="Arial" w:hAnsi="Arial" w:cs="Arial"/>
          <w:lang w:val="en-US" w:bidi="en-US"/>
        </w:rPr>
        <w:tab/>
        <w:t>Filed as an Exhibit to the Company’s Form 6-K filed on April 23, 2021</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57"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rPr>
      </w:pPr>
      <w:r w:rsidRPr="00E73869">
        <w:rPr>
          <w:rFonts w:ascii="Arial" w:eastAsia="Arial" w:hAnsi="Arial" w:cs="Arial"/>
          <w:lang w:val="en-US" w:bidi="en-US"/>
        </w:rPr>
        <w:t xml:space="preserve">(22) </w:t>
      </w:r>
      <w:r w:rsidRPr="00E73869">
        <w:rPr>
          <w:rFonts w:ascii="Arial" w:eastAsia="Arial" w:hAnsi="Arial" w:cs="Arial"/>
          <w:lang w:val="en-US" w:bidi="en-US"/>
        </w:rPr>
        <w:tab/>
        <w:t>Filed as an Exhibit to the Company’s Form 6-K filed on September 8, 2023</w:t>
      </w:r>
      <w:r w:rsidR="001521ED" w:rsidRPr="00E73869">
        <w:rPr>
          <w:rFonts w:ascii="Arial" w:eastAsia="Arial" w:hAnsi="Arial" w:cs="Arial"/>
          <w:lang w:val="en-US" w:bidi="en-US"/>
        </w:rPr>
        <w:t>, and incorporated by reference herein.</w:t>
      </w:r>
    </w:p>
    <w:p w14:paraId="71F3EC58"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r w:rsidRPr="00E73869">
        <w:rPr>
          <w:rFonts w:ascii="Arial" w:eastAsia="Arial" w:hAnsi="Arial" w:cs="Arial"/>
          <w:lang w:val="en-US" w:bidi="en-US"/>
        </w:rPr>
        <w:t xml:space="preserve">(23) </w:t>
      </w:r>
      <w:r w:rsidRPr="00E73869">
        <w:rPr>
          <w:rFonts w:ascii="Arial" w:eastAsia="Arial" w:hAnsi="Arial" w:cs="Arial"/>
          <w:lang w:val="en-US" w:bidi="en-US"/>
        </w:rPr>
        <w:tab/>
        <w:t>Filed as an Exhibit to the Company’s Form 6-K filed on July 31, 2021</w:t>
      </w:r>
      <w:r w:rsidR="001521ED" w:rsidRPr="00E73869">
        <w:rPr>
          <w:rFonts w:ascii="Arial" w:eastAsia="Arial" w:hAnsi="Arial" w:cs="Arial"/>
          <w:lang w:val="en-US" w:bidi="en-US"/>
        </w:rPr>
        <w:t>, and incorporated by reference herein.</w:t>
      </w:r>
    </w:p>
    <w:p w14:paraId="71F3EC59" w14:textId="77777777" w:rsidR="0075144E" w:rsidRPr="00E73869" w:rsidRDefault="003A4815" w:rsidP="003F7105">
      <w:pPr>
        <w:pBdr>
          <w:top w:val="nil"/>
          <w:left w:val="nil"/>
          <w:bottom w:val="nil"/>
          <w:right w:val="nil"/>
          <w:between w:val="nil"/>
          <w:bar w:val="nil"/>
        </w:pBdr>
        <w:tabs>
          <w:tab w:val="left" w:pos="426"/>
        </w:tabs>
        <w:ind w:left="567" w:hanging="567"/>
        <w:jc w:val="both"/>
        <w:rPr>
          <w:rFonts w:ascii="Arial" w:eastAsia="Arial" w:hAnsi="Arial" w:cs="Arial"/>
          <w:bdr w:val="nil"/>
          <w:lang w:val="en-US"/>
        </w:rPr>
      </w:pPr>
      <w:r w:rsidRPr="00E73869">
        <w:rPr>
          <w:rFonts w:ascii="Arial" w:eastAsia="Arial" w:hAnsi="Arial" w:cs="Arial"/>
          <w:lang w:val="en-US" w:bidi="en-US"/>
        </w:rPr>
        <w:t xml:space="preserve">(24) </w:t>
      </w:r>
      <w:r w:rsidRPr="00E73869">
        <w:rPr>
          <w:rFonts w:ascii="Arial" w:eastAsia="Arial" w:hAnsi="Arial" w:cs="Arial"/>
          <w:lang w:val="en-US" w:bidi="en-US"/>
        </w:rPr>
        <w:tab/>
        <w:t>Filed as an Exhibit to the Company’s Annual Report filed on Form 20-F on March 12, 2021</w:t>
      </w:r>
      <w:r w:rsidR="001521ED" w:rsidRPr="00E73869">
        <w:rPr>
          <w:rFonts w:ascii="Arial" w:eastAsia="Arial" w:hAnsi="Arial" w:cs="Arial"/>
          <w:lang w:val="en-US" w:bidi="en-US"/>
        </w:rPr>
        <w:t>, and incorporated by reference herein</w:t>
      </w:r>
      <w:r w:rsidRPr="00E73869">
        <w:rPr>
          <w:rFonts w:ascii="Arial" w:eastAsia="Arial" w:hAnsi="Arial" w:cs="Arial"/>
          <w:lang w:val="en-US" w:bidi="en-US"/>
        </w:rPr>
        <w:t>.</w:t>
      </w:r>
    </w:p>
    <w:p w14:paraId="71F3EC5A" w14:textId="77777777" w:rsidR="0038617F" w:rsidRPr="00E73869" w:rsidRDefault="003A4815" w:rsidP="0038617F">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r w:rsidRPr="00E73869">
        <w:rPr>
          <w:rFonts w:ascii="Arial" w:eastAsia="Arial" w:hAnsi="Arial" w:cs="Arial"/>
          <w:lang w:val="en-US" w:bidi="en-US"/>
        </w:rPr>
        <w:t xml:space="preserve">(25) </w:t>
      </w:r>
      <w:r w:rsidRPr="00E73869">
        <w:rPr>
          <w:rFonts w:ascii="Arial" w:eastAsia="Arial" w:hAnsi="Arial" w:cs="Arial"/>
          <w:lang w:val="en-US" w:bidi="en-US"/>
        </w:rPr>
        <w:tab/>
        <w:t xml:space="preserve">Filed as an Exhibit to the Company’s Annual Report filed on Form 20-F on April 5, 2024, and incorporated by reference herein. </w:t>
      </w:r>
    </w:p>
    <w:p w14:paraId="71F3EC5B" w14:textId="77777777" w:rsidR="00E93858" w:rsidRPr="00E73869" w:rsidRDefault="003A4815" w:rsidP="0038617F">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r w:rsidRPr="00E73869">
        <w:rPr>
          <w:rFonts w:ascii="Arial" w:eastAsia="Arial" w:hAnsi="Arial" w:cs="Arial"/>
          <w:lang w:val="en-US" w:bidi="en-US"/>
        </w:rPr>
        <w:t>(26)   Filed as an Exhibit to the Company’s Annual Report filed on Form 20-F on March 27, 2023, and incorporated by reference herein.</w:t>
      </w:r>
    </w:p>
    <w:p w14:paraId="71F3EC5C" w14:textId="77777777" w:rsidR="006C5AC6" w:rsidRDefault="003A4815" w:rsidP="0038617F">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r w:rsidRPr="00E73869">
        <w:rPr>
          <w:rFonts w:ascii="Arial" w:eastAsia="Arial" w:hAnsi="Arial" w:cs="Arial"/>
          <w:lang w:val="en-US" w:bidi="en-US"/>
        </w:rPr>
        <w:t>(27)</w:t>
      </w:r>
      <w:r w:rsidRPr="00E73869">
        <w:rPr>
          <w:rFonts w:ascii="Arial" w:eastAsia="Arial" w:hAnsi="Arial" w:cs="Arial"/>
          <w:lang w:val="en-US" w:bidi="en-US"/>
        </w:rPr>
        <w:tab/>
        <w:t xml:space="preserve">  Filed as an Exhibit to the Company’s Form 6-K filed on December 14, 2023, and incorporated by reference herein.</w:t>
      </w:r>
    </w:p>
    <w:p w14:paraId="71F3EC5D" w14:textId="77777777" w:rsidR="00E474D8" w:rsidRPr="00E474D8" w:rsidRDefault="003A4815" w:rsidP="00E474D8">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r w:rsidRPr="00E474D8">
        <w:rPr>
          <w:rFonts w:ascii="Arial" w:eastAsia="Arial" w:hAnsi="Arial" w:cs="Arial"/>
          <w:lang w:val="en-US" w:bidi="en-US"/>
        </w:rPr>
        <w:t>(28)  Filed as an Exhibit to the Company’s Annual Report filed on Form 20-F on March 21, 2025, and incorporated by reference herein.</w:t>
      </w:r>
    </w:p>
    <w:p w14:paraId="71F3EC5E" w14:textId="77777777" w:rsidR="00E474D8" w:rsidRPr="001B68E8" w:rsidRDefault="00E474D8" w:rsidP="0038617F">
      <w:pPr>
        <w:pBdr>
          <w:top w:val="nil"/>
          <w:left w:val="nil"/>
          <w:bottom w:val="nil"/>
          <w:right w:val="nil"/>
          <w:between w:val="nil"/>
          <w:bar w:val="nil"/>
        </w:pBdr>
        <w:tabs>
          <w:tab w:val="left" w:pos="426"/>
        </w:tabs>
        <w:ind w:left="567" w:hanging="567"/>
        <w:jc w:val="both"/>
        <w:rPr>
          <w:rFonts w:ascii="Arial" w:eastAsia="Arial" w:hAnsi="Arial" w:cs="Arial"/>
          <w:bdr w:val="nil"/>
          <w:lang w:val="en-US" w:bidi="en-US"/>
        </w:rPr>
      </w:pPr>
    </w:p>
    <w:p w14:paraId="71F3EC5F" w14:textId="77777777" w:rsidR="0047482A" w:rsidRPr="00DD4374" w:rsidRDefault="003A4815" w:rsidP="00A82ECD">
      <w:pPr>
        <w:keepNext/>
        <w:keepLines/>
        <w:pageBreakBefore/>
        <w:pBdr>
          <w:top w:val="nil"/>
          <w:left w:val="nil"/>
          <w:bottom w:val="nil"/>
          <w:right w:val="nil"/>
          <w:between w:val="nil"/>
          <w:bar w:val="nil"/>
        </w:pBdr>
        <w:jc w:val="center"/>
        <w:rPr>
          <w:rFonts w:ascii="Arial" w:eastAsia="Arial" w:hAnsi="Arial" w:cs="Arial"/>
          <w:bdr w:val="nil"/>
          <w:lang w:val="en-US"/>
        </w:rPr>
      </w:pPr>
      <w:bookmarkStart w:id="364" w:name="RG_MARKER_23039"/>
      <w:r w:rsidRPr="00DD4374">
        <w:rPr>
          <w:rFonts w:ascii="Arial" w:eastAsia="Arial" w:hAnsi="Arial" w:cs="Arial"/>
          <w:b/>
          <w:bCs/>
          <w:lang w:val="en-US" w:bidi="en-US"/>
        </w:rPr>
        <w:t>SIGNATURES</w:t>
      </w:r>
      <w:bookmarkEnd w:id="364"/>
    </w:p>
    <w:p w14:paraId="71F3EC60" w14:textId="77777777" w:rsidR="0047482A" w:rsidRPr="00DD4374" w:rsidRDefault="0047482A" w:rsidP="00A82ECD">
      <w:pPr>
        <w:keepNext/>
        <w:keepLines/>
        <w:pBdr>
          <w:top w:val="nil"/>
          <w:left w:val="nil"/>
          <w:bottom w:val="nil"/>
          <w:right w:val="nil"/>
          <w:between w:val="nil"/>
          <w:bar w:val="nil"/>
        </w:pBdr>
        <w:rPr>
          <w:rFonts w:ascii="Arial" w:eastAsia="Arial" w:hAnsi="Arial" w:cs="Arial"/>
          <w:bdr w:val="nil"/>
          <w:lang w:val="en-US"/>
        </w:rPr>
      </w:pPr>
    </w:p>
    <w:p w14:paraId="71F3EC61" w14:textId="77777777" w:rsidR="0047482A" w:rsidRPr="00DD4374" w:rsidRDefault="003A4815" w:rsidP="00A82ECD">
      <w:pPr>
        <w:keepNext/>
        <w:keepLines/>
        <w:pBdr>
          <w:top w:val="nil"/>
          <w:left w:val="nil"/>
          <w:bottom w:val="nil"/>
          <w:right w:val="nil"/>
          <w:between w:val="nil"/>
          <w:bar w:val="nil"/>
        </w:pBdr>
        <w:rPr>
          <w:rFonts w:ascii="Arial" w:eastAsia="Arial" w:hAnsi="Arial" w:cs="Arial"/>
          <w:bdr w:val="nil"/>
          <w:lang w:val="en-US"/>
        </w:rPr>
      </w:pPr>
      <w:r w:rsidRPr="00DD4374">
        <w:rPr>
          <w:rFonts w:ascii="Arial" w:eastAsia="Arial" w:hAnsi="Arial" w:cs="Arial"/>
          <w:lang w:val="en-US" w:bidi="en-US"/>
        </w:rPr>
        <w:t>The registrant hereby certifies that it meets all of the requirements for filing on Form 20-F and has duly caused and authorized the undersigned to sign this annual report on its behalf.</w:t>
      </w:r>
    </w:p>
    <w:p w14:paraId="71F3EC62" w14:textId="77777777" w:rsidR="0047482A" w:rsidRPr="00DD4374" w:rsidRDefault="0047482A" w:rsidP="00A82ECD">
      <w:pPr>
        <w:keepNext/>
        <w:keepLines/>
        <w:pBdr>
          <w:top w:val="nil"/>
          <w:left w:val="nil"/>
          <w:bottom w:val="nil"/>
          <w:right w:val="nil"/>
          <w:between w:val="nil"/>
          <w:bar w:val="nil"/>
        </w:pBdr>
        <w:rPr>
          <w:rFonts w:ascii="Arial" w:eastAsia="Arial" w:hAnsi="Arial" w:cs="Arial"/>
          <w:bdr w:val="nil"/>
          <w:lang w:val="en-US"/>
        </w:rPr>
      </w:pPr>
    </w:p>
    <w:p w14:paraId="71F3EC63" w14:textId="77777777" w:rsidR="0047482A" w:rsidRPr="00DD4374" w:rsidRDefault="003A4815" w:rsidP="00A82ECD">
      <w:pPr>
        <w:keepNext/>
        <w:keepLines/>
        <w:pBdr>
          <w:top w:val="nil"/>
          <w:left w:val="nil"/>
          <w:bottom w:val="nil"/>
          <w:right w:val="nil"/>
          <w:between w:val="nil"/>
          <w:bar w:val="nil"/>
        </w:pBdr>
        <w:rPr>
          <w:rFonts w:ascii="Arial" w:eastAsia="Arial" w:hAnsi="Arial" w:cs="Arial"/>
          <w:bdr w:val="nil"/>
          <w:lang w:val="en-US"/>
        </w:rPr>
      </w:pPr>
      <w:r w:rsidRPr="00DD4374">
        <w:rPr>
          <w:rFonts w:ascii="Arial" w:eastAsia="Arial" w:hAnsi="Arial" w:cs="Arial"/>
          <w:lang w:val="en-US" w:bidi="en-US"/>
        </w:rPr>
        <w:t>DIANA SHIPPING INC.</w:t>
      </w:r>
    </w:p>
    <w:p w14:paraId="71F3EC64" w14:textId="77777777" w:rsidR="0047482A" w:rsidRPr="00DD4374" w:rsidRDefault="0047482A" w:rsidP="00A82ECD">
      <w:pPr>
        <w:keepNext/>
        <w:keepLines/>
        <w:pBdr>
          <w:top w:val="nil"/>
          <w:left w:val="nil"/>
          <w:bottom w:val="nil"/>
          <w:right w:val="nil"/>
          <w:between w:val="nil"/>
          <w:bar w:val="nil"/>
        </w:pBdr>
        <w:rPr>
          <w:rFonts w:ascii="Arial" w:eastAsia="Arial" w:hAnsi="Arial" w:cs="Arial"/>
          <w:bdr w:val="nil"/>
          <w:lang w:val="en-US"/>
        </w:rPr>
      </w:pPr>
    </w:p>
    <w:p w14:paraId="71F3EC65" w14:textId="77777777" w:rsidR="003171C3" w:rsidRPr="00DD4374" w:rsidRDefault="003A4815" w:rsidP="0036083C">
      <w:pPr>
        <w:pBdr>
          <w:top w:val="nil"/>
          <w:left w:val="nil"/>
          <w:bottom w:val="nil"/>
          <w:right w:val="nil"/>
          <w:between w:val="nil"/>
          <w:bar w:val="nil"/>
        </w:pBdr>
        <w:rPr>
          <w:rFonts w:ascii="Arial" w:eastAsia="Arial" w:hAnsi="Arial" w:cs="Arial"/>
          <w:bdr w:val="nil"/>
          <w:lang w:val="en-US"/>
        </w:rPr>
      </w:pPr>
      <w:r w:rsidRPr="00DD4374">
        <w:rPr>
          <w:rFonts w:ascii="Arial" w:eastAsia="Arial" w:hAnsi="Arial" w:cs="Arial"/>
          <w:lang w:val="en-US" w:bidi="en-US"/>
        </w:rPr>
        <w:t xml:space="preserve">/s/ </w:t>
      </w:r>
      <w:r>
        <w:rPr>
          <w:rFonts w:ascii="Arial" w:eastAsia="Arial" w:hAnsi="Arial" w:cs="Arial"/>
          <w:lang w:val="en-US" w:bidi="en-US"/>
        </w:rPr>
        <w:t>Maria Dede</w:t>
      </w:r>
      <w:r w:rsidRPr="00DD4374">
        <w:rPr>
          <w:rFonts w:ascii="Arial" w:eastAsia="Arial" w:hAnsi="Arial" w:cs="Arial"/>
          <w:lang w:val="en-US" w:bidi="en-US"/>
        </w:rPr>
        <w:t xml:space="preserve"> </w:t>
      </w:r>
    </w:p>
    <w:p w14:paraId="71F3EC66" w14:textId="77777777" w:rsidR="0047482A" w:rsidRPr="00DD4374" w:rsidRDefault="003A4815" w:rsidP="0047482A">
      <w:pPr>
        <w:pBdr>
          <w:top w:val="nil"/>
          <w:left w:val="nil"/>
          <w:bottom w:val="nil"/>
          <w:right w:val="nil"/>
          <w:between w:val="nil"/>
          <w:bar w:val="nil"/>
        </w:pBdr>
        <w:rPr>
          <w:rFonts w:ascii="Arial" w:eastAsia="Arial" w:hAnsi="Arial" w:cs="Arial"/>
          <w:bdr w:val="nil"/>
          <w:lang w:val="en-US"/>
        </w:rPr>
      </w:pPr>
      <w:r>
        <w:rPr>
          <w:rFonts w:ascii="Arial" w:eastAsia="Arial" w:hAnsi="Arial" w:cs="Arial"/>
          <w:lang w:val="en-US" w:bidi="en-US"/>
        </w:rPr>
        <w:t>Maria Dede</w:t>
      </w:r>
    </w:p>
    <w:p w14:paraId="71F3EC67" w14:textId="77777777" w:rsidR="0047482A" w:rsidRPr="00DD4374" w:rsidRDefault="003A4815" w:rsidP="0047482A">
      <w:pPr>
        <w:pBdr>
          <w:top w:val="nil"/>
          <w:left w:val="nil"/>
          <w:bottom w:val="nil"/>
          <w:right w:val="nil"/>
          <w:between w:val="nil"/>
          <w:bar w:val="nil"/>
        </w:pBdr>
        <w:rPr>
          <w:rFonts w:ascii="Arial" w:eastAsia="Arial" w:hAnsi="Arial" w:cs="Arial"/>
          <w:bdr w:val="nil"/>
          <w:lang w:val="en-US"/>
        </w:rPr>
      </w:pPr>
      <w:r>
        <w:rPr>
          <w:rFonts w:ascii="Arial" w:eastAsia="Arial" w:hAnsi="Arial" w:cs="Arial"/>
          <w:lang w:val="en-US" w:bidi="en-US"/>
        </w:rPr>
        <w:t>Co-</w:t>
      </w:r>
      <w:r w:rsidRPr="00DD4374">
        <w:rPr>
          <w:rFonts w:ascii="Arial" w:eastAsia="Arial" w:hAnsi="Arial" w:cs="Arial"/>
          <w:lang w:val="en-US" w:bidi="en-US"/>
        </w:rPr>
        <w:t xml:space="preserve">Chief Financial Officer </w:t>
      </w:r>
      <w:r w:rsidR="007D21F2">
        <w:rPr>
          <w:rFonts w:ascii="Arial" w:eastAsia="Arial" w:hAnsi="Arial" w:cs="Arial"/>
          <w:lang w:val="en-US" w:bidi="en-US"/>
        </w:rPr>
        <w:t>and Treasurer</w:t>
      </w:r>
    </w:p>
    <w:p w14:paraId="71F3EC68" w14:textId="77777777" w:rsidR="00D6318D" w:rsidRPr="00DD4374" w:rsidRDefault="003A4815" w:rsidP="0036083C">
      <w:pPr>
        <w:pBdr>
          <w:top w:val="nil"/>
          <w:left w:val="nil"/>
          <w:bottom w:val="nil"/>
          <w:right w:val="nil"/>
          <w:between w:val="nil"/>
          <w:bar w:val="nil"/>
        </w:pBdr>
        <w:rPr>
          <w:rFonts w:ascii="Arial" w:eastAsia="Arial" w:hAnsi="Arial" w:cs="Arial"/>
          <w:bdr w:val="nil"/>
          <w:lang w:val="en-GB"/>
        </w:rPr>
        <w:sectPr w:rsidR="00D6318D" w:rsidRPr="00DD4374" w:rsidSect="005B4A7F">
          <w:headerReference w:type="even" r:id="rId61"/>
          <w:headerReference w:type="default" r:id="rId62"/>
          <w:footerReference w:type="even" r:id="rId63"/>
          <w:footerReference w:type="default" r:id="rId64"/>
          <w:headerReference w:type="first" r:id="rId65"/>
          <w:footerReference w:type="first" r:id="rId66"/>
          <w:type w:val="continuous"/>
          <w:pgSz w:w="12240" w:h="15840"/>
          <w:pgMar w:top="1134" w:right="1134" w:bottom="1134" w:left="851" w:header="720" w:footer="720" w:gutter="0"/>
          <w:pgBorders>
            <w:top w:val="nil"/>
            <w:left w:val="nil"/>
            <w:bottom w:val="nil"/>
            <w:right w:val="nil"/>
          </w:pgBorders>
          <w:cols w:space="720"/>
          <w:docGrid w:linePitch="360"/>
        </w:sectPr>
      </w:pPr>
      <w:r w:rsidRPr="00DD4374">
        <w:rPr>
          <w:rFonts w:ascii="Arial" w:eastAsia="Arial" w:hAnsi="Arial" w:cs="Arial"/>
          <w:lang w:val="en-GB" w:bidi="en-US"/>
        </w:rPr>
        <w:t>Dated: March 13, 2026</w:t>
      </w:r>
    </w:p>
    <w:p w14:paraId="71F3EC69" w14:textId="77777777" w:rsidR="00566CDA" w:rsidRPr="006462EA" w:rsidRDefault="003A4815" w:rsidP="006462EA">
      <w:pPr>
        <w:pStyle w:val="List"/>
        <w:pageBreakBefore/>
        <w:widowControl/>
        <w:pBdr>
          <w:top w:val="nil"/>
          <w:left w:val="nil"/>
          <w:bottom w:val="nil"/>
          <w:right w:val="nil"/>
          <w:between w:val="nil"/>
          <w:bar w:val="nil"/>
        </w:pBdr>
        <w:ind w:left="0" w:firstLine="0"/>
        <w:jc w:val="center"/>
        <w:rPr>
          <w:rFonts w:ascii="Arial" w:eastAsia="Arial" w:hAnsi="Arial" w:cs="Arial"/>
          <w:sz w:val="22"/>
          <w:szCs w:val="22"/>
          <w:bdr w:val="nil"/>
        </w:rPr>
      </w:pPr>
      <w:bookmarkStart w:id="365" w:name="RG_MARKER_22966"/>
      <w:bookmarkStart w:id="366" w:name="RG_MARKER_23196"/>
      <w:bookmarkStart w:id="367" w:name="RG_MARKER_23172"/>
      <w:r w:rsidRPr="006462EA">
        <w:rPr>
          <w:rFonts w:ascii="Arial" w:eastAsia="Arial" w:hAnsi="Arial" w:cs="Arial"/>
          <w:sz w:val="22"/>
          <w:szCs w:val="22"/>
        </w:rPr>
        <w:t>DIANA SHIPPING INC.</w:t>
      </w:r>
      <w:bookmarkEnd w:id="365"/>
      <w:bookmarkEnd w:id="366"/>
      <w:bookmarkEnd w:id="367"/>
    </w:p>
    <w:p w14:paraId="71F3EC6A" w14:textId="77777777" w:rsidR="00D6224B" w:rsidRPr="006462EA" w:rsidRDefault="00D6224B" w:rsidP="006462EA">
      <w:pPr>
        <w:pBdr>
          <w:top w:val="nil"/>
          <w:left w:val="nil"/>
          <w:bottom w:val="nil"/>
          <w:right w:val="nil"/>
          <w:between w:val="nil"/>
          <w:bar w:val="nil"/>
        </w:pBdr>
        <w:rPr>
          <w:rFonts w:ascii="Arial" w:eastAsia="Arial" w:hAnsi="Arial" w:cs="Arial"/>
          <w:bdr w:val="nil"/>
          <w:lang w:val="en-US"/>
        </w:rPr>
      </w:pPr>
      <w:bookmarkStart w:id="368" w:name="_Toc192061041"/>
      <w:bookmarkStart w:id="369" w:name="_Toc166987988"/>
      <w:bookmarkStart w:id="370" w:name="_Toc94007206"/>
      <w:bookmarkStart w:id="371" w:name="_Toc76454158"/>
    </w:p>
    <w:p w14:paraId="71F3EC6B" w14:textId="77777777" w:rsidR="00566CDA" w:rsidRPr="006462EA" w:rsidRDefault="003A4815" w:rsidP="006462EA">
      <w:pPr>
        <w:pStyle w:val="Heading1"/>
        <w:keepNext w:val="0"/>
        <w:pBdr>
          <w:top w:val="nil"/>
          <w:left w:val="nil"/>
          <w:bottom w:val="nil"/>
          <w:right w:val="nil"/>
          <w:between w:val="nil"/>
          <w:bar w:val="nil"/>
        </w:pBdr>
        <w:spacing w:before="0" w:after="0"/>
        <w:jc w:val="center"/>
        <w:rPr>
          <w:rFonts w:ascii="Arial" w:eastAsia="Arial" w:hAnsi="Arial" w:cs="Arial"/>
          <w:color w:val="auto"/>
          <w:sz w:val="22"/>
          <w:szCs w:val="22"/>
          <w:bdr w:val="nil"/>
          <w:lang w:bidi="en-US"/>
        </w:rPr>
      </w:pPr>
      <w:r w:rsidRPr="006462EA">
        <w:rPr>
          <w:rFonts w:ascii="Arial" w:eastAsia="Arial" w:hAnsi="Arial" w:cs="Arial"/>
          <w:b w:val="0"/>
          <w:bCs w:val="0"/>
          <w:color w:val="auto"/>
          <w:sz w:val="22"/>
          <w:szCs w:val="22"/>
          <w:lang w:bidi="en-US"/>
        </w:rPr>
        <w:t>INDEX TO CONSOLIDATED FINANCIAL STATEMENTS</w:t>
      </w:r>
      <w:bookmarkEnd w:id="368"/>
      <w:bookmarkEnd w:id="369"/>
      <w:bookmarkEnd w:id="370"/>
      <w:bookmarkEnd w:id="371"/>
    </w:p>
    <w:p w14:paraId="71F3EC6C" w14:textId="77777777" w:rsidR="00566CDA" w:rsidRPr="006462EA" w:rsidRDefault="00566CDA" w:rsidP="006462EA">
      <w:pPr>
        <w:pBdr>
          <w:top w:val="nil"/>
          <w:left w:val="nil"/>
          <w:bottom w:val="nil"/>
          <w:right w:val="nil"/>
          <w:between w:val="nil"/>
          <w:bar w:val="nil"/>
        </w:pBdr>
        <w:jc w:val="both"/>
        <w:rPr>
          <w:rStyle w:val="zzmpTrailerItem"/>
          <w:rFonts w:ascii="Arial" w:eastAsia="Arial" w:hAnsi="Arial" w:cs="Arial"/>
          <w:bdr w:val="nil"/>
        </w:rPr>
      </w:pPr>
    </w:p>
    <w:p w14:paraId="71F3EC6D" w14:textId="77777777" w:rsidR="00566CDA" w:rsidRPr="006462EA" w:rsidRDefault="00566CDA" w:rsidP="006462EA">
      <w:pPr>
        <w:pBdr>
          <w:top w:val="nil"/>
          <w:left w:val="nil"/>
          <w:bottom w:val="nil"/>
          <w:right w:val="nil"/>
          <w:between w:val="nil"/>
          <w:bar w:val="nil"/>
        </w:pBdr>
        <w:jc w:val="both"/>
        <w:rPr>
          <w:rFonts w:ascii="Arial" w:eastAsia="Arial" w:hAnsi="Arial" w:cs="Arial"/>
          <w:bdr w:val="nil"/>
          <w:lang w:val="en-US"/>
        </w:rPr>
      </w:pPr>
    </w:p>
    <w:p w14:paraId="71F3EC6E" w14:textId="77777777" w:rsidR="00566CDA" w:rsidRPr="006462EA" w:rsidRDefault="00566CDA" w:rsidP="006462EA">
      <w:pPr>
        <w:pStyle w:val="chartcenter"/>
        <w:pBdr>
          <w:top w:val="nil"/>
          <w:left w:val="nil"/>
          <w:bottom w:val="nil"/>
          <w:right w:val="nil"/>
          <w:between w:val="nil"/>
          <w:bar w:val="nil"/>
        </w:pBdr>
        <w:spacing w:before="0"/>
        <w:jc w:val="both"/>
        <w:rPr>
          <w:rFonts w:ascii="Arial" w:eastAsia="Arial" w:hAnsi="Arial" w:cs="Arial"/>
          <w:szCs w:val="22"/>
          <w:bdr w:val="nil"/>
        </w:rPr>
      </w:pPr>
    </w:p>
    <w:tbl>
      <w:tblPr>
        <w:tblW w:w="5000" w:type="pct"/>
        <w:tblLook w:val="01E0" w:firstRow="1" w:lastRow="1" w:firstColumn="1" w:lastColumn="1" w:noHBand="0" w:noVBand="0"/>
      </w:tblPr>
      <w:tblGrid>
        <w:gridCol w:w="8883"/>
        <w:gridCol w:w="275"/>
        <w:gridCol w:w="1097"/>
      </w:tblGrid>
      <w:tr w:rsidR="00510CAA" w14:paraId="71F3EC72" w14:textId="77777777" w:rsidTr="005F2033">
        <w:trPr>
          <w:cantSplit/>
          <w:trHeight w:val="232"/>
        </w:trPr>
        <w:tc>
          <w:tcPr>
            <w:tcW w:w="4331" w:type="pct"/>
          </w:tcPr>
          <w:p w14:paraId="71F3EC6F" w14:textId="77777777" w:rsidR="00566CDA" w:rsidRPr="006462EA" w:rsidRDefault="00566CDA" w:rsidP="006462EA">
            <w:pPr>
              <w:keepNext/>
              <w:rPr>
                <w:rFonts w:ascii="Arial" w:eastAsia="Arial" w:hAnsi="Arial" w:cs="Arial"/>
                <w:bdr w:val="nil"/>
                <w:lang w:val="en-US" w:eastAsia="el-GR"/>
              </w:rPr>
            </w:pPr>
          </w:p>
        </w:tc>
        <w:tc>
          <w:tcPr>
            <w:tcW w:w="134" w:type="pct"/>
          </w:tcPr>
          <w:p w14:paraId="71F3EC70" w14:textId="77777777" w:rsidR="00566CDA" w:rsidRPr="006462EA" w:rsidRDefault="00566CDA" w:rsidP="006462EA">
            <w:pPr>
              <w:keepNext/>
              <w:rPr>
                <w:rFonts w:ascii="Arial" w:eastAsia="Arial" w:hAnsi="Arial" w:cs="Arial"/>
                <w:bdr w:val="nil"/>
                <w:lang w:val="en-US" w:eastAsia="el-GR"/>
              </w:rPr>
            </w:pPr>
          </w:p>
        </w:tc>
        <w:tc>
          <w:tcPr>
            <w:tcW w:w="535" w:type="pct"/>
            <w:hideMark/>
          </w:tcPr>
          <w:p w14:paraId="71F3EC71" w14:textId="77777777" w:rsidR="00566CDA" w:rsidRPr="006462EA" w:rsidRDefault="003A4815" w:rsidP="006462EA">
            <w:pPr>
              <w:keepNext/>
              <w:pBdr>
                <w:top w:val="nil"/>
                <w:left w:val="nil"/>
                <w:bottom w:val="nil"/>
                <w:right w:val="nil"/>
                <w:between w:val="nil"/>
                <w:bar w:val="nil"/>
              </w:pBdr>
              <w:rPr>
                <w:rFonts w:ascii="Arial" w:eastAsia="Arial" w:hAnsi="Arial" w:cs="Arial"/>
                <w:b/>
                <w:snapToGrid w:val="0"/>
                <w:bdr w:val="nil"/>
                <w:lang w:val="en-US" w:eastAsia="el-GR"/>
              </w:rPr>
            </w:pPr>
            <w:r w:rsidRPr="006462EA">
              <w:rPr>
                <w:rFonts w:ascii="Arial" w:eastAsia="Arial" w:hAnsi="Arial" w:cs="Arial"/>
                <w:snapToGrid w:val="0"/>
                <w:lang w:val="en-US" w:bidi="en-US"/>
              </w:rPr>
              <w:t>Page</w:t>
            </w:r>
          </w:p>
        </w:tc>
      </w:tr>
      <w:tr w:rsidR="00510CAA" w14:paraId="71F3EC76" w14:textId="77777777" w:rsidTr="005F2033">
        <w:trPr>
          <w:cantSplit/>
          <w:trHeight w:hRule="exact" w:val="113"/>
        </w:trPr>
        <w:tc>
          <w:tcPr>
            <w:tcW w:w="4331" w:type="pct"/>
          </w:tcPr>
          <w:p w14:paraId="71F3EC73" w14:textId="77777777" w:rsidR="00566CDA" w:rsidRPr="006462EA" w:rsidRDefault="00566CDA" w:rsidP="006462EA">
            <w:pPr>
              <w:keepNext/>
              <w:rPr>
                <w:rFonts w:ascii="Arial" w:eastAsia="Arial" w:hAnsi="Arial" w:cs="Arial"/>
                <w:bdr w:val="nil"/>
                <w:lang w:val="en-US" w:eastAsia="el-GR"/>
              </w:rPr>
            </w:pPr>
          </w:p>
        </w:tc>
        <w:tc>
          <w:tcPr>
            <w:tcW w:w="134" w:type="pct"/>
          </w:tcPr>
          <w:p w14:paraId="71F3EC74" w14:textId="77777777" w:rsidR="00566CDA" w:rsidRPr="006462EA" w:rsidRDefault="00566CDA" w:rsidP="006462EA">
            <w:pPr>
              <w:keepNext/>
              <w:rPr>
                <w:rFonts w:ascii="Arial" w:eastAsia="Arial" w:hAnsi="Arial" w:cs="Arial"/>
                <w:bdr w:val="nil"/>
                <w:lang w:val="en-US" w:eastAsia="el-GR"/>
              </w:rPr>
            </w:pPr>
          </w:p>
        </w:tc>
        <w:tc>
          <w:tcPr>
            <w:tcW w:w="535" w:type="pct"/>
          </w:tcPr>
          <w:p w14:paraId="71F3EC75" w14:textId="77777777" w:rsidR="00566CDA" w:rsidRPr="006462EA" w:rsidRDefault="00566CDA" w:rsidP="006462EA">
            <w:pPr>
              <w:keepNext/>
              <w:rPr>
                <w:rFonts w:ascii="Arial" w:eastAsia="Arial" w:hAnsi="Arial" w:cs="Arial"/>
                <w:bdr w:val="nil"/>
                <w:lang w:val="en-US" w:eastAsia="el-GR"/>
              </w:rPr>
            </w:pPr>
          </w:p>
        </w:tc>
      </w:tr>
      <w:tr w:rsidR="00510CAA" w14:paraId="71F3EC7A" w14:textId="77777777" w:rsidTr="005F2033">
        <w:trPr>
          <w:cantSplit/>
        </w:trPr>
        <w:tc>
          <w:tcPr>
            <w:tcW w:w="4331" w:type="pct"/>
            <w:hideMark/>
          </w:tcPr>
          <w:p w14:paraId="71F3EC77" w14:textId="77777777" w:rsidR="004C3C24" w:rsidRPr="006462EA" w:rsidRDefault="003A4815" w:rsidP="00663E47">
            <w:pPr>
              <w:keepNext/>
              <w:pBdr>
                <w:top w:val="nil"/>
                <w:left w:val="nil"/>
                <w:bottom w:val="nil"/>
                <w:right w:val="nil"/>
                <w:between w:val="nil"/>
                <w:bar w:val="nil"/>
              </w:pBdr>
              <w:tabs>
                <w:tab w:val="right" w:leader="dot" w:pos="8959"/>
              </w:tabs>
              <w:rPr>
                <w:rFonts w:ascii="Arial" w:eastAsia="Arial" w:hAnsi="Arial" w:cs="Arial"/>
                <w:bdr w:val="nil"/>
                <w:lang w:val="en-US"/>
              </w:rPr>
            </w:pPr>
            <w:r w:rsidRPr="00B808B8">
              <w:rPr>
                <w:rFonts w:ascii="Arial" w:eastAsia="Arial" w:hAnsi="Arial" w:cs="Arial"/>
                <w:lang w:val="en-US" w:bidi="en-US"/>
              </w:rPr>
              <w:t xml:space="preserve">Report of Independent Registered Public Accounting Firm: Deloitte Certified Public Accountants S.A. </w:t>
            </w:r>
            <w:r w:rsidRPr="006462EA">
              <w:rPr>
                <w:rFonts w:ascii="Arial" w:eastAsia="Arial" w:hAnsi="Arial" w:cs="Arial"/>
                <w:lang w:val="en-US" w:bidi="en-US"/>
              </w:rPr>
              <w:t>(PCAOB ID</w:t>
            </w:r>
            <w:r>
              <w:rPr>
                <w:rFonts w:ascii="Arial" w:eastAsia="Arial" w:hAnsi="Arial" w:cs="Arial"/>
                <w:lang w:val="en-US" w:bidi="en-US"/>
              </w:rPr>
              <w:t xml:space="preserve"> No.</w:t>
            </w:r>
            <w:r w:rsidRPr="006462EA">
              <w:rPr>
                <w:rFonts w:ascii="Arial" w:eastAsia="Arial" w:hAnsi="Arial" w:cs="Arial"/>
                <w:lang w:val="en-US" w:bidi="en-US"/>
              </w:rPr>
              <w:t xml:space="preserve"> </w:t>
            </w:r>
            <w:bookmarkStart w:id="372" w:name="XBRL_CS_6bc19555fec24558a53d15a666373d5c"/>
            <w:bookmarkStart w:id="373" w:name="XBRL_CS_0bf109c89351460b9c4af563c072f115"/>
            <w:r>
              <w:rPr>
                <w:rFonts w:ascii="Arial" w:eastAsia="Arial" w:hAnsi="Arial" w:cs="Arial"/>
                <w:lang w:val="en-US" w:bidi="en-US"/>
              </w:rPr>
              <w:t>1163</w:t>
            </w:r>
            <w:bookmarkEnd w:id="372"/>
            <w:bookmarkEnd w:id="373"/>
            <w:r w:rsidRPr="006462EA">
              <w:rPr>
                <w:rFonts w:ascii="Arial" w:eastAsia="Arial" w:hAnsi="Arial" w:cs="Arial"/>
                <w:lang w:val="en-US" w:bidi="en-US"/>
              </w:rPr>
              <w:t>)</w:t>
            </w:r>
            <w:r w:rsidRPr="006462EA">
              <w:rPr>
                <w:rFonts w:ascii="Arial" w:eastAsia="Arial" w:hAnsi="Arial" w:cs="Arial"/>
                <w:lang w:val="en-US" w:bidi="en-US"/>
              </w:rPr>
              <w:tab/>
            </w:r>
          </w:p>
        </w:tc>
        <w:tc>
          <w:tcPr>
            <w:tcW w:w="134" w:type="pct"/>
          </w:tcPr>
          <w:p w14:paraId="71F3EC78" w14:textId="77777777" w:rsidR="004C3C24" w:rsidRPr="006462EA" w:rsidRDefault="004C3C24" w:rsidP="006462EA">
            <w:pPr>
              <w:keepNext/>
              <w:rPr>
                <w:rFonts w:ascii="Arial" w:eastAsia="Arial" w:hAnsi="Arial" w:cs="Arial"/>
                <w:bdr w:val="nil"/>
                <w:lang w:val="en-US"/>
              </w:rPr>
            </w:pPr>
          </w:p>
        </w:tc>
        <w:tc>
          <w:tcPr>
            <w:tcW w:w="535" w:type="pct"/>
            <w:vAlign w:val="bottom"/>
            <w:hideMark/>
          </w:tcPr>
          <w:p w14:paraId="71F3EC79" w14:textId="77777777" w:rsidR="004C3C24" w:rsidRPr="006462EA" w:rsidRDefault="003A4815" w:rsidP="006462EA">
            <w:pPr>
              <w:keepNext/>
              <w:pBdr>
                <w:top w:val="nil"/>
                <w:left w:val="nil"/>
                <w:bottom w:val="nil"/>
                <w:right w:val="nil"/>
                <w:between w:val="nil"/>
                <w:bar w:val="nil"/>
              </w:pBdr>
              <w:rPr>
                <w:rFonts w:ascii="Arial" w:eastAsia="Arial" w:hAnsi="Arial" w:cs="Arial"/>
                <w:bdr w:val="nil"/>
                <w:lang w:val="en-US"/>
              </w:rPr>
            </w:pPr>
            <w:r w:rsidRPr="006462EA">
              <w:rPr>
                <w:rFonts w:ascii="Arial" w:eastAsia="Arial" w:hAnsi="Arial" w:cs="Arial"/>
                <w:lang w:val="en-US" w:bidi="en-US"/>
              </w:rPr>
              <w:t>F-2</w:t>
            </w:r>
          </w:p>
        </w:tc>
      </w:tr>
      <w:tr w:rsidR="00510CAA" w14:paraId="71F3EC7E" w14:textId="77777777" w:rsidTr="005F2033">
        <w:trPr>
          <w:cantSplit/>
          <w:trHeight w:hRule="exact" w:val="113"/>
        </w:trPr>
        <w:tc>
          <w:tcPr>
            <w:tcW w:w="4331" w:type="pct"/>
          </w:tcPr>
          <w:p w14:paraId="71F3EC7B" w14:textId="77777777" w:rsidR="004C3C24" w:rsidRPr="006462EA" w:rsidRDefault="004C3C24" w:rsidP="006462EA">
            <w:pPr>
              <w:keepNext/>
              <w:rPr>
                <w:rFonts w:ascii="Arial" w:eastAsia="Arial" w:hAnsi="Arial" w:cs="Arial"/>
                <w:bdr w:val="nil"/>
                <w:lang w:val="en-US" w:eastAsia="el-GR"/>
              </w:rPr>
            </w:pPr>
          </w:p>
        </w:tc>
        <w:tc>
          <w:tcPr>
            <w:tcW w:w="134" w:type="pct"/>
          </w:tcPr>
          <w:p w14:paraId="71F3EC7C" w14:textId="77777777" w:rsidR="004C3C24" w:rsidRPr="006462EA" w:rsidRDefault="004C3C24" w:rsidP="006462EA">
            <w:pPr>
              <w:keepNext/>
              <w:rPr>
                <w:rFonts w:ascii="Arial" w:eastAsia="Arial" w:hAnsi="Arial" w:cs="Arial"/>
                <w:bdr w:val="nil"/>
                <w:lang w:val="en-US" w:eastAsia="el-GR"/>
              </w:rPr>
            </w:pPr>
          </w:p>
        </w:tc>
        <w:tc>
          <w:tcPr>
            <w:tcW w:w="535" w:type="pct"/>
          </w:tcPr>
          <w:p w14:paraId="71F3EC7D" w14:textId="77777777" w:rsidR="004C3C24" w:rsidRPr="006462EA" w:rsidRDefault="004C3C24" w:rsidP="006462EA">
            <w:pPr>
              <w:keepNext/>
              <w:rPr>
                <w:rFonts w:ascii="Arial" w:eastAsia="Arial" w:hAnsi="Arial" w:cs="Arial"/>
                <w:bdr w:val="nil"/>
                <w:lang w:val="en-US" w:eastAsia="el-GR"/>
              </w:rPr>
            </w:pPr>
          </w:p>
        </w:tc>
      </w:tr>
      <w:tr w:rsidR="00510CAA" w14:paraId="71F3EC82" w14:textId="77777777" w:rsidTr="005F2033">
        <w:trPr>
          <w:cantSplit/>
        </w:trPr>
        <w:tc>
          <w:tcPr>
            <w:tcW w:w="4331" w:type="pct"/>
            <w:hideMark/>
          </w:tcPr>
          <w:p w14:paraId="71F3EC7F" w14:textId="77777777" w:rsidR="004C3C24" w:rsidRPr="006462EA" w:rsidRDefault="003A4815" w:rsidP="006462EA">
            <w:pPr>
              <w:keepNext/>
              <w:pBdr>
                <w:top w:val="nil"/>
                <w:left w:val="nil"/>
                <w:bottom w:val="nil"/>
                <w:right w:val="nil"/>
                <w:between w:val="nil"/>
                <w:bar w:val="nil"/>
              </w:pBdr>
              <w:tabs>
                <w:tab w:val="right" w:leader="dot" w:pos="8959"/>
              </w:tabs>
              <w:rPr>
                <w:rFonts w:ascii="Arial" w:eastAsia="Arial" w:hAnsi="Arial" w:cs="Arial"/>
                <w:bdr w:val="nil"/>
                <w:lang w:val="en-US"/>
              </w:rPr>
            </w:pPr>
            <w:r w:rsidRPr="00B808B8">
              <w:rPr>
                <w:rFonts w:ascii="Arial" w:eastAsia="Arial" w:hAnsi="Arial" w:cs="Arial"/>
                <w:lang w:val="en-US" w:bidi="en-US"/>
              </w:rPr>
              <w:t>Report of Independent Registered Public Accounting Firm on Internal Controls Over Financial Reporting: Deloitte Certified Public Accountants S.A. (PCAOB ID No.1163)</w:t>
            </w:r>
            <w:r w:rsidRPr="006462EA">
              <w:rPr>
                <w:rFonts w:ascii="Arial" w:eastAsia="Arial" w:hAnsi="Arial" w:cs="Arial"/>
                <w:lang w:val="en-US" w:bidi="en-US"/>
              </w:rPr>
              <w:tab/>
            </w:r>
          </w:p>
        </w:tc>
        <w:tc>
          <w:tcPr>
            <w:tcW w:w="134" w:type="pct"/>
          </w:tcPr>
          <w:p w14:paraId="71F3EC80" w14:textId="77777777" w:rsidR="004C3C24" w:rsidRPr="006462EA" w:rsidRDefault="004C3C24" w:rsidP="006462EA">
            <w:pPr>
              <w:keepNext/>
              <w:tabs>
                <w:tab w:val="right" w:leader="dot" w:pos="8959"/>
              </w:tabs>
              <w:rPr>
                <w:rFonts w:ascii="Arial" w:eastAsia="Arial" w:hAnsi="Arial" w:cs="Arial"/>
                <w:bdr w:val="nil"/>
                <w:lang w:val="en-US"/>
              </w:rPr>
            </w:pPr>
          </w:p>
        </w:tc>
        <w:tc>
          <w:tcPr>
            <w:tcW w:w="535" w:type="pct"/>
            <w:vAlign w:val="bottom"/>
            <w:hideMark/>
          </w:tcPr>
          <w:p w14:paraId="71F3EC81" w14:textId="77777777" w:rsidR="004C3C24" w:rsidRPr="006462EA" w:rsidRDefault="003A4815" w:rsidP="006462EA">
            <w:pPr>
              <w:keepNext/>
              <w:pBdr>
                <w:top w:val="nil"/>
                <w:left w:val="nil"/>
                <w:bottom w:val="nil"/>
                <w:right w:val="nil"/>
                <w:between w:val="nil"/>
                <w:bar w:val="nil"/>
              </w:pBdr>
              <w:tabs>
                <w:tab w:val="right" w:leader="dot" w:pos="8959"/>
              </w:tabs>
              <w:rPr>
                <w:rFonts w:ascii="Arial" w:eastAsia="Arial" w:hAnsi="Arial" w:cs="Arial"/>
                <w:bdr w:val="nil"/>
                <w:lang w:val="en-US"/>
              </w:rPr>
            </w:pPr>
            <w:r w:rsidRPr="006462EA">
              <w:rPr>
                <w:rFonts w:ascii="Arial" w:eastAsia="Arial" w:hAnsi="Arial" w:cs="Arial"/>
                <w:lang w:val="en-US" w:bidi="en-US"/>
              </w:rPr>
              <w:t>F-</w:t>
            </w:r>
            <w:r w:rsidR="003475FF">
              <w:rPr>
                <w:rFonts w:ascii="Arial" w:eastAsia="Arial" w:hAnsi="Arial" w:cs="Arial"/>
                <w:lang w:val="en-US" w:bidi="en-US"/>
              </w:rPr>
              <w:t>5</w:t>
            </w:r>
          </w:p>
        </w:tc>
      </w:tr>
      <w:tr w:rsidR="00510CAA" w14:paraId="71F3EC86" w14:textId="77777777" w:rsidTr="005F2033">
        <w:trPr>
          <w:cantSplit/>
          <w:trHeight w:hRule="exact" w:val="113"/>
        </w:trPr>
        <w:tc>
          <w:tcPr>
            <w:tcW w:w="4331" w:type="pct"/>
          </w:tcPr>
          <w:p w14:paraId="71F3EC83" w14:textId="77777777" w:rsidR="004C3C24" w:rsidRPr="006462EA" w:rsidRDefault="004C3C24" w:rsidP="006462EA">
            <w:pPr>
              <w:keepNext/>
              <w:ind w:right="-120"/>
              <w:rPr>
                <w:rFonts w:ascii="Arial" w:eastAsia="Arial" w:hAnsi="Arial" w:cs="Arial"/>
                <w:bdr w:val="nil"/>
                <w:lang w:val="en-US" w:eastAsia="el-GR"/>
              </w:rPr>
            </w:pPr>
          </w:p>
        </w:tc>
        <w:tc>
          <w:tcPr>
            <w:tcW w:w="134" w:type="pct"/>
          </w:tcPr>
          <w:p w14:paraId="71F3EC84" w14:textId="77777777" w:rsidR="004C3C24" w:rsidRPr="006462EA" w:rsidRDefault="004C3C24" w:rsidP="006462EA">
            <w:pPr>
              <w:keepNext/>
              <w:rPr>
                <w:rFonts w:ascii="Arial" w:eastAsia="Arial" w:hAnsi="Arial" w:cs="Arial"/>
                <w:bdr w:val="nil"/>
                <w:lang w:val="en-US" w:eastAsia="el-GR"/>
              </w:rPr>
            </w:pPr>
          </w:p>
        </w:tc>
        <w:tc>
          <w:tcPr>
            <w:tcW w:w="535" w:type="pct"/>
          </w:tcPr>
          <w:p w14:paraId="71F3EC85" w14:textId="77777777" w:rsidR="004C3C24" w:rsidRPr="006462EA" w:rsidRDefault="004C3C24" w:rsidP="006462EA">
            <w:pPr>
              <w:keepNext/>
              <w:rPr>
                <w:rFonts w:ascii="Arial" w:eastAsia="Arial" w:hAnsi="Arial" w:cs="Arial"/>
                <w:bdr w:val="nil"/>
                <w:lang w:val="en-US" w:eastAsia="el-GR"/>
              </w:rPr>
            </w:pPr>
          </w:p>
        </w:tc>
      </w:tr>
      <w:tr w:rsidR="00510CAA" w14:paraId="71F3EC8A" w14:textId="77777777" w:rsidTr="00B808B8">
        <w:trPr>
          <w:cantSplit/>
          <w:trHeight w:hRule="exact" w:val="567"/>
        </w:trPr>
        <w:tc>
          <w:tcPr>
            <w:tcW w:w="4331" w:type="pct"/>
          </w:tcPr>
          <w:p w14:paraId="71F3EC87" w14:textId="77777777" w:rsidR="00B808B8" w:rsidRPr="006462EA" w:rsidRDefault="003A4815" w:rsidP="00663E47">
            <w:pPr>
              <w:keepNext/>
              <w:pBdr>
                <w:top w:val="nil"/>
                <w:left w:val="nil"/>
                <w:bottom w:val="nil"/>
                <w:right w:val="nil"/>
                <w:between w:val="nil"/>
                <w:bar w:val="nil"/>
              </w:pBdr>
              <w:tabs>
                <w:tab w:val="right" w:leader="dot" w:pos="8959"/>
              </w:tabs>
              <w:ind w:right="-119"/>
              <w:rPr>
                <w:rFonts w:ascii="Arial" w:eastAsia="Arial" w:hAnsi="Arial" w:cs="Arial"/>
                <w:bdr w:val="nil"/>
                <w:lang w:val="en-US" w:eastAsia="el-GR"/>
              </w:rPr>
            </w:pPr>
            <w:r w:rsidRPr="00B808B8">
              <w:rPr>
                <w:rFonts w:ascii="Arial" w:eastAsia="Arial" w:hAnsi="Arial" w:cs="Arial"/>
                <w:lang w:val="en-US" w:bidi="en-US"/>
              </w:rPr>
              <w:t>Report of Independent Registered Public Accounting Firm: Ernst &amp; Young (Hellas) Certified Auditors Accountants S.A. (PCAOB ID No.</w:t>
            </w:r>
            <w:bookmarkStart w:id="374" w:name="XBRL_CS_1698488d8b86467298787eb4037cff49"/>
            <w:r w:rsidRPr="00B808B8">
              <w:rPr>
                <w:rFonts w:ascii="Arial" w:eastAsia="Arial" w:hAnsi="Arial" w:cs="Arial"/>
                <w:lang w:val="en-US" w:bidi="en-US"/>
              </w:rPr>
              <w:t>1457</w:t>
            </w:r>
            <w:bookmarkEnd w:id="374"/>
            <w:r>
              <w:rPr>
                <w:rFonts w:ascii="Arial" w:eastAsia="Arial" w:hAnsi="Arial" w:cs="Arial"/>
                <w:lang w:val="en-US" w:bidi="en-US"/>
              </w:rPr>
              <w:t>)</w:t>
            </w:r>
            <w:r w:rsidRPr="006462EA">
              <w:rPr>
                <w:rFonts w:ascii="Arial" w:eastAsia="Arial" w:hAnsi="Arial" w:cs="Arial"/>
                <w:lang w:val="en-US" w:bidi="en-US"/>
              </w:rPr>
              <w:tab/>
            </w:r>
          </w:p>
        </w:tc>
        <w:tc>
          <w:tcPr>
            <w:tcW w:w="134" w:type="pct"/>
          </w:tcPr>
          <w:p w14:paraId="71F3EC88" w14:textId="77777777" w:rsidR="00B808B8" w:rsidRPr="006462EA" w:rsidRDefault="00B808B8" w:rsidP="00B808B8">
            <w:pPr>
              <w:keepNext/>
              <w:rPr>
                <w:rFonts w:ascii="Arial" w:eastAsia="Arial" w:hAnsi="Arial" w:cs="Arial"/>
                <w:bdr w:val="nil"/>
                <w:lang w:val="en-US" w:eastAsia="el-GR"/>
              </w:rPr>
            </w:pPr>
          </w:p>
        </w:tc>
        <w:tc>
          <w:tcPr>
            <w:tcW w:w="535" w:type="pct"/>
            <w:vAlign w:val="bottom"/>
          </w:tcPr>
          <w:p w14:paraId="71F3EC89"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bidi="en-US"/>
              </w:rPr>
              <w:t>F-</w:t>
            </w:r>
            <w:r w:rsidR="003475FF">
              <w:rPr>
                <w:rFonts w:ascii="Arial" w:eastAsia="Arial" w:hAnsi="Arial" w:cs="Arial"/>
                <w:lang w:val="en-US" w:bidi="en-US"/>
              </w:rPr>
              <w:t>7</w:t>
            </w:r>
          </w:p>
        </w:tc>
      </w:tr>
      <w:tr w:rsidR="00510CAA" w14:paraId="71F3EC8E" w14:textId="77777777" w:rsidTr="005F2033">
        <w:trPr>
          <w:cantSplit/>
          <w:trHeight w:hRule="exact" w:val="113"/>
        </w:trPr>
        <w:tc>
          <w:tcPr>
            <w:tcW w:w="4331" w:type="pct"/>
          </w:tcPr>
          <w:p w14:paraId="71F3EC8B" w14:textId="77777777" w:rsidR="00B808B8" w:rsidRPr="006462EA" w:rsidRDefault="00B808B8" w:rsidP="00B808B8">
            <w:pPr>
              <w:keepNext/>
              <w:ind w:right="-120"/>
              <w:rPr>
                <w:rFonts w:ascii="Arial" w:eastAsia="Arial" w:hAnsi="Arial" w:cs="Arial"/>
                <w:bdr w:val="nil"/>
                <w:lang w:val="en-US" w:eastAsia="el-GR"/>
              </w:rPr>
            </w:pPr>
          </w:p>
        </w:tc>
        <w:tc>
          <w:tcPr>
            <w:tcW w:w="134" w:type="pct"/>
          </w:tcPr>
          <w:p w14:paraId="71F3EC8C" w14:textId="77777777" w:rsidR="00B808B8" w:rsidRPr="006462EA" w:rsidRDefault="00B808B8" w:rsidP="00B808B8">
            <w:pPr>
              <w:keepNext/>
              <w:rPr>
                <w:rFonts w:ascii="Arial" w:eastAsia="Arial" w:hAnsi="Arial" w:cs="Arial"/>
                <w:bdr w:val="nil"/>
                <w:lang w:val="en-US" w:eastAsia="el-GR"/>
              </w:rPr>
            </w:pPr>
          </w:p>
        </w:tc>
        <w:tc>
          <w:tcPr>
            <w:tcW w:w="535" w:type="pct"/>
          </w:tcPr>
          <w:p w14:paraId="71F3EC8D" w14:textId="77777777" w:rsidR="00B808B8" w:rsidRPr="006462EA" w:rsidRDefault="00B808B8" w:rsidP="00B808B8">
            <w:pPr>
              <w:keepNext/>
              <w:rPr>
                <w:rFonts w:ascii="Arial" w:eastAsia="Arial" w:hAnsi="Arial" w:cs="Arial"/>
                <w:bdr w:val="nil"/>
                <w:lang w:val="en-US" w:eastAsia="el-GR"/>
              </w:rPr>
            </w:pPr>
          </w:p>
        </w:tc>
      </w:tr>
      <w:tr w:rsidR="00510CAA" w14:paraId="71F3EC92" w14:textId="77777777" w:rsidTr="005F2033">
        <w:trPr>
          <w:cantSplit/>
        </w:trPr>
        <w:tc>
          <w:tcPr>
            <w:tcW w:w="4331" w:type="pct"/>
            <w:hideMark/>
          </w:tcPr>
          <w:p w14:paraId="71F3EC8F" w14:textId="77777777" w:rsidR="00B808B8" w:rsidRPr="006462EA" w:rsidRDefault="003A4815" w:rsidP="00B808B8">
            <w:pPr>
              <w:keepNext/>
              <w:pBdr>
                <w:top w:val="nil"/>
                <w:left w:val="nil"/>
                <w:bottom w:val="nil"/>
                <w:right w:val="nil"/>
                <w:between w:val="nil"/>
                <w:bar w:val="nil"/>
              </w:pBdr>
              <w:tabs>
                <w:tab w:val="right" w:leader="dot" w:pos="8931"/>
              </w:tabs>
              <w:rPr>
                <w:rFonts w:ascii="Arial" w:eastAsia="Arial" w:hAnsi="Arial" w:cs="Arial"/>
                <w:bdr w:val="nil"/>
                <w:lang w:val="en-US"/>
              </w:rPr>
            </w:pPr>
            <w:r w:rsidRPr="006462EA">
              <w:rPr>
                <w:rFonts w:ascii="Arial" w:eastAsia="Arial" w:hAnsi="Arial" w:cs="Arial"/>
                <w:lang w:val="en-US" w:bidi="en-US"/>
              </w:rPr>
              <w:t xml:space="preserve">Consolidated Balance Sheets as of December 31, 2025 and 2024 </w:t>
            </w:r>
            <w:r w:rsidRPr="006462EA">
              <w:rPr>
                <w:rFonts w:ascii="Arial" w:eastAsia="Arial" w:hAnsi="Arial" w:cs="Arial"/>
                <w:lang w:val="en-US" w:bidi="en-US"/>
              </w:rPr>
              <w:tab/>
            </w:r>
          </w:p>
        </w:tc>
        <w:tc>
          <w:tcPr>
            <w:tcW w:w="134" w:type="pct"/>
          </w:tcPr>
          <w:p w14:paraId="71F3EC90" w14:textId="77777777" w:rsidR="00B808B8" w:rsidRPr="006462EA" w:rsidRDefault="00B808B8" w:rsidP="00B808B8">
            <w:pPr>
              <w:keepNext/>
              <w:tabs>
                <w:tab w:val="right" w:leader="dot" w:pos="8959"/>
              </w:tabs>
              <w:rPr>
                <w:rFonts w:ascii="Arial" w:eastAsia="Arial" w:hAnsi="Arial" w:cs="Arial"/>
                <w:bdr w:val="nil"/>
                <w:lang w:val="en-US"/>
              </w:rPr>
            </w:pPr>
          </w:p>
        </w:tc>
        <w:tc>
          <w:tcPr>
            <w:tcW w:w="535" w:type="pct"/>
            <w:vAlign w:val="bottom"/>
            <w:hideMark/>
          </w:tcPr>
          <w:p w14:paraId="71F3EC91"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rPr>
            </w:pPr>
            <w:r w:rsidRPr="006462EA">
              <w:rPr>
                <w:rFonts w:ascii="Arial" w:eastAsia="Arial" w:hAnsi="Arial" w:cs="Arial"/>
                <w:lang w:val="en-US" w:bidi="en-US"/>
              </w:rPr>
              <w:t>F-</w:t>
            </w:r>
            <w:r w:rsidR="003475FF">
              <w:rPr>
                <w:rFonts w:ascii="Arial" w:eastAsia="Arial" w:hAnsi="Arial" w:cs="Arial"/>
                <w:lang w:val="en-US" w:bidi="en-US"/>
              </w:rPr>
              <w:t>8</w:t>
            </w:r>
          </w:p>
        </w:tc>
      </w:tr>
      <w:tr w:rsidR="00510CAA" w14:paraId="71F3EC96" w14:textId="77777777" w:rsidTr="005F2033">
        <w:trPr>
          <w:cantSplit/>
          <w:trHeight w:hRule="exact" w:val="113"/>
        </w:trPr>
        <w:tc>
          <w:tcPr>
            <w:tcW w:w="4331" w:type="pct"/>
          </w:tcPr>
          <w:p w14:paraId="71F3EC93" w14:textId="77777777" w:rsidR="00B808B8" w:rsidRPr="006462EA" w:rsidRDefault="00B808B8" w:rsidP="00B808B8">
            <w:pPr>
              <w:keepNext/>
              <w:rPr>
                <w:rFonts w:ascii="Arial" w:eastAsia="Arial" w:hAnsi="Arial" w:cs="Arial"/>
                <w:bdr w:val="nil"/>
                <w:lang w:val="en-US" w:eastAsia="el-GR"/>
              </w:rPr>
            </w:pPr>
          </w:p>
        </w:tc>
        <w:tc>
          <w:tcPr>
            <w:tcW w:w="134" w:type="pct"/>
          </w:tcPr>
          <w:p w14:paraId="71F3EC94" w14:textId="77777777" w:rsidR="00B808B8" w:rsidRPr="006462EA" w:rsidRDefault="00B808B8" w:rsidP="00B808B8">
            <w:pPr>
              <w:keepNext/>
              <w:rPr>
                <w:rFonts w:ascii="Arial" w:eastAsia="Arial" w:hAnsi="Arial" w:cs="Arial"/>
                <w:bdr w:val="nil"/>
                <w:lang w:val="en-US" w:eastAsia="el-GR"/>
              </w:rPr>
            </w:pPr>
          </w:p>
        </w:tc>
        <w:tc>
          <w:tcPr>
            <w:tcW w:w="535" w:type="pct"/>
          </w:tcPr>
          <w:p w14:paraId="71F3EC95" w14:textId="77777777" w:rsidR="00B808B8" w:rsidRPr="006462EA" w:rsidRDefault="00B808B8" w:rsidP="00B808B8">
            <w:pPr>
              <w:keepNext/>
              <w:rPr>
                <w:rFonts w:ascii="Arial" w:eastAsia="Arial" w:hAnsi="Arial" w:cs="Arial"/>
                <w:bdr w:val="nil"/>
                <w:lang w:val="en-US" w:eastAsia="el-GR"/>
              </w:rPr>
            </w:pPr>
          </w:p>
        </w:tc>
      </w:tr>
      <w:tr w:rsidR="00510CAA" w14:paraId="71F3EC9A" w14:textId="77777777" w:rsidTr="005F2033">
        <w:trPr>
          <w:cantSplit/>
          <w:trHeight w:val="255"/>
        </w:trPr>
        <w:tc>
          <w:tcPr>
            <w:tcW w:w="4331" w:type="pct"/>
            <w:hideMark/>
          </w:tcPr>
          <w:p w14:paraId="71F3EC97"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eastAsia="el-GR"/>
              </w:rPr>
            </w:pPr>
            <w:r w:rsidRPr="006462EA">
              <w:rPr>
                <w:rFonts w:ascii="Arial" w:eastAsia="Arial" w:hAnsi="Arial" w:cs="Arial"/>
                <w:lang w:val="en-US" w:bidi="en-US"/>
              </w:rPr>
              <w:t xml:space="preserve">Consolidated Statements of </w:t>
            </w:r>
            <w:r>
              <w:rPr>
                <w:rFonts w:ascii="Arial" w:eastAsia="Arial" w:hAnsi="Arial" w:cs="Arial"/>
                <w:lang w:val="en-US" w:bidi="en-US"/>
              </w:rPr>
              <w:t>Income</w:t>
            </w:r>
            <w:r w:rsidRPr="006462EA">
              <w:rPr>
                <w:rFonts w:ascii="Arial" w:eastAsia="Arial" w:hAnsi="Arial" w:cs="Arial"/>
                <w:lang w:val="en-US" w:bidi="en-US"/>
              </w:rPr>
              <w:t xml:space="preserve"> for the years ended December 31, 2025, 2024 and 2023</w:t>
            </w:r>
            <w:r w:rsidRPr="006462EA">
              <w:rPr>
                <w:rFonts w:ascii="Arial" w:eastAsia="Arial" w:hAnsi="Arial" w:cs="Arial"/>
                <w:lang w:val="en-US" w:bidi="en-US"/>
              </w:rPr>
              <w:tab/>
            </w:r>
          </w:p>
        </w:tc>
        <w:tc>
          <w:tcPr>
            <w:tcW w:w="134" w:type="pct"/>
          </w:tcPr>
          <w:p w14:paraId="71F3EC98" w14:textId="77777777" w:rsidR="00B808B8" w:rsidRPr="006462EA" w:rsidRDefault="00B808B8" w:rsidP="00B808B8">
            <w:pPr>
              <w:keepNext/>
              <w:rPr>
                <w:rFonts w:ascii="Arial" w:eastAsia="Arial" w:hAnsi="Arial" w:cs="Arial"/>
                <w:bdr w:val="nil"/>
                <w:lang w:val="en-US" w:eastAsia="el-GR"/>
              </w:rPr>
            </w:pPr>
          </w:p>
        </w:tc>
        <w:tc>
          <w:tcPr>
            <w:tcW w:w="535" w:type="pct"/>
            <w:vAlign w:val="bottom"/>
            <w:hideMark/>
          </w:tcPr>
          <w:p w14:paraId="71F3EC99"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eastAsia="el-GR" w:bidi="en-US"/>
              </w:rPr>
              <w:t>F-</w:t>
            </w:r>
            <w:r w:rsidR="003475FF">
              <w:rPr>
                <w:rFonts w:ascii="Arial" w:eastAsia="Arial" w:hAnsi="Arial" w:cs="Arial"/>
                <w:lang w:val="en-US" w:eastAsia="el-GR" w:bidi="en-US"/>
              </w:rPr>
              <w:t>9</w:t>
            </w:r>
          </w:p>
        </w:tc>
      </w:tr>
      <w:tr w:rsidR="00510CAA" w14:paraId="71F3EC9E" w14:textId="77777777" w:rsidTr="005F2033">
        <w:trPr>
          <w:cantSplit/>
          <w:trHeight w:hRule="exact" w:val="113"/>
        </w:trPr>
        <w:tc>
          <w:tcPr>
            <w:tcW w:w="4331" w:type="pct"/>
          </w:tcPr>
          <w:p w14:paraId="71F3EC9B" w14:textId="77777777" w:rsidR="00B808B8" w:rsidRPr="006462EA" w:rsidRDefault="00B808B8" w:rsidP="00B808B8">
            <w:pPr>
              <w:keepNext/>
              <w:rPr>
                <w:rFonts w:ascii="Arial" w:eastAsia="Arial" w:hAnsi="Arial" w:cs="Arial"/>
                <w:bdr w:val="nil"/>
                <w:lang w:val="en-US" w:eastAsia="el-GR"/>
              </w:rPr>
            </w:pPr>
          </w:p>
        </w:tc>
        <w:tc>
          <w:tcPr>
            <w:tcW w:w="134" w:type="pct"/>
          </w:tcPr>
          <w:p w14:paraId="71F3EC9C" w14:textId="77777777" w:rsidR="00B808B8" w:rsidRPr="006462EA" w:rsidRDefault="00B808B8" w:rsidP="00B808B8">
            <w:pPr>
              <w:keepNext/>
              <w:rPr>
                <w:rFonts w:ascii="Arial" w:eastAsia="Arial" w:hAnsi="Arial" w:cs="Arial"/>
                <w:bdr w:val="nil"/>
                <w:lang w:val="en-US" w:eastAsia="el-GR"/>
              </w:rPr>
            </w:pPr>
          </w:p>
        </w:tc>
        <w:tc>
          <w:tcPr>
            <w:tcW w:w="535" w:type="pct"/>
          </w:tcPr>
          <w:p w14:paraId="71F3EC9D" w14:textId="77777777" w:rsidR="00B808B8" w:rsidRPr="006462EA" w:rsidRDefault="00B808B8" w:rsidP="00B808B8">
            <w:pPr>
              <w:keepNext/>
              <w:rPr>
                <w:rFonts w:ascii="Arial" w:eastAsia="Arial" w:hAnsi="Arial" w:cs="Arial"/>
                <w:bdr w:val="nil"/>
                <w:lang w:val="en-US" w:eastAsia="el-GR"/>
              </w:rPr>
            </w:pPr>
          </w:p>
        </w:tc>
      </w:tr>
      <w:tr w:rsidR="00510CAA" w14:paraId="71F3ECA2" w14:textId="77777777" w:rsidTr="005F2033">
        <w:trPr>
          <w:cantSplit/>
          <w:trHeight w:val="255"/>
        </w:trPr>
        <w:tc>
          <w:tcPr>
            <w:tcW w:w="4331" w:type="pct"/>
            <w:hideMark/>
          </w:tcPr>
          <w:p w14:paraId="71F3EC9F"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eastAsia="el-GR"/>
              </w:rPr>
            </w:pPr>
            <w:r w:rsidRPr="006462EA">
              <w:rPr>
                <w:rFonts w:ascii="Arial" w:eastAsia="Arial" w:hAnsi="Arial" w:cs="Arial"/>
                <w:lang w:val="en-US" w:bidi="en-US"/>
              </w:rPr>
              <w:t>Consolidated Statements of Comprehensive Income for the years ended December 31, 2025, 2024 and 2023</w:t>
            </w:r>
            <w:r w:rsidRPr="006462EA">
              <w:rPr>
                <w:rFonts w:ascii="Arial" w:eastAsia="Arial" w:hAnsi="Arial" w:cs="Arial"/>
                <w:lang w:val="en-US" w:bidi="en-US"/>
              </w:rPr>
              <w:tab/>
            </w:r>
          </w:p>
        </w:tc>
        <w:tc>
          <w:tcPr>
            <w:tcW w:w="134" w:type="pct"/>
          </w:tcPr>
          <w:p w14:paraId="71F3ECA0" w14:textId="77777777" w:rsidR="00B808B8" w:rsidRPr="006462EA" w:rsidRDefault="00B808B8" w:rsidP="00B808B8">
            <w:pPr>
              <w:keepNext/>
              <w:rPr>
                <w:rFonts w:ascii="Arial" w:eastAsia="Arial" w:hAnsi="Arial" w:cs="Arial"/>
                <w:bdr w:val="nil"/>
                <w:lang w:val="en-US" w:eastAsia="el-GR"/>
              </w:rPr>
            </w:pPr>
          </w:p>
        </w:tc>
        <w:tc>
          <w:tcPr>
            <w:tcW w:w="535" w:type="pct"/>
            <w:vAlign w:val="bottom"/>
            <w:hideMark/>
          </w:tcPr>
          <w:p w14:paraId="71F3ECA1"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eastAsia="el-GR" w:bidi="en-US"/>
              </w:rPr>
              <w:t>F-</w:t>
            </w:r>
            <w:r w:rsidR="003475FF">
              <w:rPr>
                <w:rFonts w:ascii="Arial" w:eastAsia="Arial" w:hAnsi="Arial" w:cs="Arial"/>
                <w:lang w:val="en-US" w:eastAsia="el-GR" w:bidi="en-US"/>
              </w:rPr>
              <w:t>10</w:t>
            </w:r>
          </w:p>
        </w:tc>
      </w:tr>
      <w:tr w:rsidR="00510CAA" w14:paraId="71F3ECA6" w14:textId="77777777" w:rsidTr="005F2033">
        <w:trPr>
          <w:cantSplit/>
          <w:trHeight w:hRule="exact" w:val="113"/>
        </w:trPr>
        <w:tc>
          <w:tcPr>
            <w:tcW w:w="4331" w:type="pct"/>
          </w:tcPr>
          <w:p w14:paraId="71F3ECA3" w14:textId="77777777" w:rsidR="00B808B8" w:rsidRPr="006462EA" w:rsidRDefault="00B808B8" w:rsidP="00B808B8">
            <w:pPr>
              <w:keepNext/>
              <w:rPr>
                <w:rFonts w:ascii="Arial" w:eastAsia="Arial" w:hAnsi="Arial" w:cs="Arial"/>
                <w:bdr w:val="nil"/>
                <w:lang w:val="en-US" w:eastAsia="el-GR"/>
              </w:rPr>
            </w:pPr>
          </w:p>
        </w:tc>
        <w:tc>
          <w:tcPr>
            <w:tcW w:w="134" w:type="pct"/>
          </w:tcPr>
          <w:p w14:paraId="71F3ECA4" w14:textId="77777777" w:rsidR="00B808B8" w:rsidRPr="006462EA" w:rsidRDefault="00B808B8" w:rsidP="00B808B8">
            <w:pPr>
              <w:keepNext/>
              <w:rPr>
                <w:rFonts w:ascii="Arial" w:eastAsia="Arial" w:hAnsi="Arial" w:cs="Arial"/>
                <w:bdr w:val="nil"/>
                <w:lang w:val="en-US" w:eastAsia="el-GR"/>
              </w:rPr>
            </w:pPr>
          </w:p>
        </w:tc>
        <w:tc>
          <w:tcPr>
            <w:tcW w:w="535" w:type="pct"/>
          </w:tcPr>
          <w:p w14:paraId="71F3ECA5" w14:textId="77777777" w:rsidR="00B808B8" w:rsidRPr="006462EA" w:rsidRDefault="00B808B8" w:rsidP="00B808B8">
            <w:pPr>
              <w:keepNext/>
              <w:rPr>
                <w:rFonts w:ascii="Arial" w:eastAsia="Arial" w:hAnsi="Arial" w:cs="Arial"/>
                <w:bdr w:val="nil"/>
                <w:lang w:val="en-US" w:eastAsia="el-GR"/>
              </w:rPr>
            </w:pPr>
          </w:p>
        </w:tc>
      </w:tr>
      <w:tr w:rsidR="00510CAA" w14:paraId="71F3ECAA" w14:textId="77777777" w:rsidTr="005F2033">
        <w:trPr>
          <w:cantSplit/>
        </w:trPr>
        <w:tc>
          <w:tcPr>
            <w:tcW w:w="4331" w:type="pct"/>
            <w:hideMark/>
          </w:tcPr>
          <w:p w14:paraId="71F3ECA7"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eastAsia="el-GR"/>
              </w:rPr>
            </w:pPr>
            <w:r w:rsidRPr="006462EA">
              <w:rPr>
                <w:rFonts w:ascii="Arial" w:eastAsia="Arial" w:hAnsi="Arial" w:cs="Arial"/>
                <w:lang w:val="en-US" w:bidi="en-US"/>
              </w:rPr>
              <w:t>Consolidated Statements of Stockholders' Equity for the years ended December 31, 2025, 2024 and 2023</w:t>
            </w:r>
            <w:r w:rsidRPr="006462EA">
              <w:rPr>
                <w:rFonts w:ascii="Arial" w:eastAsia="Arial" w:hAnsi="Arial" w:cs="Arial"/>
                <w:lang w:val="en-US" w:bidi="en-US"/>
              </w:rPr>
              <w:tab/>
            </w:r>
          </w:p>
        </w:tc>
        <w:tc>
          <w:tcPr>
            <w:tcW w:w="134" w:type="pct"/>
          </w:tcPr>
          <w:p w14:paraId="71F3ECA8" w14:textId="77777777" w:rsidR="00B808B8" w:rsidRPr="006462EA" w:rsidRDefault="00B808B8" w:rsidP="00B808B8">
            <w:pPr>
              <w:keepNext/>
              <w:rPr>
                <w:rFonts w:ascii="Arial" w:eastAsia="Arial" w:hAnsi="Arial" w:cs="Arial"/>
                <w:bdr w:val="nil"/>
                <w:lang w:val="en-US" w:eastAsia="el-GR"/>
              </w:rPr>
            </w:pPr>
          </w:p>
        </w:tc>
        <w:tc>
          <w:tcPr>
            <w:tcW w:w="535" w:type="pct"/>
            <w:vAlign w:val="bottom"/>
            <w:hideMark/>
          </w:tcPr>
          <w:p w14:paraId="71F3ECA9"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eastAsia="el-GR" w:bidi="en-US"/>
              </w:rPr>
              <w:t>F-</w:t>
            </w:r>
            <w:r w:rsidR="003475FF">
              <w:rPr>
                <w:rFonts w:ascii="Arial" w:eastAsia="Arial" w:hAnsi="Arial" w:cs="Arial"/>
                <w:lang w:val="en-US" w:eastAsia="el-GR" w:bidi="en-US"/>
              </w:rPr>
              <w:t>11</w:t>
            </w:r>
          </w:p>
        </w:tc>
      </w:tr>
      <w:tr w:rsidR="00510CAA" w14:paraId="71F3ECAE" w14:textId="77777777" w:rsidTr="005F2033">
        <w:trPr>
          <w:cantSplit/>
          <w:trHeight w:hRule="exact" w:val="113"/>
        </w:trPr>
        <w:tc>
          <w:tcPr>
            <w:tcW w:w="4331" w:type="pct"/>
          </w:tcPr>
          <w:p w14:paraId="71F3ECAB" w14:textId="77777777" w:rsidR="00B808B8" w:rsidRPr="006462EA" w:rsidRDefault="00B808B8" w:rsidP="00B808B8">
            <w:pPr>
              <w:keepNext/>
              <w:rPr>
                <w:rFonts w:ascii="Arial" w:eastAsia="Arial" w:hAnsi="Arial" w:cs="Arial"/>
                <w:bdr w:val="nil"/>
                <w:lang w:val="en-US" w:eastAsia="el-GR"/>
              </w:rPr>
            </w:pPr>
          </w:p>
        </w:tc>
        <w:tc>
          <w:tcPr>
            <w:tcW w:w="134" w:type="pct"/>
          </w:tcPr>
          <w:p w14:paraId="71F3ECAC" w14:textId="77777777" w:rsidR="00B808B8" w:rsidRPr="006462EA" w:rsidRDefault="00B808B8" w:rsidP="00B808B8">
            <w:pPr>
              <w:keepNext/>
              <w:rPr>
                <w:rFonts w:ascii="Arial" w:eastAsia="Arial" w:hAnsi="Arial" w:cs="Arial"/>
                <w:bdr w:val="nil"/>
                <w:lang w:val="en-US" w:eastAsia="el-GR"/>
              </w:rPr>
            </w:pPr>
          </w:p>
        </w:tc>
        <w:tc>
          <w:tcPr>
            <w:tcW w:w="535" w:type="pct"/>
          </w:tcPr>
          <w:p w14:paraId="71F3ECAD" w14:textId="77777777" w:rsidR="00B808B8" w:rsidRPr="006462EA" w:rsidRDefault="00B808B8" w:rsidP="00B808B8">
            <w:pPr>
              <w:keepNext/>
              <w:rPr>
                <w:rFonts w:ascii="Arial" w:eastAsia="Arial" w:hAnsi="Arial" w:cs="Arial"/>
                <w:bdr w:val="nil"/>
                <w:lang w:val="en-US" w:eastAsia="el-GR"/>
              </w:rPr>
            </w:pPr>
          </w:p>
        </w:tc>
      </w:tr>
      <w:tr w:rsidR="00510CAA" w14:paraId="71F3ECB2" w14:textId="77777777" w:rsidTr="005F2033">
        <w:trPr>
          <w:cantSplit/>
        </w:trPr>
        <w:tc>
          <w:tcPr>
            <w:tcW w:w="4331" w:type="pct"/>
            <w:hideMark/>
          </w:tcPr>
          <w:p w14:paraId="71F3ECAF"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eastAsia="el-GR"/>
              </w:rPr>
            </w:pPr>
            <w:r w:rsidRPr="006462EA">
              <w:rPr>
                <w:rFonts w:ascii="Arial" w:eastAsia="Arial" w:hAnsi="Arial" w:cs="Arial"/>
                <w:lang w:val="en-US" w:bidi="en-US"/>
              </w:rPr>
              <w:t>Consolidated Statements of Cash Flows for the years ended December 31, 2025, 2024 and 2023</w:t>
            </w:r>
            <w:r w:rsidRPr="006462EA">
              <w:rPr>
                <w:rFonts w:ascii="Arial" w:eastAsia="Arial" w:hAnsi="Arial" w:cs="Arial"/>
                <w:lang w:val="en-US" w:bidi="en-US"/>
              </w:rPr>
              <w:tab/>
            </w:r>
          </w:p>
        </w:tc>
        <w:tc>
          <w:tcPr>
            <w:tcW w:w="134" w:type="pct"/>
          </w:tcPr>
          <w:p w14:paraId="71F3ECB0" w14:textId="77777777" w:rsidR="00B808B8" w:rsidRPr="006462EA" w:rsidRDefault="00B808B8" w:rsidP="00B808B8">
            <w:pPr>
              <w:keepNext/>
              <w:rPr>
                <w:rFonts w:ascii="Arial" w:eastAsia="Arial" w:hAnsi="Arial" w:cs="Arial"/>
                <w:bdr w:val="nil"/>
                <w:lang w:val="en-US" w:eastAsia="el-GR"/>
              </w:rPr>
            </w:pPr>
          </w:p>
        </w:tc>
        <w:tc>
          <w:tcPr>
            <w:tcW w:w="535" w:type="pct"/>
          </w:tcPr>
          <w:p w14:paraId="71F3ECB1"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eastAsia="el-GR" w:bidi="en-US"/>
              </w:rPr>
              <w:t>F-1</w:t>
            </w:r>
            <w:r w:rsidR="003475FF">
              <w:rPr>
                <w:rFonts w:ascii="Arial" w:eastAsia="Arial" w:hAnsi="Arial" w:cs="Arial"/>
                <w:lang w:val="en-US" w:eastAsia="el-GR" w:bidi="en-US"/>
              </w:rPr>
              <w:t>3</w:t>
            </w:r>
          </w:p>
        </w:tc>
      </w:tr>
      <w:tr w:rsidR="00510CAA" w14:paraId="71F3ECB6" w14:textId="77777777" w:rsidTr="005F2033">
        <w:trPr>
          <w:cantSplit/>
          <w:trHeight w:hRule="exact" w:val="113"/>
        </w:trPr>
        <w:tc>
          <w:tcPr>
            <w:tcW w:w="4331" w:type="pct"/>
          </w:tcPr>
          <w:p w14:paraId="71F3ECB3" w14:textId="77777777" w:rsidR="00B808B8" w:rsidRPr="006462EA" w:rsidRDefault="00B808B8" w:rsidP="00B808B8">
            <w:pPr>
              <w:keepNext/>
              <w:rPr>
                <w:rFonts w:ascii="Arial" w:eastAsia="Arial" w:hAnsi="Arial" w:cs="Arial"/>
                <w:bdr w:val="nil"/>
                <w:lang w:val="en-US" w:eastAsia="el-GR"/>
              </w:rPr>
            </w:pPr>
          </w:p>
        </w:tc>
        <w:tc>
          <w:tcPr>
            <w:tcW w:w="134" w:type="pct"/>
          </w:tcPr>
          <w:p w14:paraId="71F3ECB4" w14:textId="77777777" w:rsidR="00B808B8" w:rsidRPr="006462EA" w:rsidRDefault="00B808B8" w:rsidP="00B808B8">
            <w:pPr>
              <w:keepNext/>
              <w:rPr>
                <w:rFonts w:ascii="Arial" w:eastAsia="Arial" w:hAnsi="Arial" w:cs="Arial"/>
                <w:bdr w:val="nil"/>
                <w:lang w:val="en-US" w:eastAsia="el-GR"/>
              </w:rPr>
            </w:pPr>
          </w:p>
        </w:tc>
        <w:tc>
          <w:tcPr>
            <w:tcW w:w="535" w:type="pct"/>
          </w:tcPr>
          <w:p w14:paraId="71F3ECB5" w14:textId="77777777" w:rsidR="00B808B8" w:rsidRPr="006462EA" w:rsidRDefault="00B808B8" w:rsidP="00B808B8">
            <w:pPr>
              <w:keepNext/>
              <w:rPr>
                <w:rFonts w:ascii="Arial" w:eastAsia="Arial" w:hAnsi="Arial" w:cs="Arial"/>
                <w:bdr w:val="nil"/>
                <w:lang w:val="en-US" w:eastAsia="el-GR"/>
              </w:rPr>
            </w:pPr>
          </w:p>
        </w:tc>
      </w:tr>
      <w:tr w:rsidR="00510CAA" w14:paraId="71F3ECBA" w14:textId="77777777" w:rsidTr="005F2033">
        <w:trPr>
          <w:cantSplit/>
        </w:trPr>
        <w:tc>
          <w:tcPr>
            <w:tcW w:w="4331" w:type="pct"/>
            <w:hideMark/>
          </w:tcPr>
          <w:p w14:paraId="71F3ECB7" w14:textId="77777777" w:rsidR="00B808B8" w:rsidRPr="006462EA" w:rsidRDefault="003A4815" w:rsidP="00B808B8">
            <w:pPr>
              <w:keepNext/>
              <w:pBdr>
                <w:top w:val="nil"/>
                <w:left w:val="nil"/>
                <w:bottom w:val="nil"/>
                <w:right w:val="nil"/>
                <w:between w:val="nil"/>
                <w:bar w:val="nil"/>
              </w:pBdr>
              <w:tabs>
                <w:tab w:val="right" w:leader="dot" w:pos="8959"/>
              </w:tabs>
              <w:rPr>
                <w:rFonts w:ascii="Arial" w:eastAsia="Arial" w:hAnsi="Arial" w:cs="Arial"/>
                <w:bdr w:val="nil"/>
                <w:lang w:val="en-US" w:eastAsia="el-GR"/>
              </w:rPr>
            </w:pPr>
            <w:r w:rsidRPr="006462EA">
              <w:rPr>
                <w:rFonts w:ascii="Arial" w:eastAsia="Arial" w:hAnsi="Arial" w:cs="Arial"/>
                <w:lang w:val="en-US" w:bidi="en-US"/>
              </w:rPr>
              <w:t>Notes to Consolidated Financial Statements</w:t>
            </w:r>
            <w:r w:rsidRPr="006462EA">
              <w:rPr>
                <w:rFonts w:ascii="Arial" w:eastAsia="Arial" w:hAnsi="Arial" w:cs="Arial"/>
                <w:lang w:val="en-US" w:bidi="en-US"/>
              </w:rPr>
              <w:tab/>
            </w:r>
          </w:p>
        </w:tc>
        <w:tc>
          <w:tcPr>
            <w:tcW w:w="134" w:type="pct"/>
          </w:tcPr>
          <w:p w14:paraId="71F3ECB8" w14:textId="77777777" w:rsidR="00B808B8" w:rsidRPr="006462EA" w:rsidRDefault="00B808B8" w:rsidP="00B808B8">
            <w:pPr>
              <w:keepNext/>
              <w:rPr>
                <w:rFonts w:ascii="Arial" w:eastAsia="Arial" w:hAnsi="Arial" w:cs="Arial"/>
                <w:bdr w:val="nil"/>
                <w:lang w:val="en-US" w:eastAsia="el-GR"/>
              </w:rPr>
            </w:pPr>
          </w:p>
        </w:tc>
        <w:tc>
          <w:tcPr>
            <w:tcW w:w="535" w:type="pct"/>
          </w:tcPr>
          <w:p w14:paraId="71F3ECB9" w14:textId="77777777" w:rsidR="00B808B8" w:rsidRPr="006462EA" w:rsidRDefault="003A4815" w:rsidP="00B808B8">
            <w:pPr>
              <w:keepNext/>
              <w:pBdr>
                <w:top w:val="nil"/>
                <w:left w:val="nil"/>
                <w:bottom w:val="nil"/>
                <w:right w:val="nil"/>
                <w:between w:val="nil"/>
                <w:bar w:val="nil"/>
              </w:pBdr>
              <w:rPr>
                <w:rFonts w:ascii="Arial" w:eastAsia="Arial" w:hAnsi="Arial" w:cs="Arial"/>
                <w:bdr w:val="nil"/>
                <w:lang w:val="en-US" w:eastAsia="el-GR"/>
              </w:rPr>
            </w:pPr>
            <w:r w:rsidRPr="006462EA">
              <w:rPr>
                <w:rFonts w:ascii="Arial" w:eastAsia="Arial" w:hAnsi="Arial" w:cs="Arial"/>
                <w:lang w:val="en-US" w:eastAsia="el-GR" w:bidi="en-US"/>
              </w:rPr>
              <w:t>F-1</w:t>
            </w:r>
            <w:r w:rsidR="003475FF">
              <w:rPr>
                <w:rFonts w:ascii="Arial" w:eastAsia="Arial" w:hAnsi="Arial" w:cs="Arial"/>
                <w:lang w:val="en-US" w:eastAsia="el-GR" w:bidi="en-US"/>
              </w:rPr>
              <w:t>5</w:t>
            </w:r>
          </w:p>
        </w:tc>
      </w:tr>
      <w:tr w:rsidR="00510CAA" w14:paraId="71F3ECBE" w14:textId="77777777" w:rsidTr="005F2033">
        <w:trPr>
          <w:cantSplit/>
          <w:trHeight w:hRule="exact" w:val="113"/>
        </w:trPr>
        <w:tc>
          <w:tcPr>
            <w:tcW w:w="4331" w:type="pct"/>
          </w:tcPr>
          <w:p w14:paraId="71F3ECBB" w14:textId="77777777" w:rsidR="00B808B8" w:rsidRPr="006462EA" w:rsidRDefault="00B808B8" w:rsidP="00B808B8">
            <w:pPr>
              <w:keepNext/>
              <w:rPr>
                <w:rFonts w:ascii="Arial" w:eastAsia="Arial" w:hAnsi="Arial" w:cs="Arial"/>
                <w:bdr w:val="nil"/>
                <w:lang w:val="en-US" w:eastAsia="el-GR"/>
              </w:rPr>
            </w:pPr>
          </w:p>
        </w:tc>
        <w:tc>
          <w:tcPr>
            <w:tcW w:w="134" w:type="pct"/>
          </w:tcPr>
          <w:p w14:paraId="71F3ECBC" w14:textId="77777777" w:rsidR="00B808B8" w:rsidRPr="006462EA" w:rsidRDefault="00B808B8" w:rsidP="00B808B8">
            <w:pPr>
              <w:keepNext/>
              <w:rPr>
                <w:rFonts w:ascii="Arial" w:eastAsia="Arial" w:hAnsi="Arial" w:cs="Arial"/>
                <w:bdr w:val="nil"/>
                <w:lang w:val="en-US" w:eastAsia="el-GR"/>
              </w:rPr>
            </w:pPr>
          </w:p>
        </w:tc>
        <w:tc>
          <w:tcPr>
            <w:tcW w:w="535" w:type="pct"/>
          </w:tcPr>
          <w:p w14:paraId="71F3ECBD" w14:textId="77777777" w:rsidR="00B808B8" w:rsidRPr="006462EA" w:rsidRDefault="00B808B8" w:rsidP="00B808B8">
            <w:pPr>
              <w:keepNext/>
              <w:rPr>
                <w:rFonts w:ascii="Arial" w:eastAsia="Arial" w:hAnsi="Arial" w:cs="Arial"/>
                <w:bdr w:val="nil"/>
                <w:lang w:val="en-US" w:eastAsia="el-GR"/>
              </w:rPr>
            </w:pPr>
          </w:p>
        </w:tc>
      </w:tr>
      <w:tr w:rsidR="00510CAA" w14:paraId="71F3ECC2" w14:textId="77777777" w:rsidTr="005F2033">
        <w:trPr>
          <w:cantSplit/>
        </w:trPr>
        <w:tc>
          <w:tcPr>
            <w:tcW w:w="4331" w:type="pct"/>
          </w:tcPr>
          <w:p w14:paraId="71F3ECBF" w14:textId="77777777" w:rsidR="00B808B8" w:rsidRPr="006462EA" w:rsidRDefault="00B808B8" w:rsidP="00B808B8">
            <w:pPr>
              <w:keepNext/>
              <w:rPr>
                <w:rFonts w:ascii="Arial" w:eastAsia="Arial" w:hAnsi="Arial" w:cs="Arial"/>
                <w:bdr w:val="nil"/>
                <w:lang w:val="en-US" w:eastAsia="el-GR"/>
              </w:rPr>
            </w:pPr>
          </w:p>
        </w:tc>
        <w:tc>
          <w:tcPr>
            <w:tcW w:w="134" w:type="pct"/>
          </w:tcPr>
          <w:p w14:paraId="71F3ECC0" w14:textId="77777777" w:rsidR="00B808B8" w:rsidRPr="006462EA" w:rsidRDefault="00B808B8" w:rsidP="00B808B8">
            <w:pPr>
              <w:keepNext/>
              <w:rPr>
                <w:rFonts w:ascii="Arial" w:eastAsia="Arial" w:hAnsi="Arial" w:cs="Arial"/>
                <w:bdr w:val="nil"/>
                <w:lang w:val="en-US" w:eastAsia="el-GR"/>
              </w:rPr>
            </w:pPr>
          </w:p>
        </w:tc>
        <w:tc>
          <w:tcPr>
            <w:tcW w:w="535" w:type="pct"/>
          </w:tcPr>
          <w:p w14:paraId="71F3ECC1" w14:textId="77777777" w:rsidR="00B808B8" w:rsidRPr="006462EA" w:rsidRDefault="00B808B8" w:rsidP="00B808B8">
            <w:pPr>
              <w:keepNext/>
              <w:rPr>
                <w:rFonts w:ascii="Arial" w:eastAsia="Arial" w:hAnsi="Arial" w:cs="Arial"/>
                <w:bdr w:val="nil"/>
                <w:lang w:val="en-US" w:eastAsia="el-GR"/>
              </w:rPr>
            </w:pPr>
          </w:p>
        </w:tc>
      </w:tr>
    </w:tbl>
    <w:p w14:paraId="71F3ECC3" w14:textId="77777777" w:rsidR="00BD3814" w:rsidRPr="00633D20" w:rsidRDefault="00BD3814" w:rsidP="00BD3814">
      <w:pPr>
        <w:pageBreakBefore/>
        <w:pBdr>
          <w:top w:val="nil"/>
          <w:left w:val="nil"/>
          <w:bottom w:val="nil"/>
          <w:right w:val="nil"/>
          <w:between w:val="nil"/>
          <w:bar w:val="nil"/>
        </w:pBdr>
        <w:spacing w:line="240" w:lineRule="atLeast"/>
        <w:rPr>
          <w:rFonts w:ascii="Arial" w:eastAsia="Arial" w:hAnsi="Arial" w:cs="Arial"/>
          <w:b/>
          <w:bCs/>
          <w:color w:val="000000"/>
          <w:kern w:val="24"/>
          <w:szCs w:val="20"/>
          <w:highlight w:val="white"/>
          <w:bdr w:val="nil"/>
          <w:lang w:val="en-US"/>
        </w:rPr>
      </w:pPr>
      <w:bookmarkStart w:id="375" w:name="RG_MARKER_22965"/>
      <w:bookmarkEnd w:id="375"/>
    </w:p>
    <w:p w14:paraId="71F3ECC4"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b/>
          <w:bCs/>
          <w:color w:val="000000"/>
          <w:kern w:val="24"/>
          <w:szCs w:val="20"/>
          <w:highlight w:val="white"/>
          <w:bdr w:val="nil"/>
          <w:lang w:val="en-US"/>
        </w:rPr>
      </w:pPr>
      <w:r w:rsidRPr="00633D20">
        <w:rPr>
          <w:rFonts w:ascii="Arial" w:eastAsia="Arial" w:hAnsi="Arial" w:cs="Arial"/>
          <w:b/>
          <w:bCs/>
          <w:color w:val="000000"/>
          <w:kern w:val="24"/>
          <w:szCs w:val="20"/>
          <w:highlight w:val="white"/>
          <w:lang w:val="en-US"/>
        </w:rPr>
        <w:t>Report of Independent Registered Public Accounting Firm</w:t>
      </w:r>
    </w:p>
    <w:p w14:paraId="71F3ECC5"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C6"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kern w:val="2"/>
          <w:szCs w:val="24"/>
          <w:bdr w:val="nil"/>
          <w:lang w:val="en-GB"/>
        </w:rPr>
      </w:pPr>
      <w:r w:rsidRPr="00633D20">
        <w:rPr>
          <w:rFonts w:ascii="Arial" w:eastAsia="Arial" w:hAnsi="Arial" w:cs="Arial"/>
          <w:color w:val="000000"/>
          <w:kern w:val="24"/>
          <w:szCs w:val="24"/>
          <w:highlight w:val="white"/>
          <w:lang w:val="en-US"/>
        </w:rPr>
        <w:t xml:space="preserve">To the </w:t>
      </w:r>
      <w:r w:rsidRPr="00633D20">
        <w:rPr>
          <w:rFonts w:ascii="Arial" w:eastAsia="Arial" w:hAnsi="Arial" w:cs="Arial"/>
          <w:color w:val="000000"/>
          <w:kern w:val="24"/>
          <w:szCs w:val="20"/>
          <w:highlight w:val="white"/>
          <w:lang w:val="en-US"/>
        </w:rPr>
        <w:t>Shareholders</w:t>
      </w:r>
      <w:r w:rsidRPr="00633D20">
        <w:rPr>
          <w:rFonts w:ascii="Arial" w:eastAsia="Arial" w:hAnsi="Arial" w:cs="Arial"/>
          <w:color w:val="000000"/>
          <w:kern w:val="24"/>
          <w:szCs w:val="24"/>
          <w:highlight w:val="white"/>
          <w:lang w:val="en-US"/>
        </w:rPr>
        <w:t xml:space="preserve"> and the Board of Directors of </w:t>
      </w:r>
      <w:r w:rsidRPr="00633D20">
        <w:rPr>
          <w:rFonts w:ascii="Arial" w:eastAsia="Arial" w:hAnsi="Arial" w:cs="Arial"/>
          <w:color w:val="000000"/>
          <w:kern w:val="24"/>
          <w:szCs w:val="20"/>
          <w:highlight w:val="white"/>
          <w:lang w:val="en-US"/>
        </w:rPr>
        <w:t xml:space="preserve">Diana Shipping Inc. </w:t>
      </w:r>
    </w:p>
    <w:p w14:paraId="71F3ECC7"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GB"/>
        </w:rPr>
      </w:pPr>
      <w:r w:rsidRPr="00633D20">
        <w:rPr>
          <w:rFonts w:ascii="Arial" w:eastAsia="Arial" w:hAnsi="Arial" w:cs="Arial"/>
          <w:color w:val="000000"/>
          <w:kern w:val="24"/>
          <w:szCs w:val="20"/>
          <w:highlight w:val="white"/>
          <w:lang w:val="en-US"/>
        </w:rPr>
        <w:t xml:space="preserve">  </w:t>
      </w:r>
    </w:p>
    <w:p w14:paraId="71F3ECC8"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b/>
          <w:color w:val="000000"/>
          <w:kern w:val="24"/>
          <w:szCs w:val="24"/>
          <w:highlight w:val="white"/>
          <w:bdr w:val="nil"/>
          <w:lang w:val="en-US"/>
        </w:rPr>
      </w:pPr>
      <w:r w:rsidRPr="00633D20">
        <w:rPr>
          <w:rFonts w:ascii="Arial" w:eastAsia="Arial" w:hAnsi="Arial" w:cs="Arial"/>
          <w:b/>
          <w:color w:val="000000"/>
          <w:kern w:val="24"/>
          <w:szCs w:val="24"/>
          <w:highlight w:val="white"/>
          <w:lang w:val="en-US"/>
        </w:rPr>
        <w:t>Opinion on the Financial Statements</w:t>
      </w:r>
    </w:p>
    <w:p w14:paraId="71F3ECC9"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GB"/>
        </w:rPr>
      </w:pPr>
      <w:r w:rsidRPr="00633D20">
        <w:rPr>
          <w:rFonts w:ascii="Arial" w:eastAsia="Arial" w:hAnsi="Arial" w:cs="Arial"/>
          <w:color w:val="000000"/>
          <w:kern w:val="24"/>
          <w:szCs w:val="20"/>
          <w:highlight w:val="white"/>
          <w:lang w:val="en-US"/>
        </w:rPr>
        <w:t xml:space="preserve"> </w:t>
      </w:r>
    </w:p>
    <w:p w14:paraId="71F3ECCA"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color w:val="000000"/>
          <w:kern w:val="24"/>
          <w:szCs w:val="24"/>
          <w:bdr w:val="nil"/>
          <w:lang w:val="en-US"/>
        </w:rPr>
      </w:pPr>
      <w:r w:rsidRPr="00633D20">
        <w:rPr>
          <w:rFonts w:ascii="Arial" w:eastAsia="Arial" w:hAnsi="Arial" w:cs="Arial"/>
          <w:color w:val="000000"/>
          <w:kern w:val="24"/>
          <w:szCs w:val="24"/>
          <w:lang w:val="en-US"/>
        </w:rPr>
        <w:t>We have audited the accompanying consolidated balance sheet</w:t>
      </w:r>
      <w:r w:rsidR="00A1332F"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of </w:t>
      </w:r>
      <w:r w:rsidRPr="00633D20">
        <w:rPr>
          <w:rFonts w:ascii="Arial" w:eastAsia="Arial" w:hAnsi="Arial" w:cs="Arial"/>
          <w:color w:val="000000"/>
          <w:kern w:val="24"/>
          <w:szCs w:val="20"/>
          <w:lang w:val="en-US"/>
        </w:rPr>
        <w:t xml:space="preserve">Diana Shipping Inc. </w:t>
      </w:r>
      <w:r w:rsidRPr="00633D20">
        <w:rPr>
          <w:rFonts w:ascii="Arial" w:eastAsia="Arial" w:hAnsi="Arial" w:cs="Arial"/>
          <w:color w:val="000000"/>
          <w:kern w:val="24"/>
          <w:szCs w:val="24"/>
          <w:lang w:val="en-US"/>
        </w:rPr>
        <w:t xml:space="preserve">and subsidiaries (the “Company”) as of December 31, </w:t>
      </w:r>
      <w:r w:rsidR="000634CE" w:rsidRPr="00633D20">
        <w:rPr>
          <w:rFonts w:ascii="Arial" w:eastAsia="Arial" w:hAnsi="Arial" w:cs="Arial"/>
          <w:color w:val="000000"/>
          <w:kern w:val="24"/>
          <w:szCs w:val="20"/>
          <w:lang w:val="en-US"/>
        </w:rPr>
        <w:t>2025</w:t>
      </w:r>
      <w:r w:rsidR="00363310" w:rsidRPr="00633D20">
        <w:rPr>
          <w:rFonts w:ascii="Arial" w:eastAsia="Arial" w:hAnsi="Arial" w:cs="Arial"/>
          <w:color w:val="000000"/>
          <w:kern w:val="24"/>
          <w:szCs w:val="24"/>
          <w:lang w:val="en-US"/>
        </w:rPr>
        <w:t xml:space="preserve"> and </w:t>
      </w:r>
      <w:r w:rsidR="00770638" w:rsidRPr="00633D20">
        <w:rPr>
          <w:rFonts w:ascii="Arial" w:eastAsia="Arial" w:hAnsi="Arial" w:cs="Arial"/>
          <w:color w:val="000000"/>
          <w:kern w:val="24"/>
          <w:szCs w:val="20"/>
          <w:lang w:val="en-US"/>
        </w:rPr>
        <w:t>2024</w:t>
      </w:r>
      <w:r w:rsidRPr="00633D20">
        <w:rPr>
          <w:rFonts w:ascii="Arial" w:eastAsia="Arial" w:hAnsi="Arial" w:cs="Arial"/>
          <w:color w:val="000000"/>
          <w:kern w:val="24"/>
          <w:szCs w:val="24"/>
          <w:lang w:val="en-US"/>
        </w:rPr>
        <w:t>, the related consolidated statement</w:t>
      </w:r>
      <w:r w:rsidR="0032486C"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w:t>
      </w:r>
      <w:r w:rsidRPr="00633D20">
        <w:rPr>
          <w:rFonts w:ascii="Arial" w:eastAsia="Arial" w:hAnsi="Arial" w:cs="Arial"/>
          <w:color w:val="000000"/>
          <w:kern w:val="24"/>
          <w:szCs w:val="20"/>
          <w:lang w:val="en-US"/>
        </w:rPr>
        <w:t>of</w:t>
      </w:r>
      <w:r w:rsidRPr="00633D20">
        <w:rPr>
          <w:rFonts w:ascii="Arial" w:eastAsia="Arial" w:hAnsi="Arial" w:cs="Arial"/>
          <w:color w:val="000000"/>
          <w:kern w:val="24"/>
          <w:szCs w:val="24"/>
          <w:lang w:val="en-US"/>
        </w:rPr>
        <w:t xml:space="preserve"> income, comprehensive income, </w:t>
      </w:r>
      <w:r w:rsidRPr="00633D20">
        <w:rPr>
          <w:rFonts w:ascii="Arial" w:eastAsia="Arial" w:hAnsi="Arial" w:cs="Arial"/>
          <w:color w:val="000000"/>
          <w:kern w:val="24"/>
          <w:szCs w:val="20"/>
          <w:lang w:val="en-US"/>
        </w:rPr>
        <w:t>stockholders’</w:t>
      </w:r>
      <w:r w:rsidRPr="00633D20">
        <w:rPr>
          <w:rFonts w:ascii="Arial" w:eastAsia="Arial" w:hAnsi="Arial" w:cs="Arial"/>
          <w:color w:val="000000"/>
          <w:kern w:val="24"/>
          <w:szCs w:val="24"/>
          <w:lang w:val="en-US"/>
        </w:rPr>
        <w:t xml:space="preserve"> equity, and cash flows</w:t>
      </w:r>
      <w:r w:rsidRPr="00633D20">
        <w:rPr>
          <w:rFonts w:ascii="Arial" w:eastAsia="Arial" w:hAnsi="Arial" w:cs="Arial"/>
          <w:color w:val="000000"/>
          <w:kern w:val="24"/>
          <w:szCs w:val="20"/>
          <w:lang w:val="en-US"/>
        </w:rPr>
        <w:t>,</w:t>
      </w:r>
      <w:r w:rsidRPr="00633D20">
        <w:rPr>
          <w:rFonts w:ascii="Arial" w:eastAsia="Arial" w:hAnsi="Arial" w:cs="Arial"/>
          <w:color w:val="000000"/>
          <w:kern w:val="24"/>
          <w:szCs w:val="24"/>
          <w:lang w:val="en-US"/>
        </w:rPr>
        <w:t xml:space="preserve"> for </w:t>
      </w:r>
      <w:r w:rsidR="0032486C" w:rsidRPr="00633D20">
        <w:rPr>
          <w:rFonts w:ascii="Arial" w:eastAsia="Arial" w:hAnsi="Arial" w:cs="Arial"/>
          <w:color w:val="000000"/>
          <w:kern w:val="24"/>
          <w:szCs w:val="24"/>
          <w:lang w:val="en-US"/>
        </w:rPr>
        <w:t xml:space="preserve">each of the </w:t>
      </w:r>
      <w:r w:rsidR="0032486C" w:rsidRPr="00633D20">
        <w:rPr>
          <w:rFonts w:ascii="Arial" w:eastAsia="Arial" w:hAnsi="Arial" w:cs="Arial"/>
          <w:color w:val="000000"/>
          <w:kern w:val="24"/>
          <w:szCs w:val="20"/>
          <w:lang w:val="en-US"/>
        </w:rPr>
        <w:t>two</w:t>
      </w:r>
      <w:r w:rsidR="0032486C" w:rsidRPr="00633D20">
        <w:rPr>
          <w:rFonts w:ascii="Arial" w:eastAsia="Arial" w:hAnsi="Arial" w:cs="Arial"/>
          <w:color w:val="000000"/>
          <w:kern w:val="24"/>
          <w:szCs w:val="24"/>
          <w:lang w:val="en-US"/>
        </w:rPr>
        <w:t xml:space="preserve"> years in the period </w:t>
      </w:r>
      <w:r w:rsidRPr="00633D20">
        <w:rPr>
          <w:rFonts w:ascii="Arial" w:eastAsia="Arial" w:hAnsi="Arial" w:cs="Arial"/>
          <w:color w:val="000000"/>
          <w:kern w:val="24"/>
          <w:szCs w:val="24"/>
          <w:lang w:val="en-US"/>
        </w:rPr>
        <w:t xml:space="preserve">ended December 31, </w:t>
      </w:r>
      <w:r w:rsidR="000634CE" w:rsidRPr="00633D20">
        <w:rPr>
          <w:rFonts w:ascii="Arial" w:eastAsia="Arial" w:hAnsi="Arial" w:cs="Arial"/>
          <w:color w:val="000000"/>
          <w:kern w:val="24"/>
          <w:szCs w:val="20"/>
          <w:lang w:val="en-US"/>
        </w:rPr>
        <w:t>2025</w:t>
      </w:r>
      <w:r w:rsidRPr="00633D20">
        <w:rPr>
          <w:rFonts w:ascii="Arial" w:eastAsia="Arial" w:hAnsi="Arial" w:cs="Arial"/>
          <w:color w:val="000000"/>
          <w:kern w:val="24"/>
          <w:szCs w:val="24"/>
          <w:lang w:val="en-US"/>
        </w:rPr>
        <w:t xml:space="preserve">, and the related notes (collectively referred to as the “financial statements”). </w:t>
      </w:r>
      <w:r w:rsidRPr="00633D20">
        <w:rPr>
          <w:rFonts w:ascii="Arial" w:eastAsia="Arial" w:hAnsi="Arial" w:cs="Arial"/>
          <w:color w:val="000000"/>
          <w:kern w:val="24"/>
          <w:szCs w:val="20"/>
          <w:lang w:val="en-US"/>
        </w:rPr>
        <w:t xml:space="preserve"> </w:t>
      </w:r>
      <w:r w:rsidRPr="00633D20">
        <w:rPr>
          <w:rFonts w:ascii="Arial" w:eastAsia="Arial" w:hAnsi="Arial" w:cs="Arial"/>
          <w:color w:val="000000"/>
          <w:kern w:val="24"/>
          <w:szCs w:val="24"/>
          <w:lang w:val="en-US"/>
        </w:rPr>
        <w:t xml:space="preserve">In our opinion, the financial statements present fairly, in all material respects, the financial position of the Company as of December 31, </w:t>
      </w:r>
      <w:r w:rsidR="000634CE" w:rsidRPr="00633D20">
        <w:rPr>
          <w:rFonts w:ascii="Arial" w:eastAsia="Arial" w:hAnsi="Arial" w:cs="Arial"/>
          <w:color w:val="000000"/>
          <w:kern w:val="24"/>
          <w:szCs w:val="20"/>
          <w:lang w:val="en-US"/>
        </w:rPr>
        <w:t>2025</w:t>
      </w:r>
      <w:r w:rsidR="0045718A" w:rsidRPr="00633D20">
        <w:rPr>
          <w:rFonts w:ascii="Arial" w:eastAsia="Arial" w:hAnsi="Arial" w:cs="Arial"/>
          <w:color w:val="000000"/>
          <w:kern w:val="24"/>
          <w:szCs w:val="24"/>
          <w:lang w:val="en-US"/>
        </w:rPr>
        <w:t xml:space="preserve"> and </w:t>
      </w:r>
      <w:r w:rsidR="0045718A" w:rsidRPr="00633D20">
        <w:rPr>
          <w:rFonts w:ascii="Arial" w:eastAsia="Arial" w:hAnsi="Arial" w:cs="Arial"/>
          <w:color w:val="000000"/>
          <w:kern w:val="24"/>
          <w:szCs w:val="20"/>
          <w:lang w:val="en-US"/>
        </w:rPr>
        <w:t>2024</w:t>
      </w:r>
      <w:r w:rsidRPr="00633D20">
        <w:rPr>
          <w:rFonts w:ascii="Arial" w:eastAsia="Arial" w:hAnsi="Arial" w:cs="Arial"/>
          <w:color w:val="000000"/>
          <w:kern w:val="24"/>
          <w:szCs w:val="24"/>
          <w:lang w:val="en-US"/>
        </w:rPr>
        <w:t xml:space="preserve">, and the results of its operations and its cash flows for </w:t>
      </w:r>
      <w:r w:rsidR="00860D3F" w:rsidRPr="00633D20">
        <w:rPr>
          <w:rFonts w:ascii="Arial" w:eastAsia="Arial" w:hAnsi="Arial" w:cs="Arial"/>
          <w:color w:val="000000"/>
          <w:kern w:val="24"/>
          <w:szCs w:val="24"/>
          <w:lang w:val="en-US"/>
        </w:rPr>
        <w:t xml:space="preserve">each of the </w:t>
      </w:r>
      <w:r w:rsidR="00023B18" w:rsidRPr="00633D20">
        <w:rPr>
          <w:rFonts w:ascii="Arial" w:eastAsia="Arial" w:hAnsi="Arial" w:cs="Arial"/>
          <w:color w:val="000000"/>
          <w:kern w:val="24"/>
          <w:szCs w:val="20"/>
          <w:lang w:val="en-US"/>
        </w:rPr>
        <w:t>two</w:t>
      </w:r>
      <w:r w:rsidR="00023B18" w:rsidRPr="00633D20">
        <w:rPr>
          <w:rFonts w:ascii="Arial" w:eastAsia="Arial" w:hAnsi="Arial" w:cs="Arial"/>
          <w:color w:val="000000"/>
          <w:kern w:val="24"/>
          <w:szCs w:val="24"/>
          <w:lang w:val="en-US"/>
        </w:rPr>
        <w:t xml:space="preserve"> years </w:t>
      </w:r>
      <w:r w:rsidR="00F90241" w:rsidRPr="00633D20">
        <w:rPr>
          <w:rFonts w:ascii="Arial" w:eastAsia="Arial" w:hAnsi="Arial" w:cs="Arial"/>
          <w:color w:val="000000"/>
          <w:kern w:val="24"/>
          <w:szCs w:val="24"/>
          <w:lang w:val="en-US"/>
        </w:rPr>
        <w:t xml:space="preserve">in </w:t>
      </w:r>
      <w:r w:rsidRPr="00633D20">
        <w:rPr>
          <w:rFonts w:ascii="Arial" w:eastAsia="Arial" w:hAnsi="Arial" w:cs="Arial"/>
          <w:color w:val="000000"/>
          <w:kern w:val="24"/>
          <w:szCs w:val="24"/>
          <w:lang w:val="en-US"/>
        </w:rPr>
        <w:t xml:space="preserve">the </w:t>
      </w:r>
      <w:r w:rsidR="00F90241" w:rsidRPr="00633D20">
        <w:rPr>
          <w:rFonts w:ascii="Arial" w:eastAsia="Arial" w:hAnsi="Arial" w:cs="Arial"/>
          <w:color w:val="000000"/>
          <w:kern w:val="24"/>
          <w:szCs w:val="24"/>
          <w:lang w:val="en-US"/>
        </w:rPr>
        <w:t xml:space="preserve">period </w:t>
      </w:r>
      <w:r w:rsidRPr="00633D20">
        <w:rPr>
          <w:rFonts w:ascii="Arial" w:eastAsia="Arial" w:hAnsi="Arial" w:cs="Arial"/>
          <w:color w:val="000000"/>
          <w:kern w:val="24"/>
          <w:szCs w:val="24"/>
          <w:lang w:val="en-US"/>
        </w:rPr>
        <w:t xml:space="preserve">ended December 31, </w:t>
      </w:r>
      <w:r w:rsidR="000634CE" w:rsidRPr="00633D20">
        <w:rPr>
          <w:rFonts w:ascii="Arial" w:eastAsia="Arial" w:hAnsi="Arial" w:cs="Arial"/>
          <w:color w:val="000000"/>
          <w:kern w:val="24"/>
          <w:szCs w:val="20"/>
          <w:lang w:val="en-US"/>
        </w:rPr>
        <w:t>2025</w:t>
      </w:r>
      <w:r w:rsidRPr="00633D20">
        <w:rPr>
          <w:rFonts w:ascii="Arial" w:eastAsia="Arial" w:hAnsi="Arial" w:cs="Arial"/>
          <w:color w:val="000000"/>
          <w:kern w:val="24"/>
          <w:szCs w:val="24"/>
          <w:lang w:val="en-US"/>
        </w:rPr>
        <w:t>, in conformity with accounting principles generally accepted in the United States of America</w:t>
      </w:r>
      <w:r w:rsidRPr="00633D20">
        <w:rPr>
          <w:rFonts w:ascii="Arial" w:eastAsia="Arial" w:hAnsi="Arial" w:cs="Arial"/>
          <w:color w:val="000000"/>
          <w:kern w:val="24"/>
          <w:szCs w:val="20"/>
          <w:lang w:val="en-US"/>
        </w:rPr>
        <w:t>.</w:t>
      </w:r>
    </w:p>
    <w:p w14:paraId="71F3ECCB"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rPr>
      </w:pPr>
    </w:p>
    <w:p w14:paraId="71F3ECCC"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color w:val="000000"/>
          <w:kern w:val="24"/>
          <w:szCs w:val="24"/>
          <w:bdr w:val="nil"/>
          <w:lang w:val="en-US"/>
        </w:rPr>
      </w:pPr>
      <w:r w:rsidRPr="00633D20">
        <w:rPr>
          <w:rFonts w:ascii="Arial" w:eastAsia="Arial" w:hAnsi="Arial" w:cs="Arial"/>
          <w:color w:val="000000"/>
          <w:kern w:val="24"/>
          <w:szCs w:val="24"/>
          <w:lang w:val="en-US"/>
        </w:rPr>
        <w:t xml:space="preserve">We have also audited, in accordance with the standards of the Public Company Accounting Oversight Board (United States) (PCAOB), the Company’s internal control over financial reporting as of December 31, </w:t>
      </w:r>
      <w:r w:rsidR="00646372" w:rsidRPr="00633D20">
        <w:rPr>
          <w:rFonts w:ascii="Arial" w:eastAsia="Arial" w:hAnsi="Arial" w:cs="Arial"/>
          <w:color w:val="000000"/>
          <w:kern w:val="24"/>
          <w:szCs w:val="20"/>
          <w:lang w:val="en-US"/>
        </w:rPr>
        <w:t>2025</w:t>
      </w:r>
      <w:r w:rsidRPr="00633D20">
        <w:rPr>
          <w:rFonts w:ascii="Arial" w:eastAsia="Arial" w:hAnsi="Arial" w:cs="Arial"/>
          <w:color w:val="000000"/>
          <w:kern w:val="24"/>
          <w:szCs w:val="24"/>
          <w:lang w:val="en-US"/>
        </w:rPr>
        <w:t xml:space="preserve">, based on criteria established in Internal Control — Integrated Framework (2013) issued by the Committee of Sponsoring Organizations of the Treadway Commission and our report dated </w:t>
      </w:r>
      <w:r w:rsidRPr="00633D20">
        <w:rPr>
          <w:rFonts w:ascii="Arial" w:eastAsia="Arial" w:hAnsi="Arial" w:cs="Arial"/>
          <w:color w:val="000000"/>
          <w:kern w:val="24"/>
          <w:szCs w:val="20"/>
          <w:lang w:val="en-US"/>
        </w:rPr>
        <w:t xml:space="preserve">March </w:t>
      </w:r>
      <w:r w:rsidR="002E146C" w:rsidRPr="00633D20">
        <w:rPr>
          <w:rFonts w:ascii="Arial" w:eastAsia="Arial" w:hAnsi="Arial" w:cs="Arial"/>
          <w:color w:val="000000"/>
          <w:kern w:val="24"/>
          <w:szCs w:val="20"/>
          <w:lang w:val="en-US"/>
        </w:rPr>
        <w:t>1</w:t>
      </w:r>
      <w:r w:rsidR="006E1587">
        <w:rPr>
          <w:rFonts w:ascii="Arial" w:eastAsia="Arial" w:hAnsi="Arial" w:cs="Arial"/>
          <w:color w:val="000000"/>
          <w:kern w:val="24"/>
          <w:szCs w:val="20"/>
          <w:lang w:val="en-US"/>
        </w:rPr>
        <w:t>3</w:t>
      </w:r>
      <w:r w:rsidRPr="00633D20">
        <w:rPr>
          <w:rFonts w:ascii="Arial" w:eastAsia="Arial" w:hAnsi="Arial" w:cs="Arial"/>
          <w:color w:val="000000"/>
          <w:kern w:val="24"/>
          <w:szCs w:val="20"/>
          <w:lang w:val="en-US"/>
        </w:rPr>
        <w:t xml:space="preserve">, </w:t>
      </w:r>
      <w:r w:rsidR="00E415BE" w:rsidRPr="00633D20">
        <w:rPr>
          <w:rFonts w:ascii="Arial" w:eastAsia="Arial" w:hAnsi="Arial" w:cs="Arial"/>
          <w:color w:val="000000"/>
          <w:kern w:val="24"/>
          <w:szCs w:val="20"/>
          <w:lang w:val="en-US"/>
        </w:rPr>
        <w:t>2026</w:t>
      </w:r>
      <w:r w:rsidRPr="00633D20">
        <w:rPr>
          <w:rFonts w:ascii="Arial" w:eastAsia="Arial" w:hAnsi="Arial" w:cs="Arial"/>
          <w:color w:val="000000"/>
          <w:kern w:val="24"/>
          <w:szCs w:val="20"/>
          <w:lang w:val="en-US"/>
        </w:rPr>
        <w:t>,</w:t>
      </w:r>
      <w:r w:rsidRPr="00633D20">
        <w:rPr>
          <w:rFonts w:ascii="Arial" w:eastAsia="Arial" w:hAnsi="Arial" w:cs="Arial"/>
          <w:color w:val="000000"/>
          <w:kern w:val="24"/>
          <w:szCs w:val="24"/>
          <w:lang w:val="en-US"/>
        </w:rPr>
        <w:t xml:space="preserve"> expressed an unqualified opinion on the Company’s internal control over financial reporting</w:t>
      </w:r>
      <w:r w:rsidRPr="00633D20">
        <w:rPr>
          <w:rFonts w:ascii="Arial" w:eastAsia="Arial" w:hAnsi="Arial" w:cs="Arial"/>
          <w:color w:val="000000"/>
          <w:kern w:val="24"/>
          <w:szCs w:val="20"/>
          <w:lang w:val="en-US"/>
        </w:rPr>
        <w:t>.</w:t>
      </w:r>
    </w:p>
    <w:p w14:paraId="71F3ECCD"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szCs w:val="20"/>
          <w:bdr w:val="nil"/>
          <w:lang w:val="en-GB"/>
        </w:rPr>
      </w:pPr>
    </w:p>
    <w:p w14:paraId="71F3ECCE"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b/>
          <w:szCs w:val="24"/>
          <w:bdr w:val="nil"/>
          <w:lang w:val="en-GB"/>
        </w:rPr>
      </w:pPr>
      <w:r w:rsidRPr="00633D20">
        <w:rPr>
          <w:rFonts w:ascii="Arial" w:eastAsia="Arial" w:hAnsi="Arial" w:cs="Arial"/>
          <w:b/>
          <w:color w:val="000000"/>
          <w:kern w:val="24"/>
          <w:szCs w:val="24"/>
          <w:highlight w:val="white"/>
          <w:lang w:val="en-US"/>
        </w:rPr>
        <w:t>Basis for Opinion</w:t>
      </w:r>
    </w:p>
    <w:p w14:paraId="71F3ECCF"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GB"/>
        </w:rPr>
      </w:pPr>
      <w:r w:rsidRPr="00633D20">
        <w:rPr>
          <w:rFonts w:ascii="Arial" w:eastAsia="Arial" w:hAnsi="Arial" w:cs="Arial"/>
          <w:color w:val="000000"/>
          <w:kern w:val="24"/>
          <w:szCs w:val="20"/>
          <w:highlight w:val="white"/>
          <w:lang w:val="en-US"/>
        </w:rPr>
        <w:t xml:space="preserve"> </w:t>
      </w:r>
    </w:p>
    <w:p w14:paraId="71F3ECD0"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color w:val="000000"/>
          <w:kern w:val="24"/>
          <w:szCs w:val="24"/>
          <w:bdr w:val="nil"/>
          <w:lang w:val="en-US"/>
        </w:rPr>
      </w:pPr>
      <w:r w:rsidRPr="00633D20">
        <w:rPr>
          <w:rFonts w:ascii="Arial" w:eastAsia="Arial" w:hAnsi="Arial" w:cs="Arial"/>
          <w:color w:val="000000"/>
          <w:kern w:val="24"/>
          <w:szCs w:val="24"/>
          <w:lang w:val="en-US"/>
        </w:rPr>
        <w:t>These financial statements are the responsibility of the Company’s management. Our responsibility is to express an opinion on the Company’s financial statements based on our audit</w:t>
      </w:r>
      <w:r w:rsidR="00C41A00"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We are a public accounting firm registered with the PCAOB and are required to be independent with respect to the Company in accordance with the U.S. federal securities laws and the applicable rules and regulations of the Securities and Exchange Commission and the PCAOB.</w:t>
      </w:r>
    </w:p>
    <w:p w14:paraId="71F3ECD1"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rPr>
      </w:pPr>
    </w:p>
    <w:p w14:paraId="71F3ECD2"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kern w:val="2"/>
          <w:szCs w:val="24"/>
          <w:bdr w:val="nil"/>
          <w:lang w:val="en-GB"/>
        </w:rPr>
      </w:pPr>
      <w:r w:rsidRPr="00633D20">
        <w:rPr>
          <w:rFonts w:ascii="Arial" w:eastAsia="Arial" w:hAnsi="Arial" w:cs="Arial"/>
          <w:color w:val="000000"/>
          <w:kern w:val="24"/>
          <w:szCs w:val="24"/>
          <w:lang w:val="en-US"/>
        </w:rPr>
        <w:t>We conducted our audit</w:t>
      </w:r>
      <w:r w:rsidR="003450AE"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in accordance with the standards of the PCAOB. Those standards require that we plan and perform the audit to obtain reasonable assurance about whether the financial statements are free of material misstatement, whether due to error or fraud. Our audit</w:t>
      </w:r>
      <w:r w:rsidR="00D43AC1"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included performing procedures to assess the risks of material misstatement of the financial statements, whether due to error or fraud, and performing procedures that respond to those risks. Such procedures included examining, on a test basis, evidence regarding the amounts and disclosures in the financial statements. Our audit</w:t>
      </w:r>
      <w:r w:rsidR="00096CBB"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also included evaluating the accounting principles used and significant estimates made by management, as well as evaluating the overall presentation of the financial statements. We believe that our audit</w:t>
      </w:r>
      <w:r w:rsidR="00096CBB" w:rsidRPr="00633D20">
        <w:rPr>
          <w:rFonts w:ascii="Arial" w:eastAsia="Arial" w:hAnsi="Arial" w:cs="Arial"/>
          <w:color w:val="000000"/>
          <w:kern w:val="24"/>
          <w:szCs w:val="24"/>
          <w:lang w:val="en-US"/>
        </w:rPr>
        <w:t>s</w:t>
      </w:r>
      <w:r w:rsidRPr="00633D20">
        <w:rPr>
          <w:rFonts w:ascii="Arial" w:eastAsia="Arial" w:hAnsi="Arial" w:cs="Arial"/>
          <w:color w:val="000000"/>
          <w:kern w:val="24"/>
          <w:szCs w:val="24"/>
          <w:lang w:val="en-US"/>
        </w:rPr>
        <w:t xml:space="preserve"> provide a reasonable basis for our opinion.</w:t>
      </w:r>
    </w:p>
    <w:p w14:paraId="71F3ECD3"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b/>
          <w:bCs/>
          <w:color w:val="000000"/>
          <w:kern w:val="24"/>
          <w:szCs w:val="20"/>
          <w:highlight w:val="white"/>
          <w:bdr w:val="nil"/>
          <w:lang w:val="en-US"/>
        </w:rPr>
      </w:pPr>
      <w:bookmarkStart w:id="376" w:name="_Hlk2063994"/>
    </w:p>
    <w:p w14:paraId="71F3ECD4"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b/>
          <w:bCs/>
          <w:color w:val="000000"/>
          <w:kern w:val="24"/>
          <w:szCs w:val="20"/>
          <w:highlight w:val="white"/>
          <w:bdr w:val="nil"/>
          <w:lang w:val="en-US"/>
        </w:rPr>
      </w:pPr>
    </w:p>
    <w:p w14:paraId="71F3ECD5" w14:textId="77777777" w:rsidR="00BD3814" w:rsidRPr="00633D20" w:rsidRDefault="00BD3814" w:rsidP="00BD3814">
      <w:pPr>
        <w:pBdr>
          <w:top w:val="nil"/>
          <w:left w:val="nil"/>
          <w:bottom w:val="nil"/>
          <w:right w:val="nil"/>
          <w:between w:val="nil"/>
          <w:bar w:val="nil"/>
        </w:pBdr>
        <w:autoSpaceDE w:val="0"/>
        <w:autoSpaceDN w:val="0"/>
        <w:adjustRightInd w:val="0"/>
        <w:spacing w:line="240" w:lineRule="atLeast"/>
        <w:rPr>
          <w:rFonts w:ascii="Arial" w:eastAsia="Arial" w:hAnsi="Arial" w:cs="Arial"/>
          <w:b/>
          <w:bCs/>
          <w:kern w:val="2"/>
          <w:szCs w:val="20"/>
          <w:bdr w:val="nil"/>
          <w:lang w:val="en-US"/>
        </w:rPr>
      </w:pPr>
    </w:p>
    <w:p w14:paraId="71F3ECD6"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b/>
          <w:bCs/>
          <w:kern w:val="2"/>
          <w:szCs w:val="20"/>
          <w:bdr w:val="nil"/>
          <w:lang w:val="en-US"/>
        </w:rPr>
      </w:pPr>
      <w:r w:rsidRPr="00633D20">
        <w:rPr>
          <w:rFonts w:ascii="Arial" w:eastAsia="Arial" w:hAnsi="Arial" w:cs="Arial"/>
          <w:b/>
          <w:bCs/>
          <w:kern w:val="2"/>
          <w:szCs w:val="20"/>
          <w:lang w:val="en-US"/>
        </w:rPr>
        <w:br w:type="page"/>
      </w:r>
    </w:p>
    <w:p w14:paraId="71F3ECD7"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b/>
          <w:bCs/>
          <w:szCs w:val="20"/>
          <w:bdr w:val="nil"/>
          <w:lang w:val="en-US"/>
        </w:rPr>
      </w:pPr>
      <w:bookmarkStart w:id="377" w:name="_Hlk2063956"/>
      <w:bookmarkEnd w:id="376"/>
      <w:r w:rsidRPr="00633D20">
        <w:rPr>
          <w:rFonts w:ascii="Arial" w:eastAsia="Arial" w:hAnsi="Arial" w:cs="Arial"/>
          <w:b/>
          <w:color w:val="000000"/>
          <w:kern w:val="24"/>
          <w:szCs w:val="24"/>
          <w:highlight w:val="white"/>
          <w:lang w:val="en-US"/>
        </w:rPr>
        <w:t>Critical Audit Matter</w:t>
      </w:r>
    </w:p>
    <w:p w14:paraId="71F3ECD8" w14:textId="77777777" w:rsidR="00BD3814" w:rsidRPr="00633D20" w:rsidRDefault="00BD3814" w:rsidP="00633D20">
      <w:pPr>
        <w:pBdr>
          <w:top w:val="nil"/>
          <w:left w:val="nil"/>
          <w:bottom w:val="nil"/>
          <w:right w:val="nil"/>
          <w:between w:val="nil"/>
          <w:bar w:val="nil"/>
        </w:pBdr>
        <w:spacing w:line="240" w:lineRule="atLeast"/>
        <w:rPr>
          <w:rFonts w:ascii="Arial" w:eastAsia="Arial" w:hAnsi="Arial" w:cs="Arial"/>
          <w:szCs w:val="24"/>
          <w:bdr w:val="nil"/>
          <w:lang w:val="en-GB"/>
        </w:rPr>
      </w:pPr>
    </w:p>
    <w:p w14:paraId="71F3ECD9"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color w:val="000000"/>
          <w:kern w:val="24"/>
          <w:szCs w:val="24"/>
          <w:bdr w:val="nil"/>
          <w:lang w:val="en-US"/>
        </w:rPr>
      </w:pPr>
      <w:r w:rsidRPr="00633D20">
        <w:rPr>
          <w:rFonts w:ascii="Arial" w:eastAsia="Arial" w:hAnsi="Arial" w:cs="Arial"/>
          <w:color w:val="000000"/>
          <w:kern w:val="24"/>
          <w:szCs w:val="24"/>
          <w:lang w:val="en-US"/>
        </w:rPr>
        <w:t>The critical audit matter communicated below is a matter arising from the current-period audit of the financial statements that was communicated or required to be communicated to the audit committee and that (1) relates to accounts or disclosures that are material to the financial statements and (2) involved our especially challenging, subjective, or complex judgments. The communication of critical audit matters does not alter in any way our opinion on the financial statements, taken as a whole, and we are not, by communicating the critical audit matter below, providing a separate opinion on the critical audit matter or on the accounts or disclosures to which it relates</w:t>
      </w:r>
      <w:r w:rsidRPr="00633D20">
        <w:rPr>
          <w:rFonts w:ascii="Arial" w:eastAsia="Arial" w:hAnsi="Arial" w:cs="Arial"/>
          <w:color w:val="000000"/>
          <w:kern w:val="24"/>
          <w:szCs w:val="20"/>
          <w:lang w:val="en-US"/>
        </w:rPr>
        <w:t>.</w:t>
      </w:r>
    </w:p>
    <w:bookmarkEnd w:id="377"/>
    <w:p w14:paraId="71F3ECDA" w14:textId="77777777" w:rsidR="00BD3814" w:rsidRPr="00633D20" w:rsidRDefault="00BD3814" w:rsidP="00BD3814">
      <w:pPr>
        <w:pBdr>
          <w:top w:val="nil"/>
          <w:left w:val="nil"/>
          <w:bottom w:val="nil"/>
          <w:right w:val="nil"/>
          <w:between w:val="nil"/>
          <w:bar w:val="nil"/>
        </w:pBdr>
        <w:autoSpaceDE w:val="0"/>
        <w:autoSpaceDN w:val="0"/>
        <w:adjustRightInd w:val="0"/>
        <w:spacing w:line="240" w:lineRule="atLeast"/>
        <w:rPr>
          <w:rFonts w:ascii="Arial" w:eastAsia="Arial" w:hAnsi="Arial" w:cs="Arial"/>
          <w:b/>
          <w:bCs/>
          <w:kern w:val="2"/>
          <w:szCs w:val="20"/>
          <w:bdr w:val="nil"/>
          <w:lang w:val="en-US"/>
        </w:rPr>
      </w:pPr>
    </w:p>
    <w:p w14:paraId="71F3ECDB" w14:textId="77777777" w:rsidR="00BD3814" w:rsidRPr="00633D20" w:rsidRDefault="003A4815" w:rsidP="00633D20">
      <w:pPr>
        <w:pBdr>
          <w:top w:val="nil"/>
          <w:left w:val="nil"/>
          <w:bottom w:val="nil"/>
          <w:right w:val="nil"/>
          <w:between w:val="nil"/>
          <w:bar w:val="nil"/>
        </w:pBdr>
        <w:autoSpaceDE w:val="0"/>
        <w:autoSpaceDN w:val="0"/>
        <w:adjustRightInd w:val="0"/>
        <w:spacing w:line="240" w:lineRule="atLeast"/>
        <w:rPr>
          <w:rFonts w:ascii="Arial" w:eastAsia="Arial" w:hAnsi="Arial" w:cs="Arial"/>
          <w:b/>
          <w:kern w:val="2"/>
          <w:szCs w:val="24"/>
          <w:bdr w:val="nil"/>
          <w:lang w:val="en-US"/>
        </w:rPr>
      </w:pPr>
      <w:r w:rsidRPr="00633D20">
        <w:rPr>
          <w:rFonts w:ascii="Arial" w:eastAsia="Arial" w:hAnsi="Arial" w:cs="Arial"/>
          <w:b/>
          <w:bCs/>
          <w:kern w:val="2"/>
          <w:szCs w:val="20"/>
          <w:lang w:val="en-US"/>
        </w:rPr>
        <w:t>Impairment of long-lived assets– Future Charter Rates</w:t>
      </w:r>
      <w:r w:rsidRPr="00633D20">
        <w:rPr>
          <w:rFonts w:ascii="Arial" w:eastAsia="Arial" w:hAnsi="Arial" w:cs="Arial"/>
          <w:b/>
          <w:szCs w:val="24"/>
          <w:lang w:val="en-US"/>
        </w:rPr>
        <w:t xml:space="preserve"> for </w:t>
      </w:r>
      <w:r w:rsidRPr="00633D20">
        <w:rPr>
          <w:rFonts w:ascii="Arial" w:eastAsia="Arial" w:hAnsi="Arial" w:cs="Arial"/>
          <w:b/>
          <w:bCs/>
          <w:kern w:val="2"/>
          <w:szCs w:val="20"/>
          <w:lang w:val="en-US"/>
        </w:rPr>
        <w:t>vessels with impairment indicators –</w:t>
      </w:r>
      <w:r w:rsidRPr="00633D20">
        <w:rPr>
          <w:rFonts w:ascii="Arial" w:eastAsia="Arial" w:hAnsi="Arial" w:cs="Arial"/>
          <w:b/>
          <w:kern w:val="2"/>
          <w:szCs w:val="24"/>
          <w:lang w:val="en-US"/>
        </w:rPr>
        <w:t xml:space="preserve"> Refer to </w:t>
      </w:r>
      <w:r w:rsidRPr="00633D20">
        <w:rPr>
          <w:rFonts w:ascii="Arial" w:eastAsia="Arial" w:hAnsi="Arial" w:cs="Arial"/>
          <w:b/>
          <w:bCs/>
          <w:kern w:val="2"/>
          <w:szCs w:val="20"/>
          <w:lang w:val="en-US"/>
        </w:rPr>
        <w:t>Note 2 of</w:t>
      </w:r>
      <w:r w:rsidRPr="00633D20">
        <w:rPr>
          <w:rFonts w:ascii="Arial" w:eastAsia="Arial" w:hAnsi="Arial" w:cs="Arial"/>
          <w:b/>
          <w:kern w:val="2"/>
          <w:szCs w:val="24"/>
          <w:lang w:val="en-US"/>
        </w:rPr>
        <w:t xml:space="preserve"> the </w:t>
      </w:r>
      <w:r w:rsidRPr="00633D20">
        <w:rPr>
          <w:rFonts w:ascii="Arial" w:eastAsia="Arial" w:hAnsi="Arial" w:cs="Arial"/>
          <w:b/>
          <w:bCs/>
          <w:kern w:val="2"/>
          <w:szCs w:val="20"/>
          <w:lang w:val="en-US"/>
        </w:rPr>
        <w:t xml:space="preserve">consolidated </w:t>
      </w:r>
      <w:r w:rsidRPr="00633D20">
        <w:rPr>
          <w:rFonts w:ascii="Arial" w:eastAsia="Arial" w:hAnsi="Arial" w:cs="Arial"/>
          <w:b/>
          <w:kern w:val="2"/>
          <w:szCs w:val="24"/>
          <w:lang w:val="en-US"/>
        </w:rPr>
        <w:t>financial statements</w:t>
      </w:r>
      <w:r w:rsidRPr="00633D20">
        <w:rPr>
          <w:rFonts w:ascii="Arial" w:eastAsia="Arial" w:hAnsi="Arial" w:cs="Arial"/>
          <w:b/>
          <w:bCs/>
          <w:kern w:val="2"/>
          <w:szCs w:val="20"/>
          <w:lang w:val="en-US"/>
        </w:rPr>
        <w:t>.</w:t>
      </w:r>
    </w:p>
    <w:p w14:paraId="71F3ECDC"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bCs/>
          <w:i/>
          <w:kern w:val="2"/>
          <w:szCs w:val="20"/>
          <w:bdr w:val="nil"/>
          <w:lang w:val="en-GB"/>
        </w:rPr>
      </w:pPr>
    </w:p>
    <w:p w14:paraId="71F3ECDD"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b/>
          <w:i/>
          <w:szCs w:val="24"/>
          <w:bdr w:val="nil"/>
          <w:lang w:val="en-GB"/>
        </w:rPr>
      </w:pPr>
      <w:r w:rsidRPr="00633D20">
        <w:rPr>
          <w:rFonts w:ascii="Arial" w:eastAsia="Arial" w:hAnsi="Arial" w:cs="Arial"/>
          <w:b/>
          <w:i/>
          <w:kern w:val="2"/>
          <w:szCs w:val="24"/>
          <w:lang w:val="en-GB"/>
        </w:rPr>
        <w:t>Critical Audit Matter Description</w:t>
      </w:r>
    </w:p>
    <w:p w14:paraId="71F3ECDE" w14:textId="77777777" w:rsidR="00BD3814" w:rsidRPr="00633D20" w:rsidRDefault="00BD3814" w:rsidP="00633D20">
      <w:pPr>
        <w:pBdr>
          <w:top w:val="nil"/>
          <w:left w:val="nil"/>
          <w:bottom w:val="nil"/>
          <w:right w:val="nil"/>
          <w:between w:val="nil"/>
          <w:bar w:val="nil"/>
        </w:pBdr>
        <w:spacing w:line="240" w:lineRule="atLeast"/>
        <w:rPr>
          <w:rFonts w:ascii="Arial" w:eastAsia="Arial" w:hAnsi="Arial" w:cs="Arial"/>
          <w:i/>
          <w:kern w:val="2"/>
          <w:szCs w:val="24"/>
          <w:bdr w:val="nil"/>
          <w:lang w:val="en-US"/>
          <w:specVanish/>
        </w:rPr>
      </w:pPr>
    </w:p>
    <w:p w14:paraId="71F3ECDF"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US"/>
        </w:rPr>
      </w:pPr>
      <w:r w:rsidRPr="00633D20">
        <w:rPr>
          <w:rFonts w:ascii="Arial" w:eastAsia="Arial" w:hAnsi="Arial" w:cs="Arial"/>
          <w:szCs w:val="24"/>
          <w:lang w:val="en-US"/>
        </w:rPr>
        <w:t xml:space="preserve">The </w:t>
      </w:r>
      <w:r w:rsidRPr="00633D20">
        <w:rPr>
          <w:rFonts w:ascii="Arial" w:eastAsia="Arial" w:hAnsi="Arial" w:cs="Arial"/>
          <w:szCs w:val="20"/>
          <w:lang w:val="en-US"/>
        </w:rPr>
        <w:t>Company’s evaluation of vessels held for use by the Company for impairment involves an initial assessment of each vessel to determine whether events or changes in circumstances indicate that the carrying amount of the vessel</w:t>
      </w:r>
      <w:r w:rsidR="009C6878" w:rsidRPr="00633D20">
        <w:rPr>
          <w:rFonts w:ascii="Arial" w:eastAsia="Arial" w:hAnsi="Arial" w:cs="Arial"/>
          <w:szCs w:val="20"/>
          <w:lang w:val="en-US"/>
        </w:rPr>
        <w:t>, including its unamortized deferred costs,</w:t>
      </w:r>
      <w:r w:rsidRPr="00633D20">
        <w:rPr>
          <w:rFonts w:ascii="Arial" w:eastAsia="Arial" w:hAnsi="Arial" w:cs="Arial"/>
          <w:szCs w:val="20"/>
          <w:lang w:val="en-US"/>
        </w:rPr>
        <w:t xml:space="preserve"> may not be recoverable. As at December 31, </w:t>
      </w:r>
      <w:r w:rsidR="009A4D67" w:rsidRPr="00633D20">
        <w:rPr>
          <w:rFonts w:ascii="Arial" w:eastAsia="Arial" w:hAnsi="Arial" w:cs="Arial"/>
          <w:szCs w:val="20"/>
          <w:lang w:val="en-US"/>
        </w:rPr>
        <w:t>2025</w:t>
      </w:r>
      <w:r w:rsidRPr="00633D20">
        <w:rPr>
          <w:rFonts w:ascii="Arial" w:eastAsia="Arial" w:hAnsi="Arial" w:cs="Arial"/>
          <w:szCs w:val="20"/>
          <w:lang w:val="en-US"/>
        </w:rPr>
        <w:t xml:space="preserve">, </w:t>
      </w:r>
      <w:r w:rsidR="009A4D67" w:rsidRPr="00633D20">
        <w:rPr>
          <w:rFonts w:ascii="Arial" w:eastAsia="Arial" w:hAnsi="Arial" w:cs="Arial"/>
          <w:szCs w:val="20"/>
          <w:lang w:val="en-US"/>
        </w:rPr>
        <w:t xml:space="preserve">10 </w:t>
      </w:r>
      <w:r w:rsidRPr="00633D20">
        <w:rPr>
          <w:rFonts w:ascii="Arial" w:eastAsia="Arial" w:hAnsi="Arial" w:cs="Arial"/>
          <w:szCs w:val="20"/>
          <w:lang w:val="en-US"/>
        </w:rPr>
        <w:t xml:space="preserve">out of </w:t>
      </w:r>
      <w:r w:rsidR="009A4D67" w:rsidRPr="00633D20">
        <w:rPr>
          <w:rFonts w:ascii="Arial" w:eastAsia="Arial" w:hAnsi="Arial" w:cs="Arial"/>
          <w:szCs w:val="20"/>
          <w:lang w:val="en-US"/>
        </w:rPr>
        <w:t xml:space="preserve">36 </w:t>
      </w:r>
      <w:r w:rsidRPr="00633D20">
        <w:rPr>
          <w:rFonts w:ascii="Arial" w:eastAsia="Arial" w:hAnsi="Arial" w:cs="Arial"/>
          <w:szCs w:val="20"/>
          <w:lang w:val="en-US"/>
        </w:rPr>
        <w:t>vessels held for use had impairment indicators.</w:t>
      </w:r>
    </w:p>
    <w:p w14:paraId="71F3ECE0"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szCs w:val="20"/>
          <w:bdr w:val="nil"/>
          <w:lang w:val="en-US"/>
        </w:rPr>
      </w:pPr>
    </w:p>
    <w:p w14:paraId="71F3ECE1"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US"/>
        </w:rPr>
      </w:pPr>
      <w:r w:rsidRPr="00633D20">
        <w:rPr>
          <w:rFonts w:ascii="Arial" w:eastAsia="Arial" w:hAnsi="Arial" w:cs="Arial"/>
          <w:szCs w:val="20"/>
          <w:lang w:val="en-US"/>
        </w:rPr>
        <w:t>If impairment indicators exist, the Company compares undiscounted projected net operating cash flows to the carrying value of the respective vessel</w:t>
      </w:r>
      <w:r w:rsidR="00AE72A0" w:rsidRPr="00633D20">
        <w:rPr>
          <w:rFonts w:ascii="Arial" w:eastAsia="Arial" w:hAnsi="Arial" w:cs="Arial"/>
          <w:szCs w:val="20"/>
          <w:lang w:val="en-US"/>
        </w:rPr>
        <w:t>, including its unamortized deferred costs,</w:t>
      </w:r>
      <w:r w:rsidRPr="00633D20">
        <w:rPr>
          <w:rFonts w:ascii="Arial" w:eastAsia="Arial" w:hAnsi="Arial" w:cs="Arial"/>
          <w:szCs w:val="20"/>
          <w:lang w:val="en-US"/>
        </w:rPr>
        <w:t xml:space="preserve"> with impairment indicators to determine if the vessel is required to be impaired. When the Company’s estimate of undiscounted projected net operating cash flows, excluding interest charges, expected to be generated by the use and eventual disposition of the vessel is less than its carrying amount, the Company records an impairment loss</w:t>
      </w:r>
      <w:r w:rsidR="00911EF7" w:rsidRPr="00633D20">
        <w:rPr>
          <w:rFonts w:ascii="Arial" w:eastAsia="Arial" w:hAnsi="Arial" w:cs="Arial"/>
          <w:szCs w:val="20"/>
          <w:lang w:val="en-US"/>
        </w:rPr>
        <w:t xml:space="preserve">. Impairment loss </w:t>
      </w:r>
      <w:r w:rsidR="00E970C9" w:rsidRPr="00633D20">
        <w:rPr>
          <w:rFonts w:ascii="Arial" w:eastAsia="Arial" w:hAnsi="Arial" w:cs="Arial"/>
          <w:szCs w:val="20"/>
          <w:lang w:val="en-US"/>
        </w:rPr>
        <w:t>is</w:t>
      </w:r>
      <w:r w:rsidRPr="00633D20">
        <w:rPr>
          <w:rFonts w:ascii="Arial" w:eastAsia="Arial" w:hAnsi="Arial" w:cs="Arial"/>
          <w:szCs w:val="20"/>
          <w:lang w:val="en-US"/>
        </w:rPr>
        <w:t xml:space="preserve"> equal to the difference between the vessel’s carrying value</w:t>
      </w:r>
      <w:r w:rsidR="00B143FC" w:rsidRPr="00633D20">
        <w:rPr>
          <w:rFonts w:ascii="Arial" w:eastAsia="Arial" w:hAnsi="Arial" w:cs="Arial"/>
          <w:szCs w:val="20"/>
          <w:lang w:val="en-US"/>
        </w:rPr>
        <w:t>, including its unamortized deferred costs and fair market value</w:t>
      </w:r>
    </w:p>
    <w:p w14:paraId="71F3ECE2" w14:textId="77777777" w:rsidR="00BD3814" w:rsidRPr="00633D20" w:rsidRDefault="00BD3814" w:rsidP="00633D20">
      <w:pPr>
        <w:pBdr>
          <w:top w:val="nil"/>
          <w:left w:val="nil"/>
          <w:bottom w:val="nil"/>
          <w:right w:val="nil"/>
          <w:between w:val="nil"/>
          <w:bar w:val="nil"/>
        </w:pBdr>
        <w:spacing w:line="240" w:lineRule="atLeast"/>
        <w:rPr>
          <w:rFonts w:ascii="Arial" w:eastAsia="Arial" w:hAnsi="Arial" w:cs="Arial"/>
          <w:szCs w:val="24"/>
          <w:bdr w:val="nil"/>
          <w:lang w:val="en-US"/>
        </w:rPr>
      </w:pPr>
    </w:p>
    <w:p w14:paraId="71F3ECE3" w14:textId="77777777" w:rsidR="00F65742" w:rsidRPr="00633D20" w:rsidRDefault="003A4815" w:rsidP="00F65742">
      <w:pPr>
        <w:pBdr>
          <w:top w:val="nil"/>
          <w:left w:val="nil"/>
          <w:bottom w:val="nil"/>
          <w:right w:val="nil"/>
          <w:between w:val="nil"/>
          <w:bar w:val="nil"/>
        </w:pBdr>
        <w:spacing w:line="240" w:lineRule="atLeast"/>
        <w:rPr>
          <w:rFonts w:ascii="Arial" w:eastAsia="Arial" w:hAnsi="Arial" w:cs="Arial"/>
          <w:szCs w:val="20"/>
          <w:bdr w:val="nil"/>
          <w:lang w:val="en-US"/>
        </w:rPr>
      </w:pPr>
      <w:r w:rsidRPr="00633D20">
        <w:rPr>
          <w:rFonts w:ascii="Arial" w:eastAsia="Arial" w:hAnsi="Arial" w:cs="Arial"/>
          <w:szCs w:val="20"/>
          <w:lang w:val="en-US"/>
        </w:rPr>
        <w:t xml:space="preserve">The Company makes various assumptions and judgments to determine the undiscounted projected net operating cash flows expected to be generated over the remaining useful life of the vessel, including estimates and assumptions related to the future charter rates. Future charter rates are the most significant and subjective assumption that the Company uses for its undiscounted projected net operating cash flows. For periods of time where the vessels are not fixed under time charter contracts, the Company estimates the future daily time charter equivalent rate (the “future charter rate”) for the vessels’ unfixed days based on the most recent 10-year average of historical 1 year time charter rates available for each vessel class, as such averages take into account the volatility and cyclicality of the market. </w:t>
      </w:r>
      <w:r w:rsidRPr="00633D20">
        <w:rPr>
          <w:rFonts w:ascii="Arial" w:eastAsia="Arial" w:hAnsi="Arial" w:cs="Arial"/>
          <w:color w:val="000000"/>
          <w:kern w:val="2"/>
          <w:szCs w:val="20"/>
          <w:lang w:val="en-US"/>
        </w:rPr>
        <w:t>These assumptions are based on historical trends as well as future expectations. Assumptions are in line with the Company’s historical performance and its expectations for future fleet deployment strategy.</w:t>
      </w:r>
    </w:p>
    <w:p w14:paraId="71F3ECE4"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szCs w:val="20"/>
          <w:bdr w:val="nil"/>
          <w:lang w:val="en-US"/>
        </w:rPr>
      </w:pPr>
    </w:p>
    <w:p w14:paraId="71F3ECE5" w14:textId="77777777" w:rsidR="00B2523B" w:rsidRPr="00633D20" w:rsidRDefault="003A4815" w:rsidP="00B2523B">
      <w:pPr>
        <w:pBdr>
          <w:top w:val="nil"/>
          <w:left w:val="nil"/>
          <w:bottom w:val="nil"/>
          <w:right w:val="nil"/>
          <w:between w:val="nil"/>
          <w:bar w:val="nil"/>
        </w:pBdr>
        <w:spacing w:line="240" w:lineRule="atLeast"/>
        <w:rPr>
          <w:rFonts w:ascii="Arial" w:eastAsia="Arial" w:hAnsi="Arial" w:cs="Arial"/>
          <w:szCs w:val="20"/>
          <w:bdr w:val="nil"/>
          <w:lang w:val="en-US"/>
        </w:rPr>
      </w:pPr>
      <w:r w:rsidRPr="00633D20">
        <w:rPr>
          <w:rFonts w:ascii="Arial" w:eastAsia="Arial" w:hAnsi="Arial" w:cs="Arial"/>
          <w:szCs w:val="20"/>
          <w:lang w:val="en-US"/>
        </w:rPr>
        <w:t xml:space="preserve">We identified future charter rates for vessels with impairment indicators used in the undiscounted projected net operating cash flows as a critical audit matter because of the complex judgements made by management to estimate them and the significant impact these estimates have on the undiscounted projected net cash flows expected to be generated over the remaining useful life of the vessel.  </w:t>
      </w:r>
    </w:p>
    <w:p w14:paraId="71F3ECE6" w14:textId="77777777" w:rsidR="00B2523B" w:rsidRPr="00633D20" w:rsidRDefault="00B2523B" w:rsidP="00B2523B">
      <w:pPr>
        <w:pBdr>
          <w:top w:val="nil"/>
          <w:left w:val="nil"/>
          <w:bottom w:val="nil"/>
          <w:right w:val="nil"/>
          <w:between w:val="nil"/>
          <w:bar w:val="nil"/>
        </w:pBdr>
        <w:spacing w:line="240" w:lineRule="atLeast"/>
        <w:rPr>
          <w:rFonts w:ascii="Arial" w:eastAsia="Arial" w:hAnsi="Arial" w:cs="Arial"/>
          <w:szCs w:val="20"/>
          <w:bdr w:val="nil"/>
          <w:lang w:val="en-US"/>
        </w:rPr>
      </w:pPr>
    </w:p>
    <w:p w14:paraId="71F3ECE7" w14:textId="77777777" w:rsidR="00BD3814" w:rsidRPr="00633D20" w:rsidRDefault="00BD3814" w:rsidP="00633D20">
      <w:pPr>
        <w:pBdr>
          <w:top w:val="nil"/>
          <w:left w:val="nil"/>
          <w:bottom w:val="nil"/>
          <w:right w:val="nil"/>
          <w:between w:val="nil"/>
          <w:bar w:val="nil"/>
        </w:pBdr>
        <w:spacing w:line="240" w:lineRule="atLeast"/>
        <w:rPr>
          <w:rFonts w:ascii="Arial" w:eastAsia="Arial" w:hAnsi="Arial" w:cs="Arial"/>
          <w:kern w:val="2"/>
          <w:szCs w:val="24"/>
          <w:bdr w:val="nil"/>
          <w:lang w:val="en-US"/>
        </w:rPr>
      </w:pPr>
    </w:p>
    <w:p w14:paraId="71F3ECE8"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szCs w:val="20"/>
          <w:bdr w:val="nil"/>
          <w:lang w:val="en-US"/>
        </w:rPr>
      </w:pPr>
      <w:r w:rsidRPr="00633D20">
        <w:rPr>
          <w:rFonts w:ascii="Arial" w:eastAsia="Arial" w:hAnsi="Arial" w:cs="Arial"/>
          <w:szCs w:val="24"/>
          <w:lang w:val="en-US"/>
        </w:rPr>
        <w:t xml:space="preserve">This </w:t>
      </w:r>
      <w:r w:rsidRPr="00633D20">
        <w:rPr>
          <w:rFonts w:ascii="Arial" w:eastAsia="Arial" w:hAnsi="Arial" w:cs="Arial"/>
          <w:szCs w:val="20"/>
          <w:lang w:val="en-US"/>
        </w:rPr>
        <w:t>required a high degree of auditor judgment and an increased extent of effort when performing audit procedures to evaluate the reasonableness of management’s future charter rates.</w:t>
      </w:r>
    </w:p>
    <w:p w14:paraId="71F3ECE9"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szCs w:val="20"/>
          <w:bdr w:val="nil"/>
          <w:lang w:val="en-US"/>
        </w:rPr>
      </w:pPr>
    </w:p>
    <w:p w14:paraId="71F3ECEA" w14:textId="77777777" w:rsidR="00BD3814" w:rsidRPr="00633D20" w:rsidRDefault="003A4815" w:rsidP="00BD3814">
      <w:pPr>
        <w:pBdr>
          <w:top w:val="nil"/>
          <w:left w:val="nil"/>
          <w:bottom w:val="nil"/>
          <w:right w:val="nil"/>
          <w:between w:val="nil"/>
          <w:bar w:val="nil"/>
        </w:pBdr>
        <w:spacing w:after="160" w:line="278" w:lineRule="auto"/>
        <w:rPr>
          <w:rFonts w:ascii="Arial" w:eastAsia="Arial" w:hAnsi="Arial" w:cs="Arial"/>
          <w:b/>
          <w:i/>
          <w:kern w:val="2"/>
          <w:szCs w:val="20"/>
          <w:bdr w:val="nil"/>
          <w:lang w:val="en-GB"/>
        </w:rPr>
      </w:pPr>
      <w:r w:rsidRPr="00633D20">
        <w:rPr>
          <w:rFonts w:ascii="Arial" w:eastAsia="Arial" w:hAnsi="Arial" w:cs="Arial"/>
          <w:b/>
          <w:i/>
          <w:kern w:val="2"/>
          <w:szCs w:val="20"/>
          <w:lang w:val="en-GB"/>
        </w:rPr>
        <w:br w:type="page"/>
      </w:r>
    </w:p>
    <w:p w14:paraId="71F3ECEB"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b/>
          <w:i/>
          <w:kern w:val="2"/>
          <w:szCs w:val="24"/>
          <w:bdr w:val="nil"/>
          <w:lang w:val="en-GB"/>
        </w:rPr>
      </w:pPr>
      <w:r w:rsidRPr="00633D20">
        <w:rPr>
          <w:rFonts w:ascii="Arial" w:eastAsia="Arial" w:hAnsi="Arial" w:cs="Arial"/>
          <w:b/>
          <w:i/>
          <w:kern w:val="2"/>
          <w:szCs w:val="20"/>
          <w:lang w:val="en-GB"/>
        </w:rPr>
        <w:t>How the Critical Audit</w:t>
      </w:r>
      <w:r w:rsidRPr="00633D20">
        <w:rPr>
          <w:rFonts w:ascii="Arial" w:eastAsia="Arial" w:hAnsi="Arial" w:cs="Arial"/>
          <w:b/>
          <w:i/>
          <w:kern w:val="2"/>
          <w:szCs w:val="24"/>
          <w:lang w:val="en-GB"/>
        </w:rPr>
        <w:t xml:space="preserve"> Matter Was Addressed in the Audit</w:t>
      </w:r>
    </w:p>
    <w:p w14:paraId="71F3ECEC"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b/>
          <w:i/>
          <w:kern w:val="2"/>
          <w:szCs w:val="20"/>
          <w:bdr w:val="nil"/>
          <w:lang w:val="en-US"/>
        </w:rPr>
      </w:pPr>
    </w:p>
    <w:p w14:paraId="71F3ECED" w14:textId="77777777" w:rsidR="00814195" w:rsidRPr="00633D20" w:rsidRDefault="003A4815" w:rsidP="00814195">
      <w:pPr>
        <w:pBdr>
          <w:top w:val="nil"/>
          <w:left w:val="nil"/>
          <w:bottom w:val="nil"/>
          <w:right w:val="nil"/>
          <w:between w:val="nil"/>
          <w:bar w:val="nil"/>
        </w:pBdr>
        <w:spacing w:line="240" w:lineRule="atLeast"/>
        <w:rPr>
          <w:rFonts w:ascii="Arial" w:eastAsia="Arial" w:hAnsi="Arial" w:cs="Arial"/>
          <w:kern w:val="2"/>
          <w:szCs w:val="20"/>
          <w:bdr w:val="nil"/>
          <w:lang w:val="en-US"/>
        </w:rPr>
      </w:pPr>
      <w:r w:rsidRPr="00633D20">
        <w:rPr>
          <w:rFonts w:ascii="Arial" w:eastAsia="Arial" w:hAnsi="Arial" w:cs="Arial"/>
          <w:kern w:val="2"/>
          <w:szCs w:val="20"/>
          <w:lang w:val="en-US"/>
        </w:rPr>
        <w:t xml:space="preserve">Our audit procedures related to the future charter rates for vessels with impairment indicators used in the undiscounted projected net operating cash flows included the following, among others: </w:t>
      </w:r>
    </w:p>
    <w:p w14:paraId="71F3ECEE" w14:textId="77777777" w:rsidR="00814195" w:rsidRPr="00633D20" w:rsidRDefault="00814195" w:rsidP="00814195">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EF" w14:textId="77777777" w:rsidR="00814195" w:rsidRPr="00633D20" w:rsidRDefault="003A4815" w:rsidP="00814195">
      <w:pPr>
        <w:pBdr>
          <w:top w:val="nil"/>
          <w:left w:val="nil"/>
          <w:bottom w:val="nil"/>
          <w:right w:val="nil"/>
          <w:between w:val="nil"/>
          <w:bar w:val="nil"/>
        </w:pBdr>
        <w:spacing w:line="240" w:lineRule="atLeast"/>
        <w:ind w:left="709" w:hanging="709"/>
        <w:rPr>
          <w:rFonts w:ascii="Arial" w:eastAsia="Arial" w:hAnsi="Arial" w:cs="Arial"/>
          <w:kern w:val="2"/>
          <w:szCs w:val="20"/>
          <w:bdr w:val="nil"/>
          <w:lang w:val="en-US"/>
        </w:rPr>
      </w:pPr>
      <w:r w:rsidRPr="00633D20">
        <w:rPr>
          <w:rFonts w:ascii="Arial" w:eastAsia="Arial" w:hAnsi="Arial" w:cs="Arial"/>
          <w:kern w:val="2"/>
          <w:szCs w:val="20"/>
          <w:lang w:val="en-US"/>
        </w:rPr>
        <w:t>•</w:t>
      </w:r>
      <w:r w:rsidRPr="00633D20">
        <w:rPr>
          <w:rFonts w:ascii="Arial" w:eastAsia="Arial" w:hAnsi="Arial" w:cs="Arial"/>
          <w:kern w:val="2"/>
          <w:szCs w:val="20"/>
          <w:lang w:val="en-US"/>
        </w:rPr>
        <w:tab/>
        <w:t>We tested the effectiveness of controls over management’s review of the impairment analysis, including the future charter rates used within the undiscounted projected net operating cash flows.</w:t>
      </w:r>
    </w:p>
    <w:p w14:paraId="71F3ECF0" w14:textId="77777777" w:rsidR="00814195" w:rsidRPr="00633D20" w:rsidRDefault="00814195" w:rsidP="00814195">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F1" w14:textId="77777777" w:rsidR="00814195" w:rsidRPr="00633D20" w:rsidRDefault="003A4815" w:rsidP="00814195">
      <w:pPr>
        <w:pBdr>
          <w:top w:val="nil"/>
          <w:left w:val="nil"/>
          <w:bottom w:val="nil"/>
          <w:right w:val="nil"/>
          <w:between w:val="nil"/>
          <w:bar w:val="nil"/>
        </w:pBdr>
        <w:spacing w:line="240" w:lineRule="atLeast"/>
        <w:ind w:left="709" w:hanging="709"/>
        <w:rPr>
          <w:rFonts w:ascii="Arial" w:eastAsia="Arial" w:hAnsi="Arial" w:cs="Arial"/>
          <w:kern w:val="2"/>
          <w:szCs w:val="20"/>
          <w:bdr w:val="nil"/>
          <w:lang w:val="en-US"/>
        </w:rPr>
      </w:pPr>
      <w:r w:rsidRPr="00633D20">
        <w:rPr>
          <w:rFonts w:ascii="Arial" w:eastAsia="Arial" w:hAnsi="Arial" w:cs="Arial"/>
          <w:kern w:val="2"/>
          <w:szCs w:val="20"/>
          <w:lang w:val="en-US"/>
        </w:rPr>
        <w:t>•</w:t>
      </w:r>
      <w:r w:rsidRPr="00633D20">
        <w:rPr>
          <w:rFonts w:ascii="Arial" w:eastAsia="Arial" w:hAnsi="Arial" w:cs="Arial"/>
          <w:kern w:val="2"/>
          <w:szCs w:val="20"/>
          <w:lang w:val="en-US"/>
        </w:rPr>
        <w:tab/>
        <w:t>We evaluated the Company’s methodology for estimating the future charter rates utilized in the undiscounted projected net operating cash flows by comparing them to 1) the Company’s historical rates, 2) historical rate information of similar size vessels published by a third-party broker and 3) other external market sources, including reports on prospective market outlook.</w:t>
      </w:r>
    </w:p>
    <w:p w14:paraId="71F3ECF2" w14:textId="77777777" w:rsidR="00814195" w:rsidRPr="00633D20" w:rsidRDefault="00814195" w:rsidP="00814195">
      <w:pPr>
        <w:pBdr>
          <w:top w:val="nil"/>
          <w:left w:val="nil"/>
          <w:bottom w:val="nil"/>
          <w:right w:val="nil"/>
          <w:between w:val="nil"/>
          <w:bar w:val="nil"/>
        </w:pBdr>
        <w:spacing w:line="240" w:lineRule="atLeast"/>
        <w:ind w:left="1276" w:hanging="567"/>
        <w:rPr>
          <w:rFonts w:ascii="Arial" w:eastAsia="Arial" w:hAnsi="Arial" w:cs="Arial"/>
          <w:kern w:val="2"/>
          <w:szCs w:val="20"/>
          <w:bdr w:val="nil"/>
          <w:lang w:val="en-US"/>
        </w:rPr>
      </w:pPr>
    </w:p>
    <w:p w14:paraId="71F3ECF3" w14:textId="77777777" w:rsidR="00BD3814" w:rsidRPr="00633D20" w:rsidRDefault="003A4815" w:rsidP="00633D20">
      <w:pPr>
        <w:pStyle w:val="ListParagraph"/>
        <w:numPr>
          <w:ilvl w:val="0"/>
          <w:numId w:val="23"/>
        </w:numPr>
        <w:pBdr>
          <w:top w:val="nil"/>
          <w:left w:val="nil"/>
          <w:bottom w:val="nil"/>
          <w:right w:val="nil"/>
          <w:between w:val="nil"/>
          <w:bar w:val="nil"/>
        </w:pBdr>
        <w:adjustRightInd w:val="0"/>
        <w:spacing w:line="240" w:lineRule="atLeast"/>
        <w:rPr>
          <w:rFonts w:ascii="Arial" w:eastAsia="Arial" w:hAnsi="Arial" w:cs="Arial"/>
          <w:color w:val="000000"/>
          <w:kern w:val="24"/>
          <w:szCs w:val="20"/>
          <w:bdr w:val="nil"/>
          <w:lang w:val="en-US" w:eastAsia="en-GB"/>
        </w:rPr>
      </w:pPr>
      <w:r w:rsidRPr="00633D20">
        <w:rPr>
          <w:rFonts w:ascii="Arial" w:eastAsia="Arial" w:hAnsi="Arial" w:cs="Arial"/>
          <w:kern w:val="2"/>
          <w:szCs w:val="20"/>
          <w:lang w:val="en-US"/>
        </w:rPr>
        <w:t>We evaluated management’s ability to accurately forecast future charter rates by comparing actual results to management’s historical forecasts.</w:t>
      </w:r>
    </w:p>
    <w:p w14:paraId="71F3ECF4" w14:textId="77777777" w:rsidR="00BD3814" w:rsidRDefault="00BD3814"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p>
    <w:p w14:paraId="71F3ECF5" w14:textId="77777777" w:rsidR="005117FB" w:rsidRPr="00633D20" w:rsidRDefault="005117FB"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p>
    <w:p w14:paraId="71F3ECF6" w14:textId="77777777" w:rsidR="00BD3814" w:rsidRPr="00633D20" w:rsidRDefault="003A4815" w:rsidP="0064438C">
      <w:pPr>
        <w:pBdr>
          <w:top w:val="nil"/>
          <w:left w:val="nil"/>
          <w:bottom w:val="nil"/>
          <w:right w:val="nil"/>
          <w:between w:val="nil"/>
          <w:bar w:val="nil"/>
        </w:pBdr>
        <w:spacing w:after="160" w:line="278" w:lineRule="auto"/>
        <w:rPr>
          <w:rFonts w:ascii="Arial" w:eastAsia="Arial" w:hAnsi="Arial" w:cs="Arial"/>
          <w:color w:val="000000"/>
          <w:kern w:val="24"/>
          <w:szCs w:val="20"/>
          <w:bdr w:val="nil"/>
          <w:lang w:val="en-US" w:eastAsia="en-GB"/>
        </w:rPr>
      </w:pPr>
      <w:r w:rsidRPr="0064438C">
        <w:rPr>
          <w:rFonts w:ascii="Arial" w:eastAsia="Arial" w:hAnsi="Arial" w:cs="Arial"/>
          <w:color w:val="000000"/>
          <w:kern w:val="24"/>
          <w:szCs w:val="20"/>
          <w:lang w:val="en-US" w:eastAsia="en-GB"/>
        </w:rPr>
        <w:t xml:space="preserve">/s/ </w:t>
      </w:r>
      <w:bookmarkStart w:id="378" w:name="XBRL_CS_cf85c9f5d4d04af59778d9d2f75c64a5"/>
      <w:bookmarkStart w:id="379" w:name="XBRL_CS_6afce5e6799f42a0b7c65965a17e189c"/>
      <w:r w:rsidRPr="0064438C">
        <w:rPr>
          <w:rFonts w:ascii="Arial" w:eastAsia="Arial" w:hAnsi="Arial" w:cs="Arial"/>
          <w:color w:val="000000"/>
          <w:kern w:val="24"/>
          <w:szCs w:val="20"/>
          <w:lang w:val="en-US" w:eastAsia="en-GB"/>
        </w:rPr>
        <w:t>Deloitte Certified Public Accountants</w:t>
      </w:r>
      <w:r>
        <w:rPr>
          <w:rFonts w:ascii="Arial" w:eastAsia="Arial" w:hAnsi="Arial" w:cs="Arial"/>
          <w:color w:val="000000"/>
          <w:kern w:val="24"/>
          <w:szCs w:val="20"/>
          <w:lang w:val="en-US" w:eastAsia="en-GB"/>
        </w:rPr>
        <w:t xml:space="preserve"> </w:t>
      </w:r>
      <w:r w:rsidRPr="0064438C">
        <w:rPr>
          <w:rFonts w:ascii="Arial" w:eastAsia="Arial" w:hAnsi="Arial" w:cs="Arial"/>
          <w:color w:val="000000"/>
          <w:kern w:val="24"/>
          <w:szCs w:val="20"/>
          <w:lang w:val="en-US" w:eastAsia="en-GB"/>
        </w:rPr>
        <w:t>S.A.</w:t>
      </w:r>
      <w:bookmarkEnd w:id="378"/>
      <w:bookmarkEnd w:id="379"/>
    </w:p>
    <w:p w14:paraId="71F3ECF7" w14:textId="77777777" w:rsidR="00BD3814" w:rsidRPr="00633D20" w:rsidRDefault="003A4815"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bookmarkStart w:id="380" w:name="XBRL_CS_fff000f46ac0487dbfd5591f804e3404"/>
      <w:bookmarkStart w:id="381" w:name="XBRL_CS_5eff09dfdd2c4c469d0de929028d898e"/>
      <w:r w:rsidRPr="00633D20">
        <w:rPr>
          <w:rFonts w:ascii="Arial" w:eastAsia="Arial" w:hAnsi="Arial" w:cs="Arial"/>
          <w:color w:val="000000"/>
          <w:kern w:val="24"/>
          <w:szCs w:val="20"/>
          <w:lang w:val="en-US" w:eastAsia="en-GB"/>
        </w:rPr>
        <w:t>Athens, Greece</w:t>
      </w:r>
      <w:bookmarkEnd w:id="380"/>
      <w:bookmarkEnd w:id="381"/>
      <w:r w:rsidRPr="00633D20">
        <w:rPr>
          <w:rFonts w:ascii="Arial" w:eastAsia="Arial" w:hAnsi="Arial" w:cs="Arial"/>
          <w:color w:val="000000"/>
          <w:kern w:val="24"/>
          <w:szCs w:val="20"/>
          <w:lang w:val="en-US" w:eastAsia="en-GB"/>
        </w:rPr>
        <w:t xml:space="preserve"> </w:t>
      </w:r>
      <w:r w:rsidRPr="00633D20">
        <w:rPr>
          <w:rFonts w:ascii="Arial" w:eastAsia="Arial" w:hAnsi="Arial" w:cs="Arial"/>
          <w:color w:val="000000"/>
          <w:kern w:val="24"/>
          <w:szCs w:val="20"/>
          <w:lang w:val="en-US" w:eastAsia="en-GB"/>
        </w:rPr>
        <w:br/>
        <w:t xml:space="preserve">March </w:t>
      </w:r>
      <w:r w:rsidR="00E415BE" w:rsidRPr="00633D20">
        <w:rPr>
          <w:rFonts w:ascii="Arial" w:eastAsia="Arial" w:hAnsi="Arial" w:cs="Arial"/>
          <w:color w:val="000000"/>
          <w:kern w:val="24"/>
          <w:szCs w:val="20"/>
          <w:lang w:val="en-US" w:eastAsia="en-GB"/>
        </w:rPr>
        <w:t>1</w:t>
      </w:r>
      <w:r w:rsidR="006E1587">
        <w:rPr>
          <w:rFonts w:ascii="Arial" w:eastAsia="Arial" w:hAnsi="Arial" w:cs="Arial"/>
          <w:color w:val="000000"/>
          <w:kern w:val="24"/>
          <w:szCs w:val="20"/>
          <w:lang w:val="en-US" w:eastAsia="en-GB"/>
        </w:rPr>
        <w:t>3</w:t>
      </w:r>
      <w:r w:rsidRPr="00633D20">
        <w:rPr>
          <w:rFonts w:ascii="Arial" w:eastAsia="Arial" w:hAnsi="Arial" w:cs="Arial"/>
          <w:color w:val="000000"/>
          <w:kern w:val="24"/>
          <w:szCs w:val="20"/>
          <w:lang w:val="en-US" w:eastAsia="en-GB"/>
        </w:rPr>
        <w:t xml:space="preserve">, </w:t>
      </w:r>
      <w:r w:rsidR="00E415BE" w:rsidRPr="00633D20">
        <w:rPr>
          <w:rFonts w:ascii="Arial" w:eastAsia="Arial" w:hAnsi="Arial" w:cs="Arial"/>
          <w:color w:val="000000"/>
          <w:kern w:val="24"/>
          <w:szCs w:val="20"/>
          <w:lang w:val="en-US" w:eastAsia="en-GB"/>
        </w:rPr>
        <w:t>2026</w:t>
      </w:r>
    </w:p>
    <w:p w14:paraId="71F3ECF8"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p>
    <w:p w14:paraId="71F3ECF9" w14:textId="77777777" w:rsidR="00BD3814" w:rsidRDefault="00BD3814"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p>
    <w:p w14:paraId="71F3ECFA" w14:textId="77777777" w:rsidR="005117FB" w:rsidRPr="00633D20" w:rsidRDefault="005117FB" w:rsidP="00BD3814">
      <w:pPr>
        <w:pBdr>
          <w:top w:val="nil"/>
          <w:left w:val="nil"/>
          <w:bottom w:val="nil"/>
          <w:right w:val="nil"/>
          <w:between w:val="nil"/>
          <w:bar w:val="nil"/>
        </w:pBdr>
        <w:spacing w:line="240" w:lineRule="atLeast"/>
        <w:rPr>
          <w:rFonts w:ascii="Arial" w:eastAsia="Arial" w:hAnsi="Arial" w:cs="Arial"/>
          <w:color w:val="000000"/>
          <w:kern w:val="24"/>
          <w:szCs w:val="20"/>
          <w:bdr w:val="nil"/>
          <w:lang w:val="en-US" w:eastAsia="en-GB"/>
        </w:rPr>
      </w:pPr>
    </w:p>
    <w:p w14:paraId="71F3ECFB" w14:textId="77777777" w:rsidR="00BD3814" w:rsidRPr="00633D20" w:rsidRDefault="003A4815" w:rsidP="00633D20">
      <w:pPr>
        <w:pBdr>
          <w:top w:val="nil"/>
          <w:left w:val="nil"/>
          <w:bottom w:val="nil"/>
          <w:right w:val="nil"/>
          <w:between w:val="nil"/>
          <w:bar w:val="nil"/>
        </w:pBdr>
        <w:spacing w:line="240" w:lineRule="atLeast"/>
        <w:rPr>
          <w:rFonts w:ascii="Arial" w:eastAsia="Arial" w:hAnsi="Arial" w:cs="Arial"/>
          <w:kern w:val="2"/>
          <w:szCs w:val="24"/>
          <w:bdr w:val="nil"/>
          <w:lang w:val="en-US"/>
        </w:rPr>
      </w:pPr>
      <w:r w:rsidRPr="00633D20">
        <w:rPr>
          <w:rFonts w:ascii="Arial" w:eastAsia="Arial" w:hAnsi="Arial" w:cs="Arial"/>
          <w:color w:val="000000"/>
          <w:kern w:val="24"/>
          <w:szCs w:val="24"/>
          <w:lang w:val="en-US"/>
        </w:rPr>
        <w:t xml:space="preserve">We have served as the Company’s auditor since </w:t>
      </w:r>
      <w:r w:rsidRPr="00633D20">
        <w:rPr>
          <w:rFonts w:ascii="Arial" w:eastAsia="Arial" w:hAnsi="Arial" w:cs="Arial"/>
          <w:color w:val="000000"/>
          <w:kern w:val="24"/>
          <w:szCs w:val="20"/>
          <w:lang w:val="en-US" w:eastAsia="en-GB"/>
        </w:rPr>
        <w:t>2024</w:t>
      </w:r>
      <w:r w:rsidRPr="00633D20">
        <w:rPr>
          <w:rFonts w:ascii="Arial" w:eastAsia="Arial" w:hAnsi="Arial" w:cs="Arial"/>
          <w:kern w:val="2"/>
          <w:szCs w:val="20"/>
          <w:lang w:val="en-US"/>
        </w:rPr>
        <w:t>.</w:t>
      </w:r>
    </w:p>
    <w:p w14:paraId="71F3ECFC"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FD"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FE"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CFF" w14:textId="77777777" w:rsidR="00BD3814"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0"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1"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2"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3"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4"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5"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6"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7"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8" w14:textId="77777777" w:rsidR="005117FB" w:rsidRPr="00633D20"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9"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A"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B"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C"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D" w14:textId="77777777" w:rsidR="00BD3814"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E" w14:textId="77777777" w:rsidR="005117FB"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0F" w14:textId="77777777" w:rsidR="005117FB" w:rsidRPr="00633D20" w:rsidRDefault="005117FB"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10"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11"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12"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13" w14:textId="77777777" w:rsidR="00BD3814" w:rsidRPr="00633D20" w:rsidRDefault="00BD3814" w:rsidP="00BD3814">
      <w:pPr>
        <w:pBdr>
          <w:top w:val="nil"/>
          <w:left w:val="nil"/>
          <w:bottom w:val="nil"/>
          <w:right w:val="nil"/>
          <w:between w:val="nil"/>
          <w:bar w:val="nil"/>
        </w:pBdr>
        <w:spacing w:line="240" w:lineRule="atLeast"/>
        <w:rPr>
          <w:rFonts w:ascii="Arial" w:eastAsia="Arial" w:hAnsi="Arial" w:cs="Arial"/>
          <w:kern w:val="2"/>
          <w:szCs w:val="20"/>
          <w:bdr w:val="nil"/>
          <w:lang w:val="en-US"/>
        </w:rPr>
      </w:pPr>
    </w:p>
    <w:p w14:paraId="71F3ED14" w14:textId="77777777" w:rsidR="00105906" w:rsidRPr="00AA189B" w:rsidRDefault="003A4815" w:rsidP="00105906">
      <w:pPr>
        <w:pStyle w:val="NormalWeb"/>
        <w:pageBreakBefore/>
        <w:pBdr>
          <w:top w:val="nil"/>
          <w:left w:val="nil"/>
          <w:bottom w:val="nil"/>
          <w:right w:val="nil"/>
          <w:between w:val="nil"/>
          <w:bar w:val="nil"/>
        </w:pBdr>
        <w:spacing w:before="0" w:after="0" w:line="240" w:lineRule="atLeast"/>
        <w:rPr>
          <w:rFonts w:ascii="Arial" w:eastAsia="Arial" w:hAnsi="Arial" w:cs="Arial"/>
          <w:b/>
          <w:bCs/>
          <w:color w:val="000000"/>
          <w:kern w:val="24"/>
          <w:szCs w:val="20"/>
          <w:highlight w:val="white"/>
          <w:bdr w:val="nil"/>
          <w:lang w:val="en-US"/>
        </w:rPr>
      </w:pPr>
      <w:bookmarkStart w:id="382" w:name="RG_MARKER_22964"/>
      <w:r w:rsidRPr="00AA189B">
        <w:rPr>
          <w:rFonts w:ascii="Arial" w:eastAsia="Arial" w:hAnsi="Arial" w:cs="Arial"/>
          <w:b/>
          <w:bCs/>
          <w:color w:val="000000"/>
          <w:kern w:val="24"/>
          <w:szCs w:val="20"/>
          <w:highlight w:val="white"/>
          <w:lang w:val="en-US" w:eastAsia="el-GR"/>
        </w:rPr>
        <w:t xml:space="preserve">Report </w:t>
      </w:r>
      <w:bookmarkEnd w:id="382"/>
      <w:r w:rsidRPr="00AA189B">
        <w:rPr>
          <w:rFonts w:ascii="Arial" w:eastAsia="Arial" w:hAnsi="Arial" w:cs="Arial"/>
          <w:b/>
          <w:bCs/>
          <w:color w:val="000000"/>
          <w:kern w:val="24"/>
          <w:szCs w:val="20"/>
          <w:highlight w:val="white"/>
          <w:lang w:val="en-US" w:eastAsia="el-GR"/>
        </w:rPr>
        <w:t>of Independent Registered Public Accounting Firm</w:t>
      </w:r>
    </w:p>
    <w:p w14:paraId="71F3ED15"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b/>
          <w:bCs/>
          <w:color w:val="000000"/>
          <w:kern w:val="24"/>
          <w:szCs w:val="20"/>
          <w:highlight w:val="white"/>
          <w:bdr w:val="nil"/>
          <w:lang w:val="en-US"/>
        </w:rPr>
      </w:pPr>
    </w:p>
    <w:p w14:paraId="71F3ED16"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lang w:val="en-GB" w:eastAsia="el-GR"/>
          <w:specVanish/>
        </w:rPr>
        <w:t xml:space="preserve">To the </w:t>
      </w:r>
      <w:r w:rsidRPr="00AA189B">
        <w:rPr>
          <w:rFonts w:ascii="Arial" w:eastAsia="Arial" w:hAnsi="Arial" w:cs="Arial"/>
          <w:szCs w:val="20"/>
          <w:lang w:val="en-GB" w:eastAsia="el-GR"/>
        </w:rPr>
        <w:t>Shareholders</w:t>
      </w:r>
      <w:r w:rsidRPr="00AA189B">
        <w:rPr>
          <w:rFonts w:ascii="Arial" w:eastAsia="Arial" w:hAnsi="Arial" w:cs="Arial"/>
          <w:lang w:val="en-GB" w:eastAsia="el-GR"/>
          <w:specVanish/>
        </w:rPr>
        <w:t xml:space="preserve"> and the Board of Directors of </w:t>
      </w:r>
      <w:r w:rsidRPr="00AA189B">
        <w:rPr>
          <w:rFonts w:ascii="Arial" w:eastAsia="Arial" w:hAnsi="Arial" w:cs="Arial"/>
          <w:szCs w:val="20"/>
          <w:lang w:val="en-GB" w:eastAsia="el-GR"/>
        </w:rPr>
        <w:t>Diana Shipping Inc.</w:t>
      </w:r>
    </w:p>
    <w:p w14:paraId="71F3ED17"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18"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
          <w:color w:val="000000"/>
          <w:kern w:val="24"/>
          <w:highlight w:val="white"/>
          <w:bdr w:val="nil"/>
          <w:lang w:val="en-US"/>
          <w:specVanish/>
        </w:rPr>
      </w:pPr>
      <w:r w:rsidRPr="00AA189B">
        <w:rPr>
          <w:rFonts w:ascii="Arial" w:eastAsia="Arial" w:hAnsi="Arial" w:cs="Arial"/>
          <w:color w:val="000000"/>
          <w:kern w:val="24"/>
          <w:highlight w:val="white"/>
          <w:lang w:val="en-US" w:eastAsia="el-GR"/>
          <w:specVanish/>
        </w:rPr>
        <w:t>Opinion on Internal Control over Financial Reporting</w:t>
      </w:r>
    </w:p>
    <w:p w14:paraId="71F3ED19"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b/>
          <w:bCs/>
          <w:color w:val="000000"/>
          <w:kern w:val="24"/>
          <w:szCs w:val="20"/>
          <w:highlight w:val="white"/>
          <w:bdr w:val="nil"/>
          <w:lang w:val="en-US"/>
        </w:rPr>
      </w:pPr>
    </w:p>
    <w:p w14:paraId="71F3ED1A"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lang w:val="en-GB" w:eastAsia="el-GR"/>
          <w:specVanish/>
        </w:rPr>
        <w:t xml:space="preserve">We have audited the internal control over financial reporting of </w:t>
      </w:r>
      <w:r w:rsidRPr="00AA189B">
        <w:rPr>
          <w:rFonts w:ascii="Arial" w:eastAsia="Arial" w:hAnsi="Arial" w:cs="Arial"/>
          <w:szCs w:val="20"/>
          <w:lang w:val="en-GB" w:eastAsia="el-GR"/>
        </w:rPr>
        <w:t xml:space="preserve">Diana Shipping Inc. </w:t>
      </w:r>
      <w:r w:rsidRPr="00AA189B">
        <w:rPr>
          <w:rFonts w:ascii="Arial" w:eastAsia="Arial" w:hAnsi="Arial" w:cs="Arial"/>
          <w:lang w:val="en-GB" w:eastAsia="el-GR"/>
          <w:specVanish/>
        </w:rPr>
        <w:t xml:space="preserve">and subsidiaries (the “Company”) as of December 31, </w:t>
      </w:r>
      <w:r w:rsidR="00CE4DDB" w:rsidRPr="00AA189B">
        <w:rPr>
          <w:rFonts w:ascii="Arial" w:eastAsia="Arial" w:hAnsi="Arial" w:cs="Arial"/>
          <w:szCs w:val="20"/>
          <w:lang w:val="en-GB" w:eastAsia="el-GR"/>
        </w:rPr>
        <w:t>2025</w:t>
      </w:r>
      <w:r w:rsidRPr="00AA189B">
        <w:rPr>
          <w:rFonts w:ascii="Arial" w:eastAsia="Arial" w:hAnsi="Arial" w:cs="Arial"/>
          <w:lang w:val="en-GB" w:eastAsia="el-GR"/>
          <w:specVanish/>
        </w:rPr>
        <w:t xml:space="preserve">, based on criteria established in Internal Control </w:t>
      </w:r>
      <w:r w:rsidRPr="00AA189B">
        <w:rPr>
          <w:rFonts w:ascii="Arial" w:eastAsia="Arial" w:hAnsi="Arial" w:cs="Arial"/>
          <w:szCs w:val="20"/>
          <w:lang w:val="en-GB" w:eastAsia="el-GR"/>
        </w:rPr>
        <w:t>-</w:t>
      </w:r>
      <w:r w:rsidRPr="00AA189B">
        <w:rPr>
          <w:rFonts w:ascii="Arial" w:eastAsia="Arial" w:hAnsi="Arial" w:cs="Arial"/>
          <w:lang w:val="en-GB" w:eastAsia="el-GR"/>
          <w:specVanish/>
        </w:rPr>
        <w:t xml:space="preserve"> Integrated Framework (2013) issued by the Committee of Sponsoring Organizations of the Treadway Commission (COSO). </w:t>
      </w:r>
      <w:r w:rsidRPr="00AA189B">
        <w:rPr>
          <w:rFonts w:ascii="Arial" w:eastAsia="Arial" w:hAnsi="Arial" w:cs="Arial"/>
          <w:szCs w:val="20"/>
          <w:lang w:val="en-GB" w:eastAsia="el-GR"/>
        </w:rPr>
        <w:t xml:space="preserve"> </w:t>
      </w:r>
      <w:r w:rsidRPr="00AA189B">
        <w:rPr>
          <w:rFonts w:ascii="Arial" w:eastAsia="Arial" w:hAnsi="Arial" w:cs="Arial"/>
          <w:lang w:val="en-GB" w:eastAsia="el-GR"/>
          <w:specVanish/>
        </w:rPr>
        <w:t xml:space="preserve">In our opinion, the Company maintained, in all material respects, effective internal control over financial reporting as of December 31, </w:t>
      </w:r>
      <w:r w:rsidR="00316AB2" w:rsidRPr="00AA189B">
        <w:rPr>
          <w:rFonts w:ascii="Arial" w:eastAsia="Arial" w:hAnsi="Arial" w:cs="Arial"/>
          <w:szCs w:val="20"/>
          <w:lang w:val="en-GB" w:eastAsia="el-GR"/>
        </w:rPr>
        <w:t>2025</w:t>
      </w:r>
      <w:r w:rsidRPr="00AA189B">
        <w:rPr>
          <w:rFonts w:ascii="Arial" w:eastAsia="Arial" w:hAnsi="Arial" w:cs="Arial"/>
          <w:lang w:val="en-GB" w:eastAsia="el-GR"/>
          <w:specVanish/>
        </w:rPr>
        <w:t xml:space="preserve">, based on criteria established in Internal Control </w:t>
      </w:r>
      <w:r w:rsidRPr="00AA189B">
        <w:rPr>
          <w:rFonts w:ascii="Arial" w:eastAsia="Arial" w:hAnsi="Arial" w:cs="Arial"/>
          <w:szCs w:val="20"/>
          <w:lang w:val="en-GB" w:eastAsia="el-GR"/>
        </w:rPr>
        <w:t>-</w:t>
      </w:r>
      <w:r w:rsidRPr="00AA189B">
        <w:rPr>
          <w:rFonts w:ascii="Arial" w:eastAsia="Arial" w:hAnsi="Arial" w:cs="Arial"/>
          <w:lang w:val="en-GB" w:eastAsia="el-GR"/>
          <w:specVanish/>
        </w:rPr>
        <w:t xml:space="preserve"> Integrated Framework (2013) issued by COSO.</w:t>
      </w:r>
    </w:p>
    <w:p w14:paraId="71F3ED1B"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1C" w14:textId="77777777" w:rsidR="00105906" w:rsidRPr="00AA189B" w:rsidRDefault="003A4815" w:rsidP="00AA189B">
      <w:pPr>
        <w:pBdr>
          <w:top w:val="nil"/>
          <w:left w:val="nil"/>
          <w:bottom w:val="nil"/>
          <w:right w:val="nil"/>
          <w:between w:val="nil"/>
          <w:bar w:val="nil"/>
        </w:pBdr>
        <w:spacing w:line="240" w:lineRule="atLeast"/>
        <w:rPr>
          <w:rFonts w:ascii="Arial" w:eastAsia="Arial" w:hAnsi="Arial" w:cs="Arial"/>
          <w:bdr w:val="nil"/>
          <w:lang w:val="en-GB"/>
          <w:specVanish/>
        </w:rPr>
      </w:pPr>
      <w:r w:rsidRPr="00AA189B">
        <w:rPr>
          <w:rFonts w:ascii="Arial" w:eastAsia="Arial" w:hAnsi="Arial" w:cs="Arial"/>
          <w:szCs w:val="20"/>
          <w:lang w:val="en-GB"/>
          <w:specVanish/>
        </w:rPr>
        <w:t xml:space="preserve">We have also audited, in accordance with the standards of the Public Company Accounting Oversight Board (United States) (PCAOB), the consolidated financial statements as of and for the year ended December 31, </w:t>
      </w:r>
      <w:r w:rsidR="00514782" w:rsidRPr="00AA189B">
        <w:rPr>
          <w:rFonts w:ascii="Arial" w:eastAsia="Arial" w:hAnsi="Arial" w:cs="Arial"/>
          <w:szCs w:val="20"/>
          <w:lang w:val="en-GB" w:eastAsia="el-GR"/>
        </w:rPr>
        <w:t>2025</w:t>
      </w:r>
      <w:r w:rsidRPr="00AA189B">
        <w:rPr>
          <w:rFonts w:ascii="Arial" w:eastAsia="Arial" w:hAnsi="Arial" w:cs="Arial"/>
          <w:szCs w:val="20"/>
          <w:lang w:val="en-GB" w:eastAsia="el-GR"/>
        </w:rPr>
        <w:t>,</w:t>
      </w:r>
      <w:r w:rsidRPr="00AA189B">
        <w:rPr>
          <w:rFonts w:ascii="Arial" w:eastAsia="Arial" w:hAnsi="Arial" w:cs="Arial"/>
          <w:szCs w:val="20"/>
          <w:lang w:val="en-GB"/>
          <w:specVanish/>
        </w:rPr>
        <w:t xml:space="preserve"> of the Company and our report dated </w:t>
      </w:r>
      <w:r w:rsidRPr="00AA189B">
        <w:rPr>
          <w:rFonts w:ascii="Arial" w:eastAsia="Arial" w:hAnsi="Arial" w:cs="Arial"/>
          <w:szCs w:val="20"/>
          <w:lang w:val="en-GB" w:eastAsia="el-GR"/>
        </w:rPr>
        <w:t xml:space="preserve">March </w:t>
      </w:r>
      <w:r w:rsidR="00A91EB8" w:rsidRPr="00AA189B">
        <w:rPr>
          <w:rFonts w:ascii="Arial" w:eastAsia="Arial" w:hAnsi="Arial" w:cs="Arial"/>
          <w:szCs w:val="20"/>
          <w:lang w:val="en-GB" w:eastAsia="el-GR"/>
        </w:rPr>
        <w:t>1</w:t>
      </w:r>
      <w:r w:rsidR="00174832">
        <w:rPr>
          <w:rFonts w:ascii="Arial" w:eastAsia="Arial" w:hAnsi="Arial" w:cs="Arial"/>
          <w:szCs w:val="20"/>
          <w:lang w:val="en-GB" w:eastAsia="el-GR"/>
        </w:rPr>
        <w:t>3</w:t>
      </w:r>
      <w:r w:rsidRPr="00AA189B">
        <w:rPr>
          <w:rFonts w:ascii="Arial" w:eastAsia="Arial" w:hAnsi="Arial" w:cs="Arial"/>
          <w:szCs w:val="20"/>
          <w:lang w:val="en-GB" w:eastAsia="el-GR"/>
        </w:rPr>
        <w:t xml:space="preserve">, </w:t>
      </w:r>
      <w:r w:rsidR="00A91EB8" w:rsidRPr="00AA189B">
        <w:rPr>
          <w:rFonts w:ascii="Arial" w:eastAsia="Arial" w:hAnsi="Arial" w:cs="Arial"/>
          <w:szCs w:val="20"/>
          <w:lang w:val="en-GB" w:eastAsia="el-GR"/>
        </w:rPr>
        <w:t>2026</w:t>
      </w:r>
      <w:r w:rsidRPr="00AA189B">
        <w:rPr>
          <w:rFonts w:ascii="Arial" w:eastAsia="Arial" w:hAnsi="Arial" w:cs="Arial"/>
          <w:szCs w:val="20"/>
          <w:lang w:val="en-GB" w:eastAsia="el-GR"/>
        </w:rPr>
        <w:t>,</w:t>
      </w:r>
      <w:r w:rsidRPr="00AA189B">
        <w:rPr>
          <w:rFonts w:ascii="Arial" w:eastAsia="Arial" w:hAnsi="Arial" w:cs="Arial"/>
          <w:szCs w:val="20"/>
          <w:lang w:val="en-GB"/>
          <w:specVanish/>
        </w:rPr>
        <w:t xml:space="preserve"> expressed an unqualified opinion on those financial statements</w:t>
      </w:r>
      <w:r w:rsidRPr="00AA189B">
        <w:rPr>
          <w:rFonts w:ascii="Arial" w:eastAsia="Arial" w:hAnsi="Arial" w:cs="Arial"/>
          <w:szCs w:val="20"/>
          <w:lang w:val="en-GB" w:eastAsia="el-GR"/>
        </w:rPr>
        <w:t>.</w:t>
      </w:r>
    </w:p>
    <w:p w14:paraId="71F3ED1D" w14:textId="77777777" w:rsidR="00105906" w:rsidRPr="00AA189B" w:rsidRDefault="00105906" w:rsidP="00105906">
      <w:pPr>
        <w:pBdr>
          <w:top w:val="nil"/>
          <w:left w:val="nil"/>
          <w:bottom w:val="nil"/>
          <w:right w:val="nil"/>
          <w:between w:val="nil"/>
          <w:bar w:val="nil"/>
        </w:pBdr>
        <w:spacing w:line="240" w:lineRule="atLeast"/>
        <w:rPr>
          <w:rFonts w:ascii="Arial" w:eastAsia="Arial" w:hAnsi="Arial" w:cs="Arial"/>
          <w:bdr w:val="nil"/>
          <w:lang w:val="en-GB" w:eastAsia="el-GR"/>
        </w:rPr>
      </w:pPr>
    </w:p>
    <w:p w14:paraId="71F3ED1E"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
          <w:color w:val="000000"/>
          <w:kern w:val="24"/>
          <w:highlight w:val="white"/>
          <w:bdr w:val="nil"/>
          <w:lang w:val="en-US"/>
          <w:specVanish/>
        </w:rPr>
      </w:pPr>
      <w:r w:rsidRPr="00AA189B">
        <w:rPr>
          <w:rFonts w:ascii="Arial" w:eastAsia="Arial" w:hAnsi="Arial" w:cs="Arial"/>
          <w:color w:val="000000"/>
          <w:kern w:val="24"/>
          <w:highlight w:val="white"/>
          <w:lang w:val="en-US" w:eastAsia="el-GR"/>
          <w:specVanish/>
        </w:rPr>
        <w:t>Basis for Opinion</w:t>
      </w:r>
      <w:r w:rsidRPr="00AA189B">
        <w:rPr>
          <w:rFonts w:ascii="Arial" w:eastAsia="Arial" w:hAnsi="Arial" w:cs="Arial"/>
          <w:b/>
          <w:bCs/>
          <w:color w:val="000000"/>
          <w:kern w:val="24"/>
          <w:szCs w:val="20"/>
          <w:highlight w:val="white"/>
          <w:lang w:val="en-US" w:eastAsia="el-GR"/>
        </w:rPr>
        <w:t xml:space="preserve"> </w:t>
      </w:r>
    </w:p>
    <w:p w14:paraId="71F3ED1F"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b/>
          <w:bCs/>
          <w:color w:val="000000"/>
          <w:kern w:val="24"/>
          <w:szCs w:val="20"/>
          <w:highlight w:val="white"/>
          <w:bdr w:val="nil"/>
          <w:lang w:val="en-US"/>
        </w:rPr>
      </w:pPr>
    </w:p>
    <w:p w14:paraId="71F3ED20"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lang w:val="en-GB" w:eastAsia="el-GR"/>
          <w:specVanish/>
        </w:rPr>
        <w:t xml:space="preserve">The Company’s management is responsible for maintaining effective internal control over financial reporting and for its assessment of the effectiveness of internal control over financial reporting, included in the accompanying </w:t>
      </w:r>
      <w:r w:rsidRPr="00AA189B">
        <w:rPr>
          <w:rFonts w:ascii="Arial" w:eastAsia="Arial" w:hAnsi="Arial" w:cs="Arial"/>
          <w:szCs w:val="20"/>
          <w:lang w:val="en-GB" w:eastAsia="el-GR"/>
        </w:rPr>
        <w:t>“Management’s Annual Report on Internal Control over Financial Reporting”.</w:t>
      </w:r>
      <w:r w:rsidRPr="00AA189B">
        <w:rPr>
          <w:rFonts w:ascii="Arial" w:eastAsia="Arial" w:hAnsi="Arial" w:cs="Arial"/>
          <w:lang w:val="en-GB" w:eastAsia="el-GR"/>
          <w:specVanish/>
        </w:rPr>
        <w:t xml:space="preserve"> Our responsibility is to express an opinion on the Company’s internal control over financial reporting based on our audit. We are a public accounting firm registered with the PCAOB and are required to be independent with respect to the Company in accordance with the U.S. federal securities laws and the applicable rules and regulations of the Securities and Exchange Commission and the PCAOB.</w:t>
      </w:r>
    </w:p>
    <w:p w14:paraId="71F3ED21"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22"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lang w:val="en-GB" w:eastAsia="el-GR"/>
          <w:specVanish/>
        </w:rPr>
        <w:t>We conducted our audit in accordance with the standards of the PCAOB. Those standards require that we plan and perform the audit to obtain reasonable assurance about whether effective internal control over financial reporting was maintained in all material respects. Our audit included obtaining an understanding of internal control over financial reporting, assessing the risk that a material weakness exists, testing and evaluating the design and operating effectiveness of internal control based on the assessed risk, and performing such other procedures as we considered necessary in the circumstances. We believe that our audit provides a reasonable basis for our opinion.</w:t>
      </w:r>
      <w:r w:rsidRPr="00AA189B">
        <w:rPr>
          <w:rFonts w:ascii="Arial" w:eastAsia="Arial" w:hAnsi="Arial" w:cs="Arial"/>
          <w:szCs w:val="20"/>
          <w:lang w:val="en-GB" w:eastAsia="el-GR"/>
        </w:rPr>
        <w:t xml:space="preserve"> </w:t>
      </w:r>
    </w:p>
    <w:p w14:paraId="71F3ED23" w14:textId="77777777" w:rsidR="00105906" w:rsidRPr="00AA189B" w:rsidRDefault="00105906"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p>
    <w:p w14:paraId="71F3ED24" w14:textId="77777777" w:rsidR="00105906" w:rsidRPr="00AA189B" w:rsidRDefault="003A4815" w:rsidP="00105906">
      <w:pPr>
        <w:pStyle w:val="NormalWeb"/>
        <w:pBdr>
          <w:top w:val="nil"/>
          <w:left w:val="nil"/>
          <w:bottom w:val="nil"/>
          <w:right w:val="nil"/>
          <w:between w:val="nil"/>
          <w:bar w:val="nil"/>
        </w:pBdr>
        <w:spacing w:before="0" w:after="0" w:line="240" w:lineRule="atLeast"/>
        <w:rPr>
          <w:rFonts w:ascii="Arial" w:eastAsia="Arial" w:hAnsi="Arial" w:cs="Arial"/>
          <w:b/>
          <w:bCs/>
          <w:color w:val="000000"/>
          <w:kern w:val="24"/>
          <w:szCs w:val="20"/>
          <w:highlight w:val="white"/>
          <w:bdr w:val="nil"/>
          <w:lang w:val="en-US"/>
        </w:rPr>
      </w:pPr>
      <w:r w:rsidRPr="00AA189B">
        <w:rPr>
          <w:rFonts w:ascii="Arial" w:eastAsia="Arial" w:hAnsi="Arial" w:cs="Arial"/>
          <w:b/>
          <w:color w:val="000000"/>
          <w:kern w:val="24"/>
          <w:highlight w:val="white"/>
          <w:lang w:val="en-US" w:eastAsia="el-GR"/>
          <w:specVanish/>
        </w:rPr>
        <w:t>Definition and Limitations of Internal Control over Financial Reporting</w:t>
      </w:r>
    </w:p>
    <w:p w14:paraId="71F3ED25" w14:textId="77777777" w:rsidR="00105906" w:rsidRPr="00AA189B" w:rsidRDefault="00105906" w:rsidP="00AA189B">
      <w:pPr>
        <w:pStyle w:val="NormalWeb"/>
        <w:pBdr>
          <w:top w:val="nil"/>
          <w:left w:val="nil"/>
          <w:bottom w:val="nil"/>
          <w:right w:val="nil"/>
          <w:between w:val="nil"/>
          <w:bar w:val="nil"/>
        </w:pBdr>
        <w:spacing w:before="0" w:after="0" w:line="240" w:lineRule="atLeast"/>
        <w:rPr>
          <w:rFonts w:ascii="Arial" w:eastAsia="Arial" w:hAnsi="Arial" w:cs="Arial"/>
          <w:b/>
          <w:color w:val="000000"/>
          <w:kern w:val="24"/>
          <w:highlight w:val="white"/>
          <w:bdr w:val="nil"/>
          <w:lang w:val="en-US"/>
          <w:specVanish/>
        </w:rPr>
      </w:pPr>
    </w:p>
    <w:p w14:paraId="71F3ED26"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lang w:val="en-GB" w:eastAsia="el-GR"/>
          <w:specVanish/>
        </w:rPr>
        <w:t>A company’s internal control over financial reporting is a process designed to provide reasonable assurance regarding the reliability of financial reporting and the preparation of financial statements for external purposes in accordance with generally accepted accounting principles. A company’s internal control over financial reporting includes those policies and procedures that (1) pertain to the maintenance of records that, in reasonable detail, accurately and fairly reflect the transactions and dispositions of the assets of the company; (2) provide reasonable assurance that transactions are recorded as necessary to permit preparation of financial statements in accordance with generally accepted accounting principles, and that receipts and expenditures of the company are being made only in accordance with authorizations of management and directors of the company; and (3) provide reasonable assurance regarding prevention or timely detection of unauthorized acquisition, use, or disposition of the company’s assets that could have a material effect on the financial statements.</w:t>
      </w:r>
    </w:p>
    <w:p w14:paraId="71F3ED27" w14:textId="77777777" w:rsidR="00105906" w:rsidRPr="00AA189B" w:rsidRDefault="003A4815" w:rsidP="00105906">
      <w:pPr>
        <w:pBdr>
          <w:top w:val="nil"/>
          <w:left w:val="nil"/>
          <w:bottom w:val="nil"/>
          <w:right w:val="nil"/>
          <w:between w:val="nil"/>
          <w:bar w:val="nil"/>
        </w:pBdr>
        <w:spacing w:line="240" w:lineRule="atLeast"/>
        <w:rPr>
          <w:rFonts w:ascii="Arial" w:eastAsia="Arial" w:hAnsi="Arial" w:cs="Arial"/>
          <w:bdr w:val="nil"/>
          <w:lang w:val="en-GB" w:eastAsia="el-GR"/>
        </w:rPr>
      </w:pPr>
      <w:r w:rsidRPr="00AA189B">
        <w:rPr>
          <w:rFonts w:ascii="Arial" w:eastAsia="Arial" w:hAnsi="Arial" w:cs="Arial"/>
          <w:szCs w:val="20"/>
          <w:lang w:val="en-GB"/>
        </w:rPr>
        <w:br w:type="page"/>
      </w:r>
    </w:p>
    <w:p w14:paraId="71F3ED28" w14:textId="77777777" w:rsidR="00105906" w:rsidRPr="00AA189B" w:rsidRDefault="003A4815" w:rsidP="00AA189B">
      <w:pPr>
        <w:pStyle w:val="NormalWeb"/>
        <w:pBdr>
          <w:top w:val="nil"/>
          <w:left w:val="nil"/>
          <w:bottom w:val="nil"/>
          <w:right w:val="nil"/>
          <w:between w:val="nil"/>
          <w:bar w:val="nil"/>
        </w:pBdr>
        <w:spacing w:before="0" w:after="0" w:line="240" w:lineRule="atLeast"/>
        <w:rPr>
          <w:rFonts w:ascii="Arial" w:eastAsia="Arial" w:hAnsi="Arial" w:cs="Arial"/>
          <w:bdr w:val="nil"/>
          <w:lang w:val="en-GB"/>
          <w:specVanish/>
        </w:rPr>
      </w:pPr>
      <w:r w:rsidRPr="00AA189B">
        <w:rPr>
          <w:rFonts w:ascii="Arial" w:eastAsia="Arial" w:hAnsi="Arial" w:cs="Arial"/>
          <w:szCs w:val="20"/>
          <w:lang w:val="en-GB" w:eastAsia="el-GR"/>
        </w:rPr>
        <w:t>Because</w:t>
      </w:r>
      <w:r w:rsidRPr="00AA189B">
        <w:rPr>
          <w:rFonts w:ascii="Arial" w:eastAsia="Arial" w:hAnsi="Arial" w:cs="Arial"/>
          <w:lang w:val="en-GB" w:eastAsia="el-GR"/>
          <w:specVanish/>
        </w:rPr>
        <w:t xml:space="preserve"> of its inherent limitations, internal control over financial reporting may not prevent or detect misstatements. Also, projections of any evaluation of effectiveness to future periods are subject to the risk that controls may become inadequate because of changes in conditions, or that the degree of compliance with the policies or procedures may deteriorate.</w:t>
      </w:r>
    </w:p>
    <w:p w14:paraId="71F3ED29"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2A"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2B" w14:textId="77777777" w:rsidR="00105906" w:rsidRPr="00A60C12" w:rsidRDefault="003A4815" w:rsidP="00A60C12">
      <w:pPr>
        <w:pBdr>
          <w:top w:val="nil"/>
          <w:left w:val="nil"/>
          <w:bottom w:val="nil"/>
          <w:right w:val="nil"/>
          <w:between w:val="nil"/>
          <w:bar w:val="nil"/>
        </w:pBdr>
        <w:spacing w:before="240" w:after="160" w:line="278" w:lineRule="auto"/>
        <w:ind w:left="1267" w:hanging="1267"/>
        <w:rPr>
          <w:rFonts w:ascii="Arial" w:eastAsia="Arial" w:hAnsi="Arial" w:cs="Arial"/>
          <w:color w:val="000000"/>
          <w:kern w:val="24"/>
          <w:bdr w:val="nil"/>
          <w:lang w:val="en-US" w:eastAsia="en-GB"/>
        </w:rPr>
      </w:pPr>
      <w:r w:rsidRPr="0064438C">
        <w:rPr>
          <w:rFonts w:ascii="Arial" w:eastAsia="Arial" w:hAnsi="Arial" w:cs="Arial"/>
          <w:color w:val="000000"/>
          <w:kern w:val="24"/>
          <w:szCs w:val="20"/>
          <w:lang w:val="en-US" w:eastAsia="en-GB"/>
        </w:rPr>
        <w:t>/s/ Deloitte Certified Public Accountants</w:t>
      </w:r>
      <w:r>
        <w:rPr>
          <w:rFonts w:ascii="Arial" w:eastAsia="Arial" w:hAnsi="Arial" w:cs="Arial"/>
          <w:color w:val="000000"/>
          <w:kern w:val="24"/>
          <w:szCs w:val="20"/>
          <w:lang w:val="en-US" w:eastAsia="en-GB"/>
        </w:rPr>
        <w:t xml:space="preserve"> </w:t>
      </w:r>
      <w:r w:rsidRPr="0064438C">
        <w:rPr>
          <w:rFonts w:ascii="Arial" w:eastAsia="Arial" w:hAnsi="Arial" w:cs="Arial"/>
          <w:color w:val="000000"/>
          <w:kern w:val="24"/>
          <w:szCs w:val="20"/>
          <w:lang w:val="en-US" w:eastAsia="en-GB"/>
        </w:rPr>
        <w:t>S.A.</w:t>
      </w:r>
    </w:p>
    <w:p w14:paraId="71F3ED2C" w14:textId="77777777" w:rsidR="00105906" w:rsidRPr="00AA189B" w:rsidRDefault="003A4815"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r w:rsidRPr="00AA189B">
        <w:rPr>
          <w:rFonts w:ascii="Arial" w:eastAsia="Arial" w:hAnsi="Arial" w:cs="Arial"/>
          <w:szCs w:val="20"/>
          <w:lang w:val="en-GB" w:eastAsia="el-GR"/>
        </w:rPr>
        <w:t>Athens, Greece</w:t>
      </w:r>
    </w:p>
    <w:p w14:paraId="71F3ED2D" w14:textId="77777777" w:rsidR="00105906" w:rsidRPr="00AA189B" w:rsidRDefault="003A4815"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r w:rsidRPr="00AA189B">
        <w:rPr>
          <w:rFonts w:ascii="Arial" w:eastAsia="Arial" w:hAnsi="Arial" w:cs="Arial"/>
          <w:szCs w:val="20"/>
          <w:lang w:val="en-GB" w:eastAsia="el-GR"/>
        </w:rPr>
        <w:t xml:space="preserve">March </w:t>
      </w:r>
      <w:r w:rsidR="004E1F3A" w:rsidRPr="00AA189B">
        <w:rPr>
          <w:rFonts w:ascii="Arial" w:eastAsia="Arial" w:hAnsi="Arial" w:cs="Arial"/>
          <w:szCs w:val="20"/>
          <w:lang w:val="en-GB" w:eastAsia="el-GR"/>
        </w:rPr>
        <w:t>1</w:t>
      </w:r>
      <w:r w:rsidR="00174832">
        <w:rPr>
          <w:rFonts w:ascii="Arial" w:eastAsia="Arial" w:hAnsi="Arial" w:cs="Arial"/>
          <w:szCs w:val="20"/>
          <w:lang w:val="en-GB" w:eastAsia="el-GR"/>
        </w:rPr>
        <w:t>3</w:t>
      </w:r>
      <w:r w:rsidRPr="00AA189B">
        <w:rPr>
          <w:rFonts w:ascii="Arial" w:eastAsia="Arial" w:hAnsi="Arial" w:cs="Arial"/>
          <w:szCs w:val="20"/>
          <w:lang w:val="en-GB" w:eastAsia="el-GR"/>
        </w:rPr>
        <w:t xml:space="preserve">, </w:t>
      </w:r>
      <w:r w:rsidR="008A39DA" w:rsidRPr="00AA189B">
        <w:rPr>
          <w:rFonts w:ascii="Arial" w:eastAsia="Arial" w:hAnsi="Arial" w:cs="Arial"/>
          <w:szCs w:val="20"/>
          <w:lang w:val="en-GB" w:eastAsia="el-GR"/>
        </w:rPr>
        <w:t>2026</w:t>
      </w:r>
    </w:p>
    <w:p w14:paraId="71F3ED2E"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2F"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0"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1"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2"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3"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4"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5"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6"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7"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8"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9"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A"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B"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C"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D"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E"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3F"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0"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1"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2"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3" w14:textId="77777777" w:rsidR="00105906"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4"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5"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6"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7"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8"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9"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A" w14:textId="77777777" w:rsidR="007C0E38" w:rsidRPr="00AA189B"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B"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C" w14:textId="77777777" w:rsidR="00105906"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D"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E"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4F" w14:textId="77777777" w:rsidR="007C0E38"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50" w14:textId="77777777" w:rsidR="007C0E38" w:rsidRPr="00AA189B" w:rsidRDefault="007C0E38"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51"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52" w14:textId="77777777" w:rsidR="00105906" w:rsidRPr="00AA189B"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GB"/>
        </w:rPr>
      </w:pPr>
    </w:p>
    <w:p w14:paraId="71F3ED53" w14:textId="77777777" w:rsidR="00105906" w:rsidRPr="000359B1" w:rsidRDefault="00105906" w:rsidP="00105906">
      <w:pPr>
        <w:pStyle w:val="NormalWeb"/>
        <w:pBdr>
          <w:top w:val="nil"/>
          <w:left w:val="nil"/>
          <w:bottom w:val="nil"/>
          <w:right w:val="nil"/>
          <w:between w:val="nil"/>
          <w:bar w:val="nil"/>
        </w:pBdr>
        <w:spacing w:before="0" w:after="0" w:line="240" w:lineRule="atLeast"/>
        <w:rPr>
          <w:rFonts w:ascii="Arial" w:eastAsia="Arial" w:hAnsi="Arial" w:cs="Arial"/>
          <w:szCs w:val="20"/>
          <w:bdr w:val="nil"/>
          <w:lang w:val="en-US"/>
        </w:rPr>
      </w:pPr>
    </w:p>
    <w:p w14:paraId="71F3ED54" w14:textId="77777777" w:rsidR="004E4308" w:rsidRPr="000B67A7" w:rsidRDefault="003A4815" w:rsidP="000B67A7">
      <w:pPr>
        <w:pageBreakBefore/>
        <w:pBdr>
          <w:top w:val="nil"/>
          <w:left w:val="nil"/>
          <w:bottom w:val="nil"/>
          <w:right w:val="nil"/>
          <w:between w:val="nil"/>
          <w:bar w:val="nil"/>
        </w:pBdr>
        <w:shd w:val="clear" w:color="auto" w:fill="FFFFFF"/>
        <w:jc w:val="center"/>
        <w:rPr>
          <w:rFonts w:ascii="Arial" w:eastAsia="Arial" w:hAnsi="Arial" w:cs="Arial"/>
          <w:b/>
          <w:bCs/>
          <w:color w:val="000000"/>
          <w:bdr w:val="nil"/>
          <w:lang w:eastAsia="el-GR"/>
        </w:rPr>
      </w:pPr>
      <w:bookmarkStart w:id="383" w:name="RG_MARKER_23211"/>
      <w:r w:rsidRPr="000B67A7">
        <w:rPr>
          <w:rFonts w:ascii="Arial" w:eastAsia="Arial" w:hAnsi="Arial" w:cs="Arial"/>
          <w:b/>
          <w:bCs/>
          <w:color w:val="000000"/>
          <w:lang w:val="en-US" w:eastAsia="el-GR"/>
        </w:rPr>
        <w:t>Report of Independent Registered Public Accounting Firm</w:t>
      </w:r>
      <w:bookmarkEnd w:id="383"/>
    </w:p>
    <w:p w14:paraId="71F3ED55" w14:textId="77777777" w:rsidR="001A4E7D" w:rsidRPr="000B67A7" w:rsidRDefault="001A4E7D" w:rsidP="000B67A7">
      <w:pPr>
        <w:pBdr>
          <w:top w:val="nil"/>
          <w:left w:val="nil"/>
          <w:bottom w:val="nil"/>
          <w:right w:val="nil"/>
          <w:between w:val="nil"/>
          <w:bar w:val="nil"/>
        </w:pBdr>
        <w:shd w:val="clear" w:color="auto" w:fill="FFFFFF"/>
        <w:rPr>
          <w:rFonts w:ascii="Arial" w:eastAsia="Arial" w:hAnsi="Arial" w:cs="Arial"/>
          <w:b/>
          <w:bCs/>
          <w:color w:val="000000"/>
          <w:szCs w:val="16"/>
          <w:bdr w:val="nil"/>
          <w:lang w:eastAsia="el-GR"/>
        </w:rPr>
      </w:pPr>
    </w:p>
    <w:p w14:paraId="71F3ED56" w14:textId="77777777" w:rsidR="004E4308" w:rsidRPr="000B67A7" w:rsidRDefault="003A4815" w:rsidP="000B67A7">
      <w:pPr>
        <w:pBdr>
          <w:top w:val="nil"/>
          <w:left w:val="nil"/>
          <w:bottom w:val="nil"/>
          <w:right w:val="nil"/>
          <w:between w:val="nil"/>
          <w:bar w:val="nil"/>
        </w:pBdr>
        <w:shd w:val="clear" w:color="auto" w:fill="FFFFFF"/>
        <w:jc w:val="both"/>
        <w:rPr>
          <w:rFonts w:ascii="Arial" w:eastAsia="Arial" w:hAnsi="Arial" w:cs="Arial"/>
          <w:bdr w:val="nil"/>
        </w:rPr>
      </w:pPr>
      <w:r w:rsidRPr="000B67A7">
        <w:rPr>
          <w:rFonts w:ascii="Arial" w:eastAsia="Arial" w:hAnsi="Arial" w:cs="Arial"/>
          <w:lang w:val="en-US"/>
        </w:rPr>
        <w:t>To the Stockholders and the Board of Directors of Diana Shipping Inc.</w:t>
      </w:r>
    </w:p>
    <w:p w14:paraId="71F3ED57" w14:textId="77777777" w:rsidR="001A4E7D" w:rsidRPr="000B67A7" w:rsidRDefault="001A4E7D" w:rsidP="000B67A7">
      <w:pPr>
        <w:pBdr>
          <w:top w:val="nil"/>
          <w:left w:val="nil"/>
          <w:bottom w:val="nil"/>
          <w:right w:val="nil"/>
          <w:between w:val="nil"/>
          <w:bar w:val="nil"/>
        </w:pBdr>
        <w:shd w:val="clear" w:color="auto" w:fill="FFFFFF"/>
        <w:jc w:val="both"/>
        <w:rPr>
          <w:rFonts w:ascii="Arial" w:eastAsia="Arial" w:hAnsi="Arial" w:cs="Arial"/>
          <w:szCs w:val="16"/>
          <w:bdr w:val="nil"/>
        </w:rPr>
      </w:pPr>
    </w:p>
    <w:p w14:paraId="71F3ED58" w14:textId="77777777" w:rsidR="004E4308" w:rsidRPr="000B67A7" w:rsidRDefault="003A4815" w:rsidP="000B67A7">
      <w:pPr>
        <w:pBdr>
          <w:top w:val="nil"/>
          <w:left w:val="nil"/>
          <w:bottom w:val="nil"/>
          <w:right w:val="nil"/>
          <w:between w:val="nil"/>
          <w:bar w:val="nil"/>
        </w:pBdr>
        <w:shd w:val="clear" w:color="auto" w:fill="FFFFFF"/>
        <w:jc w:val="both"/>
        <w:rPr>
          <w:rFonts w:ascii="Arial" w:eastAsia="Arial" w:hAnsi="Arial" w:cs="Arial"/>
          <w:b/>
          <w:bdr w:val="nil"/>
        </w:rPr>
      </w:pPr>
      <w:r w:rsidRPr="000B67A7">
        <w:rPr>
          <w:rFonts w:ascii="Arial" w:eastAsia="Arial" w:hAnsi="Arial" w:cs="Arial"/>
          <w:b/>
          <w:lang w:val="en-US"/>
        </w:rPr>
        <w:t>Opinion on the Financial Statements</w:t>
      </w:r>
    </w:p>
    <w:p w14:paraId="71F3ED59" w14:textId="77777777" w:rsidR="001A4E7D" w:rsidRPr="000B67A7" w:rsidRDefault="001A4E7D" w:rsidP="000B67A7">
      <w:pPr>
        <w:pBdr>
          <w:top w:val="nil"/>
          <w:left w:val="nil"/>
          <w:bottom w:val="nil"/>
          <w:right w:val="nil"/>
          <w:between w:val="nil"/>
          <w:bar w:val="nil"/>
        </w:pBdr>
        <w:shd w:val="clear" w:color="auto" w:fill="FFFFFF"/>
        <w:jc w:val="both"/>
        <w:rPr>
          <w:rFonts w:ascii="Arial" w:eastAsia="Arial" w:hAnsi="Arial" w:cs="Arial"/>
          <w:b/>
          <w:szCs w:val="16"/>
          <w:bdr w:val="nil"/>
        </w:rPr>
      </w:pPr>
    </w:p>
    <w:p w14:paraId="71F3ED5A" w14:textId="77777777" w:rsidR="00815134" w:rsidRPr="000B67A7" w:rsidRDefault="003A4815" w:rsidP="000B67A7">
      <w:pPr>
        <w:pBdr>
          <w:top w:val="nil"/>
          <w:left w:val="nil"/>
          <w:bottom w:val="nil"/>
          <w:right w:val="nil"/>
          <w:between w:val="nil"/>
          <w:bar w:val="nil"/>
        </w:pBdr>
        <w:jc w:val="both"/>
        <w:rPr>
          <w:rFonts w:ascii="Arial" w:eastAsia="Arial" w:hAnsi="Arial" w:cs="Arial"/>
          <w:bdr w:val="nil"/>
        </w:rPr>
      </w:pPr>
      <w:r w:rsidRPr="000B67A7">
        <w:rPr>
          <w:rFonts w:ascii="Arial" w:eastAsia="Arial" w:hAnsi="Arial" w:cs="Arial"/>
          <w:lang w:val="en-US"/>
        </w:rPr>
        <w:t xml:space="preserve">We have audited the accompanying  consolidated statements of </w:t>
      </w:r>
      <w:r w:rsidR="00B938FA" w:rsidRPr="000B67A7">
        <w:rPr>
          <w:rFonts w:ascii="Arial" w:eastAsia="Arial" w:hAnsi="Arial" w:cs="Arial"/>
          <w:lang w:val="en-US"/>
        </w:rPr>
        <w:t>income</w:t>
      </w:r>
      <w:r w:rsidRPr="000B67A7">
        <w:rPr>
          <w:rFonts w:ascii="Arial" w:eastAsia="Arial" w:hAnsi="Arial" w:cs="Arial"/>
          <w:lang w:val="en-US"/>
        </w:rPr>
        <w:t>, comprehensive income, stockholders' equity and cash flows</w:t>
      </w:r>
      <w:r w:rsidR="008F13FB">
        <w:rPr>
          <w:rFonts w:ascii="Arial" w:eastAsia="Arial" w:hAnsi="Arial" w:cs="Arial"/>
          <w:lang w:val="en-US"/>
        </w:rPr>
        <w:t xml:space="preserve"> </w:t>
      </w:r>
      <w:r w:rsidR="008F13FB" w:rsidRPr="000B67A7">
        <w:rPr>
          <w:rFonts w:ascii="Arial" w:eastAsia="Arial" w:hAnsi="Arial" w:cs="Arial"/>
          <w:lang w:val="en-US"/>
        </w:rPr>
        <w:t>of Diana Shipping Inc. (the Company)</w:t>
      </w:r>
      <w:r w:rsidRPr="000B67A7">
        <w:rPr>
          <w:rFonts w:ascii="Arial" w:eastAsia="Arial" w:hAnsi="Arial" w:cs="Arial"/>
          <w:lang w:val="en-US"/>
        </w:rPr>
        <w:t xml:space="preserve"> for the year ended December 31, </w:t>
      </w:r>
      <w:r w:rsidR="00BE4F3A" w:rsidRPr="000B67A7">
        <w:rPr>
          <w:rFonts w:ascii="Arial" w:eastAsia="Arial" w:hAnsi="Arial" w:cs="Arial"/>
          <w:lang w:val="en-US"/>
        </w:rPr>
        <w:t>202</w:t>
      </w:r>
      <w:r w:rsidR="00B938FA" w:rsidRPr="000B67A7">
        <w:rPr>
          <w:rFonts w:ascii="Arial" w:eastAsia="Arial" w:hAnsi="Arial" w:cs="Arial"/>
          <w:lang w:val="en-US"/>
        </w:rPr>
        <w:t>3</w:t>
      </w:r>
      <w:r w:rsidRPr="000B67A7">
        <w:rPr>
          <w:rFonts w:ascii="Arial" w:eastAsia="Arial" w:hAnsi="Arial" w:cs="Arial"/>
          <w:lang w:val="en-US"/>
        </w:rPr>
        <w:t>, and the related notes (collectively referred to as the “consolidated financial statements”). In our opinion, the consolidated financial statements present fairly, in all material respects, the results of</w:t>
      </w:r>
      <w:r w:rsidR="00AE3E12">
        <w:rPr>
          <w:rFonts w:ascii="Arial" w:eastAsia="Arial" w:hAnsi="Arial" w:cs="Arial"/>
          <w:lang w:val="en-US"/>
        </w:rPr>
        <w:t xml:space="preserve"> the Company </w:t>
      </w:r>
      <w:r w:rsidR="00465585">
        <w:rPr>
          <w:rFonts w:ascii="Arial" w:eastAsia="Arial" w:hAnsi="Arial" w:cs="Arial"/>
          <w:lang w:val="en-US"/>
        </w:rPr>
        <w:t>‘s</w:t>
      </w:r>
      <w:r w:rsidRPr="000B67A7">
        <w:rPr>
          <w:rFonts w:ascii="Arial" w:eastAsia="Arial" w:hAnsi="Arial" w:cs="Arial"/>
          <w:lang w:val="en-US"/>
        </w:rPr>
        <w:t xml:space="preserve"> operations and its cash flows for the</w:t>
      </w:r>
      <w:r w:rsidR="00BB22F8" w:rsidRPr="000B67A7">
        <w:rPr>
          <w:rFonts w:ascii="Arial" w:eastAsia="Arial" w:hAnsi="Arial" w:cs="Arial"/>
          <w:lang w:val="en-US"/>
        </w:rPr>
        <w:t xml:space="preserve"> </w:t>
      </w:r>
      <w:r w:rsidRPr="000B67A7">
        <w:rPr>
          <w:rFonts w:ascii="Arial" w:eastAsia="Arial" w:hAnsi="Arial" w:cs="Arial"/>
          <w:lang w:val="en-US"/>
        </w:rPr>
        <w:t xml:space="preserve">year ended December 31, </w:t>
      </w:r>
      <w:r w:rsidR="00BE4F3A" w:rsidRPr="000B67A7">
        <w:rPr>
          <w:rFonts w:ascii="Arial" w:eastAsia="Arial" w:hAnsi="Arial" w:cs="Arial"/>
          <w:lang w:val="en-US"/>
        </w:rPr>
        <w:t>202</w:t>
      </w:r>
      <w:r w:rsidR="00B938FA" w:rsidRPr="000B67A7">
        <w:rPr>
          <w:rFonts w:ascii="Arial" w:eastAsia="Arial" w:hAnsi="Arial" w:cs="Arial"/>
          <w:lang w:val="en-US"/>
        </w:rPr>
        <w:t>3</w:t>
      </w:r>
      <w:r w:rsidRPr="000B67A7">
        <w:rPr>
          <w:rFonts w:ascii="Arial" w:eastAsia="Arial" w:hAnsi="Arial" w:cs="Arial"/>
          <w:lang w:val="en-US"/>
        </w:rPr>
        <w:t>, in conformity with U.S. generally accepted accounting principles.</w:t>
      </w:r>
    </w:p>
    <w:p w14:paraId="71F3ED5B" w14:textId="77777777" w:rsidR="001A4E7D" w:rsidRPr="000B67A7" w:rsidRDefault="001A4E7D" w:rsidP="000B67A7">
      <w:pPr>
        <w:pBdr>
          <w:top w:val="nil"/>
          <w:left w:val="nil"/>
          <w:bottom w:val="nil"/>
          <w:right w:val="nil"/>
          <w:between w:val="nil"/>
          <w:bar w:val="nil"/>
        </w:pBdr>
        <w:jc w:val="both"/>
        <w:rPr>
          <w:rFonts w:ascii="Arial" w:eastAsia="Arial" w:hAnsi="Arial" w:cs="Arial"/>
          <w:szCs w:val="16"/>
          <w:bdr w:val="nil"/>
        </w:rPr>
      </w:pPr>
    </w:p>
    <w:p w14:paraId="71F3ED5C" w14:textId="77777777" w:rsidR="001A4E7D" w:rsidRPr="000B67A7" w:rsidRDefault="001A4E7D" w:rsidP="000B67A7">
      <w:pPr>
        <w:pBdr>
          <w:top w:val="nil"/>
          <w:left w:val="nil"/>
          <w:bottom w:val="nil"/>
          <w:right w:val="nil"/>
          <w:between w:val="nil"/>
          <w:bar w:val="nil"/>
        </w:pBdr>
        <w:shd w:val="clear" w:color="auto" w:fill="FFFFFF"/>
        <w:jc w:val="both"/>
        <w:rPr>
          <w:rFonts w:ascii="Arial" w:eastAsia="Arial" w:hAnsi="Arial" w:cs="Arial"/>
          <w:b/>
          <w:szCs w:val="16"/>
          <w:bdr w:val="nil"/>
        </w:rPr>
      </w:pPr>
    </w:p>
    <w:p w14:paraId="71F3ED5D" w14:textId="77777777" w:rsidR="004E4308" w:rsidRPr="000B67A7" w:rsidRDefault="003A4815" w:rsidP="000B67A7">
      <w:pPr>
        <w:pBdr>
          <w:top w:val="nil"/>
          <w:left w:val="nil"/>
          <w:bottom w:val="nil"/>
          <w:right w:val="nil"/>
          <w:between w:val="nil"/>
          <w:bar w:val="nil"/>
        </w:pBdr>
        <w:shd w:val="clear" w:color="auto" w:fill="FFFFFF"/>
        <w:jc w:val="both"/>
        <w:rPr>
          <w:rFonts w:ascii="Arial" w:eastAsia="Arial" w:hAnsi="Arial" w:cs="Arial"/>
          <w:b/>
          <w:bdr w:val="nil"/>
        </w:rPr>
      </w:pPr>
      <w:r w:rsidRPr="000B67A7">
        <w:rPr>
          <w:rFonts w:ascii="Arial" w:eastAsia="Arial" w:hAnsi="Arial" w:cs="Arial"/>
          <w:b/>
          <w:lang w:val="en-US"/>
        </w:rPr>
        <w:t>Basis for Opinion</w:t>
      </w:r>
    </w:p>
    <w:p w14:paraId="71F3ED5E" w14:textId="77777777" w:rsidR="001A4E7D" w:rsidRPr="000B67A7" w:rsidRDefault="001A4E7D" w:rsidP="000B67A7">
      <w:pPr>
        <w:pBdr>
          <w:top w:val="nil"/>
          <w:left w:val="nil"/>
          <w:bottom w:val="nil"/>
          <w:right w:val="nil"/>
          <w:between w:val="nil"/>
          <w:bar w:val="nil"/>
        </w:pBdr>
        <w:shd w:val="clear" w:color="auto" w:fill="FFFFFF"/>
        <w:jc w:val="both"/>
        <w:rPr>
          <w:rFonts w:ascii="Arial" w:eastAsia="Arial" w:hAnsi="Arial" w:cs="Arial"/>
          <w:b/>
          <w:szCs w:val="16"/>
          <w:bdr w:val="nil"/>
        </w:rPr>
      </w:pPr>
    </w:p>
    <w:p w14:paraId="71F3ED5F" w14:textId="77777777" w:rsidR="004E4308" w:rsidRPr="000B67A7" w:rsidRDefault="003A4815" w:rsidP="000B67A7">
      <w:pPr>
        <w:pBdr>
          <w:top w:val="nil"/>
          <w:left w:val="nil"/>
          <w:bottom w:val="nil"/>
          <w:right w:val="nil"/>
          <w:between w:val="nil"/>
          <w:bar w:val="nil"/>
        </w:pBdr>
        <w:shd w:val="clear" w:color="auto" w:fill="FFFFFF"/>
        <w:jc w:val="both"/>
        <w:rPr>
          <w:rFonts w:ascii="Arial" w:eastAsia="Arial" w:hAnsi="Arial" w:cs="Arial"/>
          <w:bdr w:val="nil"/>
        </w:rPr>
      </w:pPr>
      <w:r w:rsidRPr="000B67A7">
        <w:rPr>
          <w:rFonts w:ascii="Arial" w:eastAsia="Arial" w:hAnsi="Arial" w:cs="Arial"/>
          <w:lang w:val="en-US"/>
        </w:rPr>
        <w:t>These financial statements are the responsibility of the Company's management. Our responsibility is to express an opinion on the Company’s financial statements based on our audits. We are a public accounting firm registered with the PCAOB and are required to be independent with respect to the Company in accordance with the U.S. federal securities laws and the applicable rules and regulations of the Securities and Exchange Commission and the PCAOB.</w:t>
      </w:r>
    </w:p>
    <w:p w14:paraId="71F3ED60" w14:textId="77777777" w:rsidR="001A4E7D" w:rsidRPr="000B67A7" w:rsidRDefault="001A4E7D" w:rsidP="000B67A7">
      <w:pPr>
        <w:pBdr>
          <w:top w:val="nil"/>
          <w:left w:val="nil"/>
          <w:bottom w:val="nil"/>
          <w:right w:val="nil"/>
          <w:between w:val="nil"/>
          <w:bar w:val="nil"/>
        </w:pBdr>
        <w:shd w:val="clear" w:color="auto" w:fill="FFFFFF"/>
        <w:jc w:val="both"/>
        <w:rPr>
          <w:rFonts w:ascii="Arial" w:eastAsia="Arial" w:hAnsi="Arial" w:cs="Arial"/>
          <w:szCs w:val="16"/>
          <w:bdr w:val="nil"/>
        </w:rPr>
      </w:pPr>
    </w:p>
    <w:p w14:paraId="71F3ED61" w14:textId="77777777" w:rsidR="004E4308" w:rsidRPr="000B67A7" w:rsidRDefault="003A4815" w:rsidP="000B67A7">
      <w:pPr>
        <w:pBdr>
          <w:top w:val="nil"/>
          <w:left w:val="nil"/>
          <w:bottom w:val="nil"/>
          <w:right w:val="nil"/>
          <w:between w:val="nil"/>
          <w:bar w:val="nil"/>
        </w:pBdr>
        <w:jc w:val="both"/>
        <w:rPr>
          <w:rFonts w:ascii="Arial" w:eastAsia="Arial" w:hAnsi="Arial" w:cs="Arial"/>
          <w:bdr w:val="nil"/>
        </w:rPr>
      </w:pPr>
      <w:r w:rsidRPr="000B67A7">
        <w:rPr>
          <w:rFonts w:ascii="Arial" w:eastAsia="Arial" w:hAnsi="Arial" w:cs="Arial"/>
          <w:lang w:val="en-US"/>
        </w:rPr>
        <w:t>We conducted our audit in accordance with the standards of the PCAOB. Those standards require that we plan and perform the audit to obtain reasonable assurance about whether the financial statements are free of material misstatement, whether due to error or fraud. Our audits included performing procedures to assess the risks of material misstatement of the financial statements, whether due to error or fraud, and performing procedures that respond to those risks. Such procedures included examining, on a test basis, evidence regarding the amounts and disclosures in the financial statements. Our audit also included evaluating the accounting principles used and significant estimates made by management, as well as evaluating the overall presentation of the financial statements. We believe that our audit provide a reasonable basis for our opinion.</w:t>
      </w:r>
    </w:p>
    <w:p w14:paraId="71F3ED62" w14:textId="77777777" w:rsidR="001A4E7D" w:rsidRPr="000B67A7" w:rsidRDefault="001A4E7D" w:rsidP="000B67A7">
      <w:pPr>
        <w:pBdr>
          <w:top w:val="nil"/>
          <w:left w:val="nil"/>
          <w:bottom w:val="nil"/>
          <w:right w:val="nil"/>
          <w:between w:val="nil"/>
          <w:bar w:val="nil"/>
        </w:pBdr>
        <w:jc w:val="both"/>
        <w:rPr>
          <w:rFonts w:ascii="Arial" w:eastAsia="Arial" w:hAnsi="Arial" w:cs="Arial"/>
          <w:szCs w:val="16"/>
          <w:bdr w:val="nil"/>
        </w:rPr>
      </w:pPr>
    </w:p>
    <w:p w14:paraId="71F3ED63" w14:textId="77777777" w:rsidR="009F195C" w:rsidRPr="000B67A7" w:rsidRDefault="003A4815" w:rsidP="000B67A7">
      <w:pPr>
        <w:pBdr>
          <w:top w:val="nil"/>
          <w:left w:val="nil"/>
          <w:bottom w:val="nil"/>
          <w:right w:val="nil"/>
          <w:between w:val="nil"/>
          <w:bar w:val="nil"/>
        </w:pBdr>
        <w:jc w:val="both"/>
        <w:rPr>
          <w:rFonts w:ascii="Arial" w:eastAsia="Arial" w:hAnsi="Arial" w:cs="Arial"/>
          <w:bdr w:val="nil"/>
        </w:rPr>
      </w:pPr>
      <w:r>
        <w:rPr>
          <w:rFonts w:ascii="Arial" w:eastAsia="Arial" w:hAnsi="Arial" w:cs="Arial"/>
          <w:lang w:val="en-US"/>
        </w:rPr>
        <w:t xml:space="preserve">/s/ </w:t>
      </w:r>
      <w:bookmarkStart w:id="384" w:name="XBRL_CS_a102433e7e154a7daf18751a788da188"/>
      <w:r>
        <w:rPr>
          <w:rFonts w:ascii="Arial" w:eastAsia="Arial" w:hAnsi="Arial" w:cs="Arial"/>
          <w:lang w:val="en-US"/>
        </w:rPr>
        <w:t>Ernst &amp; Young (Hellas) Certified Auditors Accountants S.A.</w:t>
      </w:r>
      <w:bookmarkEnd w:id="384"/>
    </w:p>
    <w:p w14:paraId="71F3ED64" w14:textId="77777777" w:rsidR="004E4308" w:rsidRPr="000B67A7" w:rsidRDefault="003A4815" w:rsidP="000B67A7">
      <w:pPr>
        <w:pBdr>
          <w:top w:val="nil"/>
          <w:left w:val="nil"/>
          <w:bottom w:val="nil"/>
          <w:right w:val="nil"/>
          <w:between w:val="nil"/>
          <w:bar w:val="nil"/>
        </w:pBdr>
        <w:jc w:val="both"/>
        <w:rPr>
          <w:rFonts w:ascii="Arial" w:eastAsia="Arial" w:hAnsi="Arial" w:cs="Arial"/>
          <w:bdr w:val="nil"/>
        </w:rPr>
      </w:pPr>
      <w:r w:rsidRPr="000B67A7">
        <w:rPr>
          <w:rFonts w:ascii="Arial" w:eastAsia="Arial" w:hAnsi="Arial" w:cs="Arial"/>
          <w:lang w:val="en-US"/>
        </w:rPr>
        <w:t xml:space="preserve">We have served as the Company’s auditor </w:t>
      </w:r>
      <w:r w:rsidR="00861D10">
        <w:rPr>
          <w:rFonts w:ascii="Arial" w:eastAsia="Arial" w:hAnsi="Arial" w:cs="Arial"/>
          <w:lang w:val="en-US"/>
        </w:rPr>
        <w:t>from</w:t>
      </w:r>
      <w:r w:rsidR="00861D10" w:rsidRPr="000B67A7">
        <w:rPr>
          <w:rFonts w:ascii="Arial" w:eastAsia="Arial" w:hAnsi="Arial" w:cs="Arial"/>
          <w:lang w:val="en-US"/>
        </w:rPr>
        <w:t xml:space="preserve"> </w:t>
      </w:r>
      <w:r w:rsidRPr="000B67A7">
        <w:rPr>
          <w:rFonts w:ascii="Arial" w:eastAsia="Arial" w:hAnsi="Arial" w:cs="Arial"/>
          <w:lang w:val="en-US"/>
        </w:rPr>
        <w:t>2004</w:t>
      </w:r>
      <w:r w:rsidR="00861D10">
        <w:rPr>
          <w:rFonts w:ascii="Arial" w:eastAsia="Arial" w:hAnsi="Arial" w:cs="Arial"/>
          <w:lang w:val="en-US"/>
        </w:rPr>
        <w:t xml:space="preserve"> to 2023</w:t>
      </w:r>
      <w:r w:rsidRPr="000B67A7">
        <w:rPr>
          <w:rFonts w:ascii="Arial" w:eastAsia="Arial" w:hAnsi="Arial" w:cs="Arial"/>
          <w:lang w:val="en-US"/>
        </w:rPr>
        <w:t>.</w:t>
      </w:r>
    </w:p>
    <w:p w14:paraId="71F3ED65" w14:textId="77777777" w:rsidR="000B5266" w:rsidRPr="000B67A7" w:rsidRDefault="000B5266" w:rsidP="000B67A7">
      <w:pPr>
        <w:pBdr>
          <w:top w:val="nil"/>
          <w:left w:val="nil"/>
          <w:bottom w:val="nil"/>
          <w:right w:val="nil"/>
          <w:between w:val="nil"/>
          <w:bar w:val="nil"/>
        </w:pBdr>
        <w:jc w:val="both"/>
        <w:rPr>
          <w:rFonts w:ascii="Arial" w:eastAsia="Arial" w:hAnsi="Arial" w:cs="Arial"/>
          <w:szCs w:val="16"/>
          <w:bdr w:val="nil"/>
        </w:rPr>
      </w:pPr>
    </w:p>
    <w:p w14:paraId="71F3ED66" w14:textId="77777777" w:rsidR="004E4308" w:rsidRPr="000B67A7" w:rsidRDefault="003A4815" w:rsidP="000B67A7">
      <w:pPr>
        <w:pBdr>
          <w:top w:val="nil"/>
          <w:left w:val="nil"/>
          <w:bottom w:val="nil"/>
          <w:right w:val="nil"/>
          <w:between w:val="nil"/>
          <w:bar w:val="nil"/>
        </w:pBdr>
        <w:jc w:val="both"/>
        <w:rPr>
          <w:rFonts w:ascii="Arial" w:eastAsia="Arial" w:hAnsi="Arial" w:cs="Arial"/>
          <w:color w:val="000000"/>
          <w:bdr w:val="nil"/>
          <w:lang w:eastAsia="el-GR"/>
        </w:rPr>
      </w:pPr>
      <w:bookmarkStart w:id="385" w:name="XBRL_CS_c2d0219cb2e742a488363be18ad34683"/>
      <w:r w:rsidRPr="000B67A7">
        <w:rPr>
          <w:rFonts w:ascii="Arial" w:eastAsia="Arial" w:hAnsi="Arial" w:cs="Arial"/>
          <w:lang w:val="en-US"/>
        </w:rPr>
        <w:t>Athens, Greece</w:t>
      </w:r>
      <w:r w:rsidRPr="000B67A7">
        <w:rPr>
          <w:rFonts w:ascii="Arial" w:eastAsia="Arial" w:hAnsi="Arial" w:cs="Arial"/>
          <w:color w:val="000000"/>
          <w:lang w:val="en-US" w:eastAsia="el-GR"/>
        </w:rPr>
        <w:t xml:space="preserve"> </w:t>
      </w:r>
      <w:bookmarkEnd w:id="385"/>
    </w:p>
    <w:p w14:paraId="71F3ED67" w14:textId="77777777" w:rsidR="00EB125B" w:rsidRPr="000B67A7" w:rsidRDefault="003A4815" w:rsidP="000B67A7">
      <w:pPr>
        <w:pBdr>
          <w:top w:val="nil"/>
          <w:left w:val="nil"/>
          <w:bottom w:val="nil"/>
          <w:right w:val="nil"/>
          <w:between w:val="nil"/>
          <w:bar w:val="nil"/>
        </w:pBdr>
        <w:rPr>
          <w:rFonts w:ascii="Arial" w:eastAsia="Arial" w:hAnsi="Arial" w:cs="Arial"/>
          <w:bdr w:val="nil"/>
        </w:rPr>
      </w:pPr>
      <w:r>
        <w:rPr>
          <w:rFonts w:ascii="Arial" w:eastAsia="Arial" w:hAnsi="Arial" w:cs="Arial"/>
          <w:lang w:val="en-US"/>
        </w:rPr>
        <w:t>April</w:t>
      </w:r>
      <w:r w:rsidR="00242DFE" w:rsidRPr="000B67A7">
        <w:rPr>
          <w:rFonts w:ascii="Arial" w:eastAsia="Arial" w:hAnsi="Arial" w:cs="Arial"/>
          <w:lang w:val="en-US"/>
        </w:rPr>
        <w:t xml:space="preserve"> </w:t>
      </w:r>
      <w:r>
        <w:rPr>
          <w:rFonts w:ascii="Arial" w:eastAsia="Arial" w:hAnsi="Arial" w:cs="Arial"/>
          <w:lang w:val="en-US"/>
        </w:rPr>
        <w:t>4</w:t>
      </w:r>
      <w:r w:rsidR="00480A68" w:rsidRPr="000B67A7">
        <w:rPr>
          <w:rFonts w:ascii="Arial" w:eastAsia="Arial" w:hAnsi="Arial" w:cs="Arial"/>
          <w:lang w:val="en-US"/>
        </w:rPr>
        <w:t>, 202</w:t>
      </w:r>
      <w:r>
        <w:rPr>
          <w:rFonts w:ascii="Arial" w:eastAsia="Arial" w:hAnsi="Arial" w:cs="Arial"/>
          <w:lang w:val="en-US"/>
        </w:rPr>
        <w:t>4</w:t>
      </w:r>
    </w:p>
    <w:tbl>
      <w:tblPr>
        <w:tblStyle w:val="CDMRange1"/>
        <w:tblW w:w="10740" w:type="dxa"/>
        <w:tblLayout w:type="fixed"/>
        <w:tblLook w:val="0600" w:firstRow="0" w:lastRow="0" w:firstColumn="0" w:lastColumn="0" w:noHBand="1" w:noVBand="1"/>
      </w:tblPr>
      <w:tblGrid>
        <w:gridCol w:w="285"/>
        <w:gridCol w:w="6165"/>
        <w:gridCol w:w="180"/>
        <w:gridCol w:w="1965"/>
        <w:gridCol w:w="180"/>
        <w:gridCol w:w="1965"/>
      </w:tblGrid>
      <w:tr w:rsidR="00510CAA" w14:paraId="71F3ED6C" w14:textId="77777777">
        <w:trPr>
          <w:cantSplit/>
          <w:trHeight w:hRule="exact" w:val="240"/>
        </w:trPr>
        <w:tc>
          <w:tcPr>
            <w:tcW w:w="6630" w:type="dxa"/>
            <w:gridSpan w:val="3"/>
            <w:tcBorders>
              <w:top w:val="nil"/>
              <w:left w:val="nil"/>
              <w:bottom w:val="nil"/>
              <w:right w:val="nil"/>
              <w:tl2br w:val="nil"/>
              <w:tr2bl w:val="nil"/>
            </w:tcBorders>
            <w:noWrap/>
            <w:tcMar>
              <w:left w:w="40" w:type="dxa"/>
              <w:right w:w="40" w:type="dxa"/>
            </w:tcMar>
            <w:vAlign w:val="bottom"/>
          </w:tcPr>
          <w:p w14:paraId="71F3ED68" w14:textId="77777777" w:rsidR="00510CAA" w:rsidRDefault="003A4815">
            <w:pPr>
              <w:keepNext/>
              <w:pageBreakBefore/>
              <w:rPr>
                <w:rFonts w:ascii="Arial" w:eastAsia="Arial" w:hAnsi="Arial" w:cs="Arial"/>
                <w:b/>
                <w:color w:val="000000"/>
                <w:sz w:val="16"/>
              </w:rPr>
            </w:pPr>
            <w:bookmarkStart w:id="386" w:name="RG_MARKER_23347"/>
            <w:r>
              <w:rPr>
                <w:rFonts w:ascii="Arial" w:eastAsia="Arial" w:hAnsi="Arial" w:cs="Arial"/>
                <w:b/>
                <w:color w:val="000000"/>
                <w:sz w:val="16"/>
              </w:rPr>
              <w:t xml:space="preserve">DIANA SHIPPING INC. </w:t>
            </w:r>
            <w:bookmarkEnd w:id="386"/>
          </w:p>
        </w:tc>
        <w:tc>
          <w:tcPr>
            <w:tcW w:w="1965" w:type="dxa"/>
            <w:tcBorders>
              <w:top w:val="nil"/>
              <w:left w:val="nil"/>
              <w:bottom w:val="nil"/>
              <w:right w:val="nil"/>
              <w:tl2br w:val="nil"/>
              <w:tr2bl w:val="nil"/>
            </w:tcBorders>
            <w:tcMar>
              <w:left w:w="0" w:type="dxa"/>
              <w:right w:w="0" w:type="dxa"/>
            </w:tcMar>
            <w:vAlign w:val="bottom"/>
          </w:tcPr>
          <w:p w14:paraId="71F3ED69" w14:textId="77777777" w:rsidR="00510CAA" w:rsidRDefault="00510CAA">
            <w:pPr>
              <w:keepNext/>
              <w:jc w:val="both"/>
              <w:rPr>
                <w:rFonts w:ascii="Arial" w:eastAsia="Arial" w:hAnsi="Arial" w:cs="Arial"/>
                <w:b/>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6A" w14:textId="77777777" w:rsidR="00510CAA" w:rsidRDefault="00510CAA">
            <w:pPr>
              <w:keepNext/>
              <w:jc w:val="both"/>
              <w:rPr>
                <w:rFonts w:ascii="Arial" w:eastAsia="Arial" w:hAnsi="Arial" w:cs="Arial"/>
                <w:b/>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6B" w14:textId="77777777" w:rsidR="00510CAA" w:rsidRDefault="00510CAA">
            <w:pPr>
              <w:keepNext/>
              <w:jc w:val="both"/>
              <w:rPr>
                <w:rFonts w:ascii="Arial" w:eastAsia="Arial" w:hAnsi="Arial" w:cs="Arial"/>
                <w:b/>
                <w:color w:val="000000"/>
                <w:sz w:val="16"/>
              </w:rPr>
            </w:pPr>
          </w:p>
        </w:tc>
      </w:tr>
      <w:tr w:rsidR="00510CAA" w14:paraId="71F3ED7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95"/>
        </w:trPr>
        <w:tc>
          <w:tcPr>
            <w:tcW w:w="6450" w:type="dxa"/>
            <w:gridSpan w:val="2"/>
            <w:tcBorders>
              <w:top w:val="nil"/>
              <w:left w:val="nil"/>
              <w:bottom w:val="nil"/>
              <w:right w:val="nil"/>
              <w:tl2br w:val="nil"/>
              <w:tr2bl w:val="nil"/>
            </w:tcBorders>
            <w:noWrap/>
            <w:tcMar>
              <w:left w:w="40" w:type="dxa"/>
              <w:right w:w="40" w:type="dxa"/>
            </w:tcMar>
            <w:vAlign w:val="bottom"/>
          </w:tcPr>
          <w:p w14:paraId="71F3ED6D" w14:textId="77777777" w:rsidR="00510CAA" w:rsidRDefault="003A4815">
            <w:pPr>
              <w:keepNext/>
              <w:rPr>
                <w:rFonts w:ascii="Arial" w:eastAsia="Arial" w:hAnsi="Arial" w:cs="Arial"/>
                <w:color w:val="000000"/>
                <w:sz w:val="16"/>
              </w:rPr>
            </w:pPr>
            <w:r>
              <w:rPr>
                <w:rFonts w:ascii="Arial" w:eastAsia="Arial" w:hAnsi="Arial" w:cs="Arial"/>
                <w:color w:val="000000"/>
                <w:sz w:val="16"/>
              </w:rPr>
              <w:t>CONSOLIDATED BALANCE SHEETS</w:t>
            </w:r>
          </w:p>
        </w:tc>
        <w:tc>
          <w:tcPr>
            <w:tcW w:w="180" w:type="dxa"/>
            <w:tcBorders>
              <w:top w:val="nil"/>
              <w:left w:val="nil"/>
              <w:bottom w:val="nil"/>
              <w:right w:val="nil"/>
              <w:tl2br w:val="nil"/>
              <w:tr2bl w:val="nil"/>
            </w:tcBorders>
            <w:tcMar>
              <w:left w:w="0" w:type="dxa"/>
              <w:right w:w="0" w:type="dxa"/>
            </w:tcMar>
            <w:vAlign w:val="bottom"/>
          </w:tcPr>
          <w:p w14:paraId="71F3ED6E" w14:textId="77777777" w:rsidR="00510CAA" w:rsidRDefault="00510CAA">
            <w:pPr>
              <w:keepNext/>
              <w:jc w:val="both"/>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6F"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70" w14:textId="77777777" w:rsidR="00510CAA" w:rsidRDefault="00510CAA">
            <w:pPr>
              <w:keepNext/>
              <w:jc w:val="both"/>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71" w14:textId="77777777" w:rsidR="00510CAA" w:rsidRDefault="00510CAA">
            <w:pPr>
              <w:keepNext/>
              <w:jc w:val="both"/>
              <w:rPr>
                <w:rFonts w:ascii="Arial" w:eastAsia="Arial" w:hAnsi="Arial" w:cs="Arial"/>
                <w:color w:val="000000"/>
                <w:sz w:val="16"/>
              </w:rPr>
            </w:pPr>
          </w:p>
        </w:tc>
      </w:tr>
      <w:tr w:rsidR="00510CAA" w14:paraId="71F3ED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95"/>
        </w:trPr>
        <w:tc>
          <w:tcPr>
            <w:tcW w:w="6450" w:type="dxa"/>
            <w:gridSpan w:val="2"/>
            <w:tcBorders>
              <w:top w:val="nil"/>
              <w:left w:val="nil"/>
              <w:bottom w:val="nil"/>
              <w:right w:val="nil"/>
              <w:tl2br w:val="nil"/>
              <w:tr2bl w:val="nil"/>
            </w:tcBorders>
            <w:noWrap/>
            <w:tcMar>
              <w:left w:w="40" w:type="dxa"/>
              <w:right w:w="40" w:type="dxa"/>
            </w:tcMar>
            <w:vAlign w:val="bottom"/>
          </w:tcPr>
          <w:p w14:paraId="71F3ED73" w14:textId="77777777" w:rsidR="00510CAA" w:rsidRDefault="003A4815">
            <w:pPr>
              <w:keepNext/>
              <w:rPr>
                <w:rFonts w:ascii="Arial" w:eastAsia="Arial" w:hAnsi="Arial" w:cs="Arial"/>
                <w:color w:val="000000"/>
                <w:sz w:val="16"/>
              </w:rPr>
            </w:pPr>
            <w:r>
              <w:rPr>
                <w:rFonts w:ascii="Arial" w:eastAsia="Arial" w:hAnsi="Arial" w:cs="Arial"/>
                <w:color w:val="000000"/>
                <w:sz w:val="16"/>
              </w:rPr>
              <w:t>December 31, 2025 and 2024</w:t>
            </w:r>
          </w:p>
        </w:tc>
        <w:tc>
          <w:tcPr>
            <w:tcW w:w="180" w:type="dxa"/>
            <w:tcBorders>
              <w:top w:val="nil"/>
              <w:left w:val="nil"/>
              <w:bottom w:val="nil"/>
              <w:right w:val="nil"/>
              <w:tl2br w:val="nil"/>
              <w:tr2bl w:val="nil"/>
            </w:tcBorders>
            <w:tcMar>
              <w:left w:w="0" w:type="dxa"/>
              <w:right w:w="0" w:type="dxa"/>
            </w:tcMar>
            <w:vAlign w:val="bottom"/>
          </w:tcPr>
          <w:p w14:paraId="71F3ED74" w14:textId="77777777" w:rsidR="00510CAA" w:rsidRDefault="00510CAA">
            <w:pPr>
              <w:keepNext/>
              <w:jc w:val="both"/>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75"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76" w14:textId="77777777" w:rsidR="00510CAA" w:rsidRDefault="00510CAA">
            <w:pPr>
              <w:keepNext/>
              <w:jc w:val="both"/>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77" w14:textId="77777777" w:rsidR="00510CAA" w:rsidRDefault="00510CAA">
            <w:pPr>
              <w:keepNext/>
              <w:jc w:val="both"/>
              <w:rPr>
                <w:rFonts w:ascii="Arial" w:eastAsia="Arial" w:hAnsi="Arial" w:cs="Arial"/>
                <w:color w:val="000000"/>
                <w:sz w:val="16"/>
              </w:rPr>
            </w:pPr>
          </w:p>
        </w:tc>
      </w:tr>
      <w:tr w:rsidR="00510CAA" w14:paraId="71F3ED7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95"/>
        </w:trPr>
        <w:tc>
          <w:tcPr>
            <w:tcW w:w="6450" w:type="dxa"/>
            <w:gridSpan w:val="2"/>
            <w:tcBorders>
              <w:top w:val="nil"/>
              <w:left w:val="nil"/>
              <w:bottom w:val="nil"/>
              <w:right w:val="nil"/>
              <w:tl2br w:val="nil"/>
              <w:tr2bl w:val="nil"/>
            </w:tcBorders>
            <w:noWrap/>
            <w:tcMar>
              <w:left w:w="40" w:type="dxa"/>
              <w:right w:w="40" w:type="dxa"/>
            </w:tcMar>
            <w:vAlign w:val="bottom"/>
          </w:tcPr>
          <w:p w14:paraId="71F3ED79" w14:textId="77777777" w:rsidR="00510CAA" w:rsidRDefault="003A4815">
            <w:pPr>
              <w:keepNext/>
              <w:rPr>
                <w:rFonts w:ascii="Arial" w:eastAsia="Arial" w:hAnsi="Arial" w:cs="Arial"/>
                <w:color w:val="000000"/>
                <w:sz w:val="16"/>
              </w:rPr>
            </w:pPr>
            <w:r>
              <w:rPr>
                <w:rFonts w:ascii="Arial" w:eastAsia="Arial" w:hAnsi="Arial" w:cs="Arial"/>
                <w:color w:val="000000"/>
                <w:sz w:val="16"/>
              </w:rPr>
              <w:t>(Expressed in thousands of U.S. Dollars – except for share and per share data)</w:t>
            </w:r>
          </w:p>
        </w:tc>
        <w:tc>
          <w:tcPr>
            <w:tcW w:w="180" w:type="dxa"/>
            <w:tcBorders>
              <w:top w:val="nil"/>
              <w:left w:val="nil"/>
              <w:bottom w:val="nil"/>
              <w:right w:val="nil"/>
              <w:tl2br w:val="nil"/>
              <w:tr2bl w:val="nil"/>
            </w:tcBorders>
            <w:tcMar>
              <w:left w:w="0" w:type="dxa"/>
              <w:right w:w="0" w:type="dxa"/>
            </w:tcMar>
            <w:vAlign w:val="bottom"/>
          </w:tcPr>
          <w:p w14:paraId="71F3ED7A" w14:textId="77777777" w:rsidR="00510CAA" w:rsidRDefault="00510CAA">
            <w:pPr>
              <w:keepNext/>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7B" w14:textId="77777777" w:rsidR="00510CAA" w:rsidRDefault="00510CAA">
            <w:pPr>
              <w:keepNext/>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7C" w14:textId="77777777" w:rsidR="00510CAA" w:rsidRDefault="00510CAA">
            <w:pPr>
              <w:keepNext/>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7D" w14:textId="77777777" w:rsidR="00510CAA" w:rsidRDefault="00510CAA">
            <w:pPr>
              <w:keepNext/>
              <w:rPr>
                <w:rFonts w:ascii="Arial" w:eastAsia="Arial" w:hAnsi="Arial" w:cs="Arial"/>
                <w:color w:val="000000"/>
                <w:sz w:val="16"/>
              </w:rPr>
            </w:pPr>
          </w:p>
        </w:tc>
      </w:tr>
      <w:tr w:rsidR="00510CAA" w14:paraId="71F3ED8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95"/>
        </w:trPr>
        <w:tc>
          <w:tcPr>
            <w:tcW w:w="285" w:type="dxa"/>
            <w:tcBorders>
              <w:top w:val="nil"/>
              <w:left w:val="nil"/>
              <w:bottom w:val="nil"/>
              <w:right w:val="nil"/>
              <w:tl2br w:val="nil"/>
              <w:tr2bl w:val="nil"/>
            </w:tcBorders>
            <w:tcMar>
              <w:left w:w="0" w:type="dxa"/>
              <w:right w:w="0" w:type="dxa"/>
            </w:tcMar>
            <w:vAlign w:val="bottom"/>
          </w:tcPr>
          <w:p w14:paraId="71F3ED7F" w14:textId="77777777" w:rsidR="00510CAA" w:rsidRDefault="00510CAA">
            <w:pPr>
              <w:keepNext/>
              <w:jc w:val="center"/>
              <w:rPr>
                <w:rFonts w:ascii="Arial" w:eastAsia="Arial" w:hAnsi="Arial" w:cs="Arial"/>
                <w:b/>
                <w:color w:val="000000"/>
                <w:sz w:val="16"/>
              </w:rPr>
            </w:pPr>
          </w:p>
        </w:tc>
        <w:tc>
          <w:tcPr>
            <w:tcW w:w="6165" w:type="dxa"/>
            <w:tcBorders>
              <w:top w:val="nil"/>
              <w:left w:val="nil"/>
              <w:bottom w:val="nil"/>
              <w:right w:val="nil"/>
              <w:tl2br w:val="nil"/>
              <w:tr2bl w:val="nil"/>
            </w:tcBorders>
            <w:tcMar>
              <w:left w:w="0" w:type="dxa"/>
              <w:right w:w="0" w:type="dxa"/>
            </w:tcMar>
            <w:vAlign w:val="bottom"/>
          </w:tcPr>
          <w:p w14:paraId="71F3ED80" w14:textId="77777777" w:rsidR="00510CAA" w:rsidRDefault="00510CAA">
            <w:pPr>
              <w:keepNext/>
              <w:jc w:val="center"/>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81"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82"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2025</w:t>
            </w:r>
          </w:p>
        </w:tc>
        <w:tc>
          <w:tcPr>
            <w:tcW w:w="180" w:type="dxa"/>
            <w:tcBorders>
              <w:top w:val="nil"/>
              <w:left w:val="nil"/>
              <w:bottom w:val="nil"/>
              <w:right w:val="nil"/>
              <w:tl2br w:val="nil"/>
              <w:tr2bl w:val="nil"/>
            </w:tcBorders>
            <w:tcMar>
              <w:left w:w="0" w:type="dxa"/>
              <w:right w:w="0" w:type="dxa"/>
            </w:tcMar>
            <w:vAlign w:val="bottom"/>
          </w:tcPr>
          <w:p w14:paraId="71F3ED83" w14:textId="77777777" w:rsidR="00510CAA" w:rsidRDefault="00510CAA">
            <w:pPr>
              <w:keepNext/>
              <w:jc w:val="center"/>
              <w:rPr>
                <w:rFonts w:ascii="Arial" w:eastAsia="Arial" w:hAnsi="Arial" w:cs="Arial"/>
                <w:b/>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84"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2024</w:t>
            </w:r>
          </w:p>
        </w:tc>
      </w:tr>
      <w:tr w:rsidR="00510CAA" w14:paraId="71F3ED8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6450" w:type="dxa"/>
            <w:gridSpan w:val="2"/>
            <w:tcBorders>
              <w:top w:val="nil"/>
              <w:left w:val="nil"/>
              <w:bottom w:val="nil"/>
              <w:right w:val="nil"/>
              <w:tl2br w:val="nil"/>
              <w:tr2bl w:val="nil"/>
            </w:tcBorders>
            <w:tcMar>
              <w:left w:w="40" w:type="dxa"/>
              <w:right w:w="40" w:type="dxa"/>
            </w:tcMar>
            <w:vAlign w:val="bottom"/>
          </w:tcPr>
          <w:p w14:paraId="71F3ED86" w14:textId="77777777" w:rsidR="00510CAA" w:rsidRDefault="003A4815">
            <w:pPr>
              <w:keepNext/>
              <w:jc w:val="both"/>
              <w:rPr>
                <w:rFonts w:ascii="Arial" w:eastAsia="Arial" w:hAnsi="Arial" w:cs="Arial"/>
                <w:b/>
                <w:color w:val="000000"/>
                <w:sz w:val="16"/>
                <w:u w:val="single"/>
              </w:rPr>
            </w:pPr>
            <w:r>
              <w:rPr>
                <w:rFonts w:ascii="Arial" w:eastAsia="Arial" w:hAnsi="Arial" w:cs="Arial"/>
                <w:b/>
                <w:color w:val="000000"/>
                <w:sz w:val="16"/>
                <w:u w:val="single"/>
              </w:rPr>
              <w:t>ASSETS</w:t>
            </w:r>
          </w:p>
        </w:tc>
        <w:tc>
          <w:tcPr>
            <w:tcW w:w="180" w:type="dxa"/>
            <w:tcBorders>
              <w:top w:val="nil"/>
              <w:left w:val="nil"/>
              <w:bottom w:val="nil"/>
              <w:right w:val="nil"/>
              <w:tl2br w:val="nil"/>
              <w:tr2bl w:val="nil"/>
            </w:tcBorders>
            <w:tcMar>
              <w:left w:w="0" w:type="dxa"/>
              <w:right w:w="0" w:type="dxa"/>
            </w:tcMar>
            <w:vAlign w:val="bottom"/>
          </w:tcPr>
          <w:p w14:paraId="71F3ED87"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nil"/>
              <w:right w:val="nil"/>
              <w:tl2br w:val="nil"/>
              <w:tr2bl w:val="nil"/>
            </w:tcBorders>
            <w:tcMar>
              <w:left w:w="0" w:type="dxa"/>
              <w:right w:w="0" w:type="dxa"/>
            </w:tcMar>
            <w:vAlign w:val="bottom"/>
          </w:tcPr>
          <w:p w14:paraId="71F3ED88" w14:textId="77777777" w:rsidR="00510CAA" w:rsidRDefault="00510CAA">
            <w:pPr>
              <w:keepNext/>
              <w:jc w:val="both"/>
              <w:rPr>
                <w:rFonts w:ascii="Arial" w:eastAsia="Arial" w:hAnsi="Arial" w:cs="Arial"/>
                <w:b/>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89" w14:textId="77777777" w:rsidR="00510CAA" w:rsidRDefault="00510CAA">
            <w:pPr>
              <w:keepNext/>
              <w:jc w:val="center"/>
              <w:rPr>
                <w:rFonts w:ascii="Arial" w:eastAsia="Arial" w:hAnsi="Arial" w:cs="Arial"/>
                <w:b/>
                <w:color w:val="000000"/>
                <w:sz w:val="16"/>
              </w:rPr>
            </w:pPr>
          </w:p>
        </w:tc>
        <w:tc>
          <w:tcPr>
            <w:tcW w:w="1965" w:type="dxa"/>
            <w:tcBorders>
              <w:top w:val="single" w:sz="4" w:space="0" w:color="000000"/>
              <w:left w:val="nil"/>
              <w:bottom w:val="nil"/>
              <w:right w:val="nil"/>
              <w:tl2br w:val="nil"/>
              <w:tr2bl w:val="nil"/>
            </w:tcBorders>
            <w:tcMar>
              <w:left w:w="0" w:type="dxa"/>
              <w:right w:w="0" w:type="dxa"/>
            </w:tcMar>
            <w:vAlign w:val="bottom"/>
          </w:tcPr>
          <w:p w14:paraId="71F3ED8A" w14:textId="77777777" w:rsidR="00510CAA" w:rsidRDefault="00510CAA">
            <w:pPr>
              <w:keepNext/>
              <w:jc w:val="both"/>
              <w:rPr>
                <w:rFonts w:ascii="Arial" w:eastAsia="Arial" w:hAnsi="Arial" w:cs="Arial"/>
                <w:b/>
                <w:color w:val="000000"/>
                <w:sz w:val="16"/>
              </w:rPr>
            </w:pPr>
          </w:p>
        </w:tc>
      </w:tr>
      <w:tr w:rsidR="00510CAA" w14:paraId="71F3ED9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6450" w:type="dxa"/>
            <w:gridSpan w:val="2"/>
            <w:tcBorders>
              <w:top w:val="nil"/>
              <w:left w:val="nil"/>
              <w:bottom w:val="nil"/>
              <w:right w:val="nil"/>
              <w:tl2br w:val="nil"/>
              <w:tr2bl w:val="nil"/>
            </w:tcBorders>
            <w:tcMar>
              <w:left w:w="40" w:type="dxa"/>
              <w:right w:w="40" w:type="dxa"/>
            </w:tcMar>
            <w:vAlign w:val="bottom"/>
          </w:tcPr>
          <w:p w14:paraId="71F3ED8C"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Current Assets</w:t>
            </w:r>
          </w:p>
        </w:tc>
        <w:tc>
          <w:tcPr>
            <w:tcW w:w="180" w:type="dxa"/>
            <w:tcBorders>
              <w:top w:val="nil"/>
              <w:left w:val="nil"/>
              <w:bottom w:val="nil"/>
              <w:right w:val="nil"/>
              <w:tl2br w:val="nil"/>
              <w:tr2bl w:val="nil"/>
            </w:tcBorders>
            <w:tcMar>
              <w:left w:w="0" w:type="dxa"/>
              <w:right w:w="0" w:type="dxa"/>
            </w:tcMar>
            <w:vAlign w:val="bottom"/>
          </w:tcPr>
          <w:p w14:paraId="71F3ED8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8E"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8F"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90" w14:textId="77777777" w:rsidR="00510CAA" w:rsidRDefault="00510CAA">
            <w:pPr>
              <w:keepNext/>
              <w:jc w:val="both"/>
              <w:rPr>
                <w:rFonts w:ascii="Arial" w:eastAsia="Arial" w:hAnsi="Arial" w:cs="Arial"/>
                <w:color w:val="000000"/>
                <w:sz w:val="16"/>
              </w:rPr>
            </w:pPr>
          </w:p>
        </w:tc>
      </w:tr>
      <w:tr w:rsidR="00510CAA" w14:paraId="71F3ED9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92"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Cash and cash equivalents (Note 2 (e))</w:t>
            </w:r>
          </w:p>
        </w:tc>
        <w:tc>
          <w:tcPr>
            <w:tcW w:w="180" w:type="dxa"/>
            <w:tcBorders>
              <w:top w:val="nil"/>
              <w:left w:val="nil"/>
              <w:bottom w:val="nil"/>
              <w:right w:val="nil"/>
              <w:tl2br w:val="nil"/>
              <w:tr2bl w:val="nil"/>
            </w:tcBorders>
            <w:tcMar>
              <w:left w:w="40" w:type="dxa"/>
              <w:right w:w="40" w:type="dxa"/>
            </w:tcMar>
            <w:vAlign w:val="bottom"/>
          </w:tcPr>
          <w:p w14:paraId="71F3ED93"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nil"/>
              <w:right w:val="nil"/>
              <w:tl2br w:val="nil"/>
              <w:tr2bl w:val="nil"/>
            </w:tcBorders>
            <w:tcMar>
              <w:left w:w="40" w:type="dxa"/>
              <w:right w:w="40" w:type="dxa"/>
            </w:tcMar>
            <w:vAlign w:val="bottom"/>
          </w:tcPr>
          <w:p w14:paraId="71F3ED9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50,505</w:t>
            </w:r>
          </w:p>
        </w:tc>
        <w:tc>
          <w:tcPr>
            <w:tcW w:w="180" w:type="dxa"/>
            <w:tcBorders>
              <w:top w:val="nil"/>
              <w:left w:val="nil"/>
              <w:bottom w:val="nil"/>
              <w:right w:val="nil"/>
              <w:tl2br w:val="nil"/>
              <w:tr2bl w:val="nil"/>
            </w:tcBorders>
            <w:tcMar>
              <w:left w:w="40" w:type="dxa"/>
              <w:right w:w="40" w:type="dxa"/>
            </w:tcMar>
            <w:vAlign w:val="bottom"/>
          </w:tcPr>
          <w:p w14:paraId="71F3ED95"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nil"/>
              <w:right w:val="nil"/>
              <w:tl2br w:val="nil"/>
              <w:tr2bl w:val="nil"/>
            </w:tcBorders>
            <w:tcMar>
              <w:left w:w="40" w:type="dxa"/>
              <w:right w:w="40" w:type="dxa"/>
            </w:tcMar>
            <w:vAlign w:val="bottom"/>
          </w:tcPr>
          <w:p w14:paraId="71F3ED9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124,666</w:t>
            </w:r>
          </w:p>
        </w:tc>
      </w:tr>
      <w:tr w:rsidR="00510CAA" w14:paraId="71F3ED9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98"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Time deposits (Note 2 (e))</w:t>
            </w:r>
          </w:p>
        </w:tc>
        <w:tc>
          <w:tcPr>
            <w:tcW w:w="180" w:type="dxa"/>
            <w:tcBorders>
              <w:top w:val="nil"/>
              <w:left w:val="nil"/>
              <w:bottom w:val="nil"/>
              <w:right w:val="nil"/>
              <w:tl2br w:val="nil"/>
              <w:tr2bl w:val="nil"/>
            </w:tcBorders>
            <w:tcMar>
              <w:left w:w="0" w:type="dxa"/>
              <w:right w:w="0" w:type="dxa"/>
            </w:tcMar>
            <w:vAlign w:val="bottom"/>
          </w:tcPr>
          <w:p w14:paraId="71F3ED9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9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tcMar>
              <w:left w:w="0" w:type="dxa"/>
              <w:right w:w="0" w:type="dxa"/>
            </w:tcMar>
            <w:vAlign w:val="bottom"/>
          </w:tcPr>
          <w:p w14:paraId="71F3ED9B"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9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63,500</w:t>
            </w:r>
          </w:p>
        </w:tc>
      </w:tr>
      <w:tr w:rsidR="00510CAA" w14:paraId="71F3ED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9E"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Restricted cash, current (Notes 2(e) and 8)</w:t>
            </w:r>
          </w:p>
        </w:tc>
        <w:tc>
          <w:tcPr>
            <w:tcW w:w="180" w:type="dxa"/>
            <w:tcBorders>
              <w:top w:val="nil"/>
              <w:left w:val="nil"/>
              <w:bottom w:val="nil"/>
              <w:right w:val="nil"/>
              <w:tl2br w:val="nil"/>
              <w:tr2bl w:val="nil"/>
            </w:tcBorders>
            <w:tcMar>
              <w:left w:w="0" w:type="dxa"/>
              <w:right w:w="0" w:type="dxa"/>
            </w:tcMar>
            <w:vAlign w:val="bottom"/>
          </w:tcPr>
          <w:p w14:paraId="71F3ED9F"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53,750</w:t>
            </w:r>
          </w:p>
        </w:tc>
        <w:tc>
          <w:tcPr>
            <w:tcW w:w="180" w:type="dxa"/>
            <w:tcBorders>
              <w:top w:val="nil"/>
              <w:left w:val="nil"/>
              <w:bottom w:val="nil"/>
              <w:right w:val="nil"/>
              <w:tl2br w:val="nil"/>
              <w:tr2bl w:val="nil"/>
            </w:tcBorders>
            <w:tcMar>
              <w:left w:w="0" w:type="dxa"/>
              <w:right w:w="0" w:type="dxa"/>
            </w:tcMar>
            <w:vAlign w:val="bottom"/>
          </w:tcPr>
          <w:p w14:paraId="71F3EDA1"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r>
      <w:tr w:rsidR="00510CAA" w14:paraId="71F3EDA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A4"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Accounts receivable, trade (Note 2 (f))</w:t>
            </w:r>
          </w:p>
        </w:tc>
        <w:tc>
          <w:tcPr>
            <w:tcW w:w="180" w:type="dxa"/>
            <w:tcBorders>
              <w:top w:val="nil"/>
              <w:left w:val="nil"/>
              <w:bottom w:val="nil"/>
              <w:right w:val="nil"/>
              <w:tl2br w:val="nil"/>
              <w:tr2bl w:val="nil"/>
            </w:tcBorders>
            <w:tcMar>
              <w:left w:w="0" w:type="dxa"/>
              <w:right w:w="0" w:type="dxa"/>
            </w:tcMar>
            <w:vAlign w:val="bottom"/>
          </w:tcPr>
          <w:p w14:paraId="71F3EDA5"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3,739</w:t>
            </w:r>
          </w:p>
        </w:tc>
        <w:tc>
          <w:tcPr>
            <w:tcW w:w="180" w:type="dxa"/>
            <w:tcBorders>
              <w:top w:val="nil"/>
              <w:left w:val="nil"/>
              <w:bottom w:val="nil"/>
              <w:right w:val="nil"/>
              <w:tl2br w:val="nil"/>
              <w:tr2bl w:val="nil"/>
            </w:tcBorders>
            <w:tcMar>
              <w:left w:w="0" w:type="dxa"/>
              <w:right w:w="0" w:type="dxa"/>
            </w:tcMar>
            <w:vAlign w:val="bottom"/>
          </w:tcPr>
          <w:p w14:paraId="71F3EDA7"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6,565</w:t>
            </w:r>
          </w:p>
        </w:tc>
      </w:tr>
      <w:tr w:rsidR="00510CAA" w14:paraId="71F3EDA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AA"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Due from related parties (Note 4)</w:t>
            </w:r>
          </w:p>
        </w:tc>
        <w:tc>
          <w:tcPr>
            <w:tcW w:w="180" w:type="dxa"/>
            <w:tcBorders>
              <w:top w:val="nil"/>
              <w:left w:val="nil"/>
              <w:bottom w:val="nil"/>
              <w:right w:val="nil"/>
              <w:tl2br w:val="nil"/>
              <w:tr2bl w:val="nil"/>
            </w:tcBorders>
            <w:tcMar>
              <w:left w:w="0" w:type="dxa"/>
              <w:right w:w="0" w:type="dxa"/>
            </w:tcMar>
            <w:vAlign w:val="bottom"/>
          </w:tcPr>
          <w:p w14:paraId="71F3EDAB"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1,157</w:t>
            </w:r>
          </w:p>
        </w:tc>
        <w:tc>
          <w:tcPr>
            <w:tcW w:w="180" w:type="dxa"/>
            <w:tcBorders>
              <w:top w:val="nil"/>
              <w:left w:val="nil"/>
              <w:bottom w:val="nil"/>
              <w:right w:val="nil"/>
              <w:tl2br w:val="nil"/>
              <w:tr2bl w:val="nil"/>
            </w:tcBorders>
            <w:tcMar>
              <w:left w:w="0" w:type="dxa"/>
              <w:right w:w="0" w:type="dxa"/>
            </w:tcMar>
            <w:vAlign w:val="bottom"/>
          </w:tcPr>
          <w:p w14:paraId="71F3EDA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A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194</w:t>
            </w:r>
          </w:p>
        </w:tc>
      </w:tr>
      <w:tr w:rsidR="00510CAA" w14:paraId="71F3EDB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B0"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Inventories (Note 2 (g))</w:t>
            </w:r>
          </w:p>
        </w:tc>
        <w:tc>
          <w:tcPr>
            <w:tcW w:w="180" w:type="dxa"/>
            <w:tcBorders>
              <w:top w:val="nil"/>
              <w:left w:val="nil"/>
              <w:bottom w:val="nil"/>
              <w:right w:val="nil"/>
              <w:tl2br w:val="nil"/>
              <w:tr2bl w:val="nil"/>
            </w:tcBorders>
            <w:tcMar>
              <w:left w:w="0" w:type="dxa"/>
              <w:right w:w="0" w:type="dxa"/>
            </w:tcMar>
            <w:vAlign w:val="bottom"/>
          </w:tcPr>
          <w:p w14:paraId="71F3EDB1"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B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4,137</w:t>
            </w:r>
          </w:p>
        </w:tc>
        <w:tc>
          <w:tcPr>
            <w:tcW w:w="180" w:type="dxa"/>
            <w:tcBorders>
              <w:top w:val="nil"/>
              <w:left w:val="nil"/>
              <w:bottom w:val="nil"/>
              <w:right w:val="nil"/>
              <w:tl2br w:val="nil"/>
              <w:tr2bl w:val="nil"/>
            </w:tcBorders>
            <w:tcMar>
              <w:left w:w="0" w:type="dxa"/>
              <w:right w:w="0" w:type="dxa"/>
            </w:tcMar>
            <w:vAlign w:val="bottom"/>
          </w:tcPr>
          <w:p w14:paraId="71F3EDB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B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4,193</w:t>
            </w:r>
          </w:p>
        </w:tc>
      </w:tr>
      <w:tr w:rsidR="00510CAA" w14:paraId="71F3EDB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B6"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Prepaid expenses and other assets</w:t>
            </w:r>
          </w:p>
        </w:tc>
        <w:tc>
          <w:tcPr>
            <w:tcW w:w="180" w:type="dxa"/>
            <w:tcBorders>
              <w:top w:val="nil"/>
              <w:left w:val="nil"/>
              <w:bottom w:val="nil"/>
              <w:right w:val="nil"/>
              <w:tl2br w:val="nil"/>
              <w:tr2bl w:val="nil"/>
            </w:tcBorders>
            <w:tcMar>
              <w:left w:w="0" w:type="dxa"/>
              <w:right w:w="0" w:type="dxa"/>
            </w:tcMar>
            <w:vAlign w:val="bottom"/>
          </w:tcPr>
          <w:p w14:paraId="71F3EDB7"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B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8,828</w:t>
            </w:r>
          </w:p>
        </w:tc>
        <w:tc>
          <w:tcPr>
            <w:tcW w:w="180" w:type="dxa"/>
            <w:tcBorders>
              <w:top w:val="nil"/>
              <w:left w:val="nil"/>
              <w:bottom w:val="nil"/>
              <w:right w:val="nil"/>
              <w:tl2br w:val="nil"/>
              <w:tr2bl w:val="nil"/>
            </w:tcBorders>
            <w:tcMar>
              <w:left w:w="0" w:type="dxa"/>
              <w:right w:w="0" w:type="dxa"/>
            </w:tcMar>
            <w:vAlign w:val="bottom"/>
          </w:tcPr>
          <w:p w14:paraId="71F3EDB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B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7,490</w:t>
            </w:r>
          </w:p>
        </w:tc>
      </w:tr>
      <w:tr w:rsidR="00510CAA" w14:paraId="71F3EDC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BC"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Investments in equity securities (Note 5(b))</w:t>
            </w:r>
          </w:p>
        </w:tc>
        <w:tc>
          <w:tcPr>
            <w:tcW w:w="180" w:type="dxa"/>
            <w:tcBorders>
              <w:top w:val="nil"/>
              <w:left w:val="nil"/>
              <w:bottom w:val="nil"/>
              <w:right w:val="nil"/>
              <w:tl2br w:val="nil"/>
              <w:tr2bl w:val="nil"/>
            </w:tcBorders>
            <w:tcMar>
              <w:left w:w="0" w:type="dxa"/>
              <w:right w:w="0" w:type="dxa"/>
            </w:tcMar>
            <w:vAlign w:val="bottom"/>
          </w:tcPr>
          <w:p w14:paraId="71F3EDB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B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118,194</w:t>
            </w:r>
          </w:p>
        </w:tc>
        <w:tc>
          <w:tcPr>
            <w:tcW w:w="180" w:type="dxa"/>
            <w:tcBorders>
              <w:top w:val="nil"/>
              <w:left w:val="nil"/>
              <w:bottom w:val="nil"/>
              <w:right w:val="nil"/>
              <w:tl2br w:val="nil"/>
              <w:tr2bl w:val="nil"/>
            </w:tcBorders>
            <w:tcMar>
              <w:left w:w="0" w:type="dxa"/>
              <w:right w:w="0" w:type="dxa"/>
            </w:tcMar>
            <w:vAlign w:val="bottom"/>
          </w:tcPr>
          <w:p w14:paraId="71F3EDBF"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C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r>
      <w:tr w:rsidR="00510CAA" w14:paraId="71F3EDC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C2"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Investments in a related party, current (Note 5(a))</w:t>
            </w:r>
          </w:p>
        </w:tc>
        <w:tc>
          <w:tcPr>
            <w:tcW w:w="180" w:type="dxa"/>
            <w:tcBorders>
              <w:top w:val="nil"/>
              <w:left w:val="nil"/>
              <w:bottom w:val="nil"/>
              <w:right w:val="nil"/>
              <w:tl2br w:val="nil"/>
              <w:tr2bl w:val="nil"/>
            </w:tcBorders>
            <w:tcMar>
              <w:left w:w="0" w:type="dxa"/>
              <w:right w:w="0" w:type="dxa"/>
            </w:tcMar>
            <w:vAlign w:val="bottom"/>
          </w:tcPr>
          <w:p w14:paraId="71F3EDC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C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338</w:t>
            </w:r>
          </w:p>
        </w:tc>
        <w:tc>
          <w:tcPr>
            <w:tcW w:w="180" w:type="dxa"/>
            <w:tcBorders>
              <w:top w:val="nil"/>
              <w:left w:val="nil"/>
              <w:bottom w:val="nil"/>
              <w:right w:val="nil"/>
              <w:tl2br w:val="nil"/>
              <w:tr2bl w:val="nil"/>
            </w:tcBorders>
            <w:tcMar>
              <w:left w:w="0" w:type="dxa"/>
              <w:right w:w="0" w:type="dxa"/>
            </w:tcMar>
            <w:vAlign w:val="bottom"/>
          </w:tcPr>
          <w:p w14:paraId="71F3EDC5"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C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r>
      <w:tr w:rsidR="00510CAA" w14:paraId="71F3EDC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C8"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Equity method investment, current (Note 4 (b))</w:t>
            </w:r>
          </w:p>
        </w:tc>
        <w:tc>
          <w:tcPr>
            <w:tcW w:w="180" w:type="dxa"/>
            <w:tcBorders>
              <w:top w:val="nil"/>
              <w:left w:val="nil"/>
              <w:bottom w:val="nil"/>
              <w:right w:val="nil"/>
              <w:tl2br w:val="nil"/>
              <w:tr2bl w:val="nil"/>
            </w:tcBorders>
            <w:tcMar>
              <w:left w:w="0" w:type="dxa"/>
              <w:right w:w="0" w:type="dxa"/>
            </w:tcMar>
            <w:vAlign w:val="bottom"/>
          </w:tcPr>
          <w:p w14:paraId="71F3EDC9"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C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4,227</w:t>
            </w:r>
          </w:p>
        </w:tc>
        <w:tc>
          <w:tcPr>
            <w:tcW w:w="180" w:type="dxa"/>
            <w:tcBorders>
              <w:top w:val="nil"/>
              <w:left w:val="nil"/>
              <w:bottom w:val="nil"/>
              <w:right w:val="nil"/>
              <w:tl2br w:val="nil"/>
              <w:tr2bl w:val="nil"/>
            </w:tcBorders>
            <w:tcMar>
              <w:left w:w="0" w:type="dxa"/>
              <w:right w:w="0" w:type="dxa"/>
            </w:tcMar>
            <w:vAlign w:val="bottom"/>
          </w:tcPr>
          <w:p w14:paraId="71F3EDCB"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C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r>
      <w:tr w:rsidR="00510CAA" w14:paraId="71F3EDD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DCE"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DCF"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Total Current Assets</w:t>
            </w:r>
          </w:p>
        </w:tc>
        <w:tc>
          <w:tcPr>
            <w:tcW w:w="180" w:type="dxa"/>
            <w:tcBorders>
              <w:top w:val="nil"/>
              <w:left w:val="nil"/>
              <w:bottom w:val="nil"/>
              <w:right w:val="nil"/>
              <w:tl2br w:val="nil"/>
              <w:tr2bl w:val="nil"/>
            </w:tcBorders>
            <w:tcMar>
              <w:left w:w="0" w:type="dxa"/>
              <w:right w:w="0" w:type="dxa"/>
            </w:tcMar>
            <w:vAlign w:val="bottom"/>
          </w:tcPr>
          <w:p w14:paraId="71F3EDD0"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DD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244,875</w:t>
            </w:r>
          </w:p>
        </w:tc>
        <w:tc>
          <w:tcPr>
            <w:tcW w:w="180" w:type="dxa"/>
            <w:tcBorders>
              <w:top w:val="nil"/>
              <w:left w:val="nil"/>
              <w:bottom w:val="nil"/>
              <w:right w:val="nil"/>
              <w:tl2br w:val="nil"/>
              <w:tr2bl w:val="nil"/>
            </w:tcBorders>
            <w:tcMar>
              <w:left w:w="0" w:type="dxa"/>
              <w:right w:w="0" w:type="dxa"/>
            </w:tcMar>
            <w:vAlign w:val="bottom"/>
          </w:tcPr>
          <w:p w14:paraId="71F3EDD2" w14:textId="77777777" w:rsidR="00510CAA" w:rsidRDefault="00510CAA">
            <w:pPr>
              <w:keepNext/>
              <w:jc w:val="right"/>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DD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206,608</w:t>
            </w:r>
          </w:p>
        </w:tc>
      </w:tr>
      <w:tr w:rsidR="00510CAA" w14:paraId="71F3EDD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6450" w:type="dxa"/>
            <w:gridSpan w:val="2"/>
            <w:tcBorders>
              <w:top w:val="nil"/>
              <w:left w:val="nil"/>
              <w:bottom w:val="nil"/>
              <w:right w:val="nil"/>
              <w:tl2br w:val="nil"/>
              <w:tr2bl w:val="nil"/>
            </w:tcBorders>
            <w:tcMar>
              <w:left w:w="40" w:type="dxa"/>
              <w:right w:w="40" w:type="dxa"/>
            </w:tcMar>
            <w:vAlign w:val="bottom"/>
          </w:tcPr>
          <w:p w14:paraId="71F3EDD5"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Fixed Assets:</w:t>
            </w:r>
          </w:p>
        </w:tc>
        <w:tc>
          <w:tcPr>
            <w:tcW w:w="180" w:type="dxa"/>
            <w:tcBorders>
              <w:top w:val="nil"/>
              <w:left w:val="nil"/>
              <w:bottom w:val="nil"/>
              <w:right w:val="nil"/>
              <w:tl2br w:val="nil"/>
              <w:tr2bl w:val="nil"/>
            </w:tcBorders>
            <w:tcMar>
              <w:left w:w="0" w:type="dxa"/>
              <w:right w:w="0" w:type="dxa"/>
            </w:tcMar>
            <w:vAlign w:val="bottom"/>
          </w:tcPr>
          <w:p w14:paraId="71F3EDD6"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D7" w14:textId="77777777" w:rsidR="00510CAA" w:rsidRDefault="00510CAA">
            <w:pPr>
              <w:keepNext/>
              <w:jc w:val="right"/>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D8"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DD9" w14:textId="77777777" w:rsidR="00510CAA" w:rsidRDefault="00510CAA">
            <w:pPr>
              <w:keepNext/>
              <w:jc w:val="right"/>
              <w:rPr>
                <w:rFonts w:ascii="Arial" w:eastAsia="Arial" w:hAnsi="Arial" w:cs="Arial"/>
                <w:color w:val="000000"/>
                <w:sz w:val="16"/>
              </w:rPr>
            </w:pPr>
          </w:p>
        </w:tc>
      </w:tr>
      <w:tr w:rsidR="00510CAA" w14:paraId="71F3EDE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DB"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Advances for vessels under construction (Note 6)</w:t>
            </w:r>
          </w:p>
        </w:tc>
        <w:tc>
          <w:tcPr>
            <w:tcW w:w="180" w:type="dxa"/>
            <w:tcBorders>
              <w:top w:val="nil"/>
              <w:left w:val="nil"/>
              <w:bottom w:val="nil"/>
              <w:right w:val="nil"/>
              <w:tl2br w:val="nil"/>
              <w:tr2bl w:val="nil"/>
            </w:tcBorders>
            <w:tcMar>
              <w:left w:w="0" w:type="dxa"/>
              <w:right w:w="0" w:type="dxa"/>
            </w:tcMar>
            <w:vAlign w:val="bottom"/>
          </w:tcPr>
          <w:p w14:paraId="71F3EDDC"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D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20,877</w:t>
            </w:r>
          </w:p>
        </w:tc>
        <w:tc>
          <w:tcPr>
            <w:tcW w:w="180" w:type="dxa"/>
            <w:tcBorders>
              <w:top w:val="nil"/>
              <w:left w:val="nil"/>
              <w:bottom w:val="nil"/>
              <w:right w:val="nil"/>
              <w:tl2br w:val="nil"/>
              <w:tr2bl w:val="nil"/>
            </w:tcBorders>
            <w:tcMar>
              <w:left w:w="0" w:type="dxa"/>
              <w:right w:w="0" w:type="dxa"/>
            </w:tcMar>
            <w:vAlign w:val="bottom"/>
          </w:tcPr>
          <w:p w14:paraId="71F3EDDE"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D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19,558</w:t>
            </w:r>
          </w:p>
        </w:tc>
      </w:tr>
      <w:tr w:rsidR="00510CAA" w14:paraId="71F3EDE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E1"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Vessels, net (Note 6)</w:t>
            </w:r>
          </w:p>
        </w:tc>
        <w:tc>
          <w:tcPr>
            <w:tcW w:w="180" w:type="dxa"/>
            <w:tcBorders>
              <w:top w:val="nil"/>
              <w:left w:val="nil"/>
              <w:bottom w:val="nil"/>
              <w:right w:val="nil"/>
              <w:tl2br w:val="nil"/>
              <w:tr2bl w:val="nil"/>
            </w:tcBorders>
            <w:tcMar>
              <w:left w:w="0" w:type="dxa"/>
              <w:right w:w="0" w:type="dxa"/>
            </w:tcMar>
            <w:vAlign w:val="bottom"/>
          </w:tcPr>
          <w:p w14:paraId="71F3EDE2"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E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777,938</w:t>
            </w:r>
          </w:p>
        </w:tc>
        <w:tc>
          <w:tcPr>
            <w:tcW w:w="180" w:type="dxa"/>
            <w:tcBorders>
              <w:top w:val="nil"/>
              <w:left w:val="nil"/>
              <w:bottom w:val="nil"/>
              <w:right w:val="nil"/>
              <w:tl2br w:val="nil"/>
              <w:tr2bl w:val="nil"/>
            </w:tcBorders>
            <w:tcMar>
              <w:left w:w="0" w:type="dxa"/>
              <w:right w:w="0" w:type="dxa"/>
            </w:tcMar>
            <w:vAlign w:val="bottom"/>
          </w:tcPr>
          <w:p w14:paraId="71F3EDE4"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E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833,412</w:t>
            </w:r>
          </w:p>
        </w:tc>
      </w:tr>
      <w:tr w:rsidR="00510CAA" w14:paraId="71F3EDE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E7"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Property and equipment, net (Note 7)</w:t>
            </w:r>
          </w:p>
        </w:tc>
        <w:tc>
          <w:tcPr>
            <w:tcW w:w="180" w:type="dxa"/>
            <w:tcBorders>
              <w:top w:val="nil"/>
              <w:left w:val="nil"/>
              <w:bottom w:val="nil"/>
              <w:right w:val="nil"/>
              <w:tl2br w:val="nil"/>
              <w:tr2bl w:val="nil"/>
            </w:tcBorders>
            <w:tcMar>
              <w:left w:w="0" w:type="dxa"/>
              <w:right w:w="0" w:type="dxa"/>
            </w:tcMar>
            <w:vAlign w:val="bottom"/>
          </w:tcPr>
          <w:p w14:paraId="71F3EDE8"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E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27,848</w:t>
            </w:r>
          </w:p>
        </w:tc>
        <w:tc>
          <w:tcPr>
            <w:tcW w:w="180" w:type="dxa"/>
            <w:tcBorders>
              <w:top w:val="nil"/>
              <w:left w:val="nil"/>
              <w:bottom w:val="nil"/>
              <w:right w:val="nil"/>
              <w:tl2br w:val="nil"/>
              <w:tr2bl w:val="nil"/>
            </w:tcBorders>
            <w:tcMar>
              <w:left w:w="0" w:type="dxa"/>
              <w:right w:w="0" w:type="dxa"/>
            </w:tcMar>
            <w:vAlign w:val="bottom"/>
          </w:tcPr>
          <w:p w14:paraId="71F3EDEA"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DE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27,175</w:t>
            </w:r>
          </w:p>
        </w:tc>
      </w:tr>
      <w:tr w:rsidR="00510CAA" w14:paraId="71F3ED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DED"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DEE"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Total fixed assets</w:t>
            </w:r>
          </w:p>
        </w:tc>
        <w:tc>
          <w:tcPr>
            <w:tcW w:w="180" w:type="dxa"/>
            <w:tcBorders>
              <w:top w:val="nil"/>
              <w:left w:val="nil"/>
              <w:bottom w:val="nil"/>
              <w:right w:val="nil"/>
              <w:tl2br w:val="nil"/>
              <w:tr2bl w:val="nil"/>
            </w:tcBorders>
            <w:tcMar>
              <w:left w:w="0" w:type="dxa"/>
              <w:right w:w="0" w:type="dxa"/>
            </w:tcMar>
            <w:vAlign w:val="bottom"/>
          </w:tcPr>
          <w:p w14:paraId="71F3EDEF"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DF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826,663</w:t>
            </w:r>
          </w:p>
        </w:tc>
        <w:tc>
          <w:tcPr>
            <w:tcW w:w="180" w:type="dxa"/>
            <w:tcBorders>
              <w:top w:val="nil"/>
              <w:left w:val="nil"/>
              <w:bottom w:val="nil"/>
              <w:right w:val="nil"/>
              <w:tl2br w:val="nil"/>
              <w:tr2bl w:val="nil"/>
            </w:tcBorders>
            <w:tcMar>
              <w:left w:w="0" w:type="dxa"/>
              <w:right w:w="0" w:type="dxa"/>
            </w:tcMar>
            <w:vAlign w:val="bottom"/>
          </w:tcPr>
          <w:p w14:paraId="71F3EDF1" w14:textId="77777777" w:rsidR="00510CAA" w:rsidRDefault="00510CAA">
            <w:pPr>
              <w:keepNext/>
              <w:jc w:val="right"/>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DF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880,145</w:t>
            </w:r>
          </w:p>
        </w:tc>
      </w:tr>
      <w:tr w:rsidR="00510CAA" w14:paraId="71F3EDF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6450" w:type="dxa"/>
            <w:gridSpan w:val="2"/>
            <w:tcBorders>
              <w:top w:val="nil"/>
              <w:left w:val="nil"/>
              <w:bottom w:val="nil"/>
              <w:right w:val="nil"/>
              <w:tl2br w:val="nil"/>
              <w:tr2bl w:val="nil"/>
            </w:tcBorders>
            <w:tcMar>
              <w:left w:w="40" w:type="dxa"/>
              <w:right w:w="40" w:type="dxa"/>
            </w:tcMar>
            <w:vAlign w:val="bottom"/>
          </w:tcPr>
          <w:p w14:paraId="71F3EDF4"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Other Noncurrent Assets</w:t>
            </w:r>
          </w:p>
        </w:tc>
        <w:tc>
          <w:tcPr>
            <w:tcW w:w="180" w:type="dxa"/>
            <w:tcBorders>
              <w:top w:val="nil"/>
              <w:left w:val="nil"/>
              <w:bottom w:val="nil"/>
              <w:right w:val="nil"/>
              <w:tl2br w:val="nil"/>
              <w:tr2bl w:val="nil"/>
            </w:tcBorders>
            <w:tcMar>
              <w:left w:w="0" w:type="dxa"/>
              <w:right w:w="0" w:type="dxa"/>
            </w:tcMar>
            <w:vAlign w:val="bottom"/>
          </w:tcPr>
          <w:p w14:paraId="71F3EDF5" w14:textId="77777777" w:rsidR="00510CAA" w:rsidRDefault="00510CAA">
            <w:pPr>
              <w:keepNext/>
              <w:jc w:val="center"/>
              <w:rPr>
                <w:rFonts w:ascii="Arial" w:eastAsia="Arial" w:hAnsi="Arial" w:cs="Arial"/>
                <w:color w:val="000000"/>
                <w:sz w:val="16"/>
              </w:rPr>
            </w:pPr>
          </w:p>
        </w:tc>
        <w:tc>
          <w:tcPr>
            <w:tcW w:w="1965" w:type="dxa"/>
            <w:tcBorders>
              <w:top w:val="dotted" w:sz="8" w:space="0" w:color="000000"/>
              <w:left w:val="nil"/>
              <w:bottom w:val="nil"/>
              <w:right w:val="nil"/>
              <w:tl2br w:val="nil"/>
              <w:tr2bl w:val="nil"/>
            </w:tcBorders>
            <w:tcMar>
              <w:left w:w="0" w:type="dxa"/>
              <w:right w:w="0" w:type="dxa"/>
            </w:tcMar>
            <w:vAlign w:val="bottom"/>
          </w:tcPr>
          <w:p w14:paraId="71F3EDF6" w14:textId="77777777" w:rsidR="00510CAA" w:rsidRDefault="00510CAA">
            <w:pPr>
              <w:keepNext/>
              <w:jc w:val="right"/>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DF7" w14:textId="77777777" w:rsidR="00510CAA" w:rsidRDefault="00510CAA">
            <w:pPr>
              <w:keepNext/>
              <w:jc w:val="center"/>
              <w:rPr>
                <w:rFonts w:ascii="Arial" w:eastAsia="Arial" w:hAnsi="Arial" w:cs="Arial"/>
                <w:color w:val="000000"/>
                <w:sz w:val="16"/>
              </w:rPr>
            </w:pPr>
          </w:p>
        </w:tc>
        <w:tc>
          <w:tcPr>
            <w:tcW w:w="1965" w:type="dxa"/>
            <w:tcBorders>
              <w:top w:val="dotted" w:sz="8" w:space="0" w:color="000000"/>
              <w:left w:val="nil"/>
              <w:bottom w:val="nil"/>
              <w:right w:val="nil"/>
              <w:tl2br w:val="nil"/>
              <w:tr2bl w:val="nil"/>
            </w:tcBorders>
            <w:tcMar>
              <w:left w:w="0" w:type="dxa"/>
              <w:right w:w="0" w:type="dxa"/>
            </w:tcMar>
            <w:vAlign w:val="bottom"/>
          </w:tcPr>
          <w:p w14:paraId="71F3EDF8" w14:textId="77777777" w:rsidR="00510CAA" w:rsidRDefault="00510CAA">
            <w:pPr>
              <w:keepNext/>
              <w:jc w:val="right"/>
              <w:rPr>
                <w:rFonts w:ascii="Arial" w:eastAsia="Arial" w:hAnsi="Arial" w:cs="Arial"/>
                <w:color w:val="000000"/>
                <w:sz w:val="16"/>
              </w:rPr>
            </w:pPr>
          </w:p>
        </w:tc>
      </w:tr>
      <w:tr w:rsidR="00510CAA" w14:paraId="71F3EDF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DFA"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Restricted cash, non-current (Note 8)</w:t>
            </w:r>
          </w:p>
        </w:tc>
        <w:tc>
          <w:tcPr>
            <w:tcW w:w="180" w:type="dxa"/>
            <w:tcBorders>
              <w:top w:val="nil"/>
              <w:left w:val="nil"/>
              <w:bottom w:val="nil"/>
              <w:right w:val="nil"/>
              <w:tl2br w:val="nil"/>
              <w:tr2bl w:val="nil"/>
            </w:tcBorders>
            <w:tcMar>
              <w:left w:w="0" w:type="dxa"/>
              <w:right w:w="0" w:type="dxa"/>
            </w:tcMar>
            <w:vAlign w:val="bottom"/>
          </w:tcPr>
          <w:p w14:paraId="71F3EDFB"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F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18,000</w:t>
            </w:r>
          </w:p>
        </w:tc>
        <w:tc>
          <w:tcPr>
            <w:tcW w:w="180" w:type="dxa"/>
            <w:tcBorders>
              <w:top w:val="nil"/>
              <w:left w:val="nil"/>
              <w:bottom w:val="nil"/>
              <w:right w:val="nil"/>
              <w:tl2br w:val="nil"/>
              <w:tr2bl w:val="nil"/>
            </w:tcBorders>
            <w:tcMar>
              <w:left w:w="0" w:type="dxa"/>
              <w:right w:w="0" w:type="dxa"/>
            </w:tcMar>
            <w:vAlign w:val="bottom"/>
          </w:tcPr>
          <w:p w14:paraId="71F3EDF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DF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19,000</w:t>
            </w:r>
          </w:p>
        </w:tc>
      </w:tr>
      <w:tr w:rsidR="00510CAA" w14:paraId="71F3EE0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00"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Due from related parties, non-current (Note 4)</w:t>
            </w:r>
          </w:p>
        </w:tc>
        <w:tc>
          <w:tcPr>
            <w:tcW w:w="180" w:type="dxa"/>
            <w:tcBorders>
              <w:top w:val="nil"/>
              <w:left w:val="nil"/>
              <w:bottom w:val="nil"/>
              <w:right w:val="nil"/>
              <w:tl2br w:val="nil"/>
              <w:tr2bl w:val="nil"/>
            </w:tcBorders>
            <w:tcMar>
              <w:left w:w="0" w:type="dxa"/>
              <w:right w:w="0" w:type="dxa"/>
            </w:tcMar>
            <w:vAlign w:val="bottom"/>
          </w:tcPr>
          <w:p w14:paraId="71F3EE01"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0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tcMar>
              <w:left w:w="0" w:type="dxa"/>
              <w:right w:w="0" w:type="dxa"/>
            </w:tcMar>
            <w:vAlign w:val="bottom"/>
          </w:tcPr>
          <w:p w14:paraId="71F3EE0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0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155</w:t>
            </w:r>
          </w:p>
        </w:tc>
      </w:tr>
      <w:tr w:rsidR="00510CAA" w14:paraId="71F3EE0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06"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Equity method investments (Note 4)</w:t>
            </w:r>
          </w:p>
        </w:tc>
        <w:tc>
          <w:tcPr>
            <w:tcW w:w="180" w:type="dxa"/>
            <w:tcBorders>
              <w:top w:val="nil"/>
              <w:left w:val="nil"/>
              <w:bottom w:val="nil"/>
              <w:right w:val="nil"/>
              <w:tl2br w:val="nil"/>
              <w:tr2bl w:val="nil"/>
            </w:tcBorders>
            <w:tcMar>
              <w:left w:w="0" w:type="dxa"/>
              <w:right w:w="0" w:type="dxa"/>
            </w:tcMar>
            <w:vAlign w:val="bottom"/>
          </w:tcPr>
          <w:p w14:paraId="71F3EE07"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0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53,875</w:t>
            </w:r>
          </w:p>
        </w:tc>
        <w:tc>
          <w:tcPr>
            <w:tcW w:w="180" w:type="dxa"/>
            <w:tcBorders>
              <w:top w:val="nil"/>
              <w:left w:val="nil"/>
              <w:bottom w:val="nil"/>
              <w:right w:val="nil"/>
              <w:tl2br w:val="nil"/>
              <w:tr2bl w:val="nil"/>
            </w:tcBorders>
            <w:tcMar>
              <w:left w:w="0" w:type="dxa"/>
              <w:right w:w="0" w:type="dxa"/>
            </w:tcMar>
            <w:vAlign w:val="bottom"/>
          </w:tcPr>
          <w:p w14:paraId="71F3EE0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0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42,826</w:t>
            </w:r>
          </w:p>
        </w:tc>
      </w:tr>
      <w:tr w:rsidR="00510CAA" w14:paraId="71F3EE1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0C"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Investments in a related party (Notes 2 (y) and 5(a))</w:t>
            </w:r>
          </w:p>
        </w:tc>
        <w:tc>
          <w:tcPr>
            <w:tcW w:w="180" w:type="dxa"/>
            <w:tcBorders>
              <w:top w:val="nil"/>
              <w:left w:val="nil"/>
              <w:bottom w:val="nil"/>
              <w:right w:val="nil"/>
              <w:tl2br w:val="nil"/>
              <w:tr2bl w:val="nil"/>
            </w:tcBorders>
            <w:tcMar>
              <w:left w:w="0" w:type="dxa"/>
              <w:right w:w="0" w:type="dxa"/>
            </w:tcMar>
            <w:vAlign w:val="bottom"/>
          </w:tcPr>
          <w:p w14:paraId="71F3EE0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0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tcMar>
              <w:left w:w="0" w:type="dxa"/>
              <w:right w:w="0" w:type="dxa"/>
            </w:tcMar>
            <w:vAlign w:val="bottom"/>
          </w:tcPr>
          <w:p w14:paraId="71F3EE0F"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1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4,415</w:t>
            </w:r>
          </w:p>
        </w:tc>
      </w:tr>
      <w:tr w:rsidR="00510CAA" w14:paraId="71F3EE1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12"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Other non-current assets</w:t>
            </w:r>
          </w:p>
        </w:tc>
        <w:tc>
          <w:tcPr>
            <w:tcW w:w="180" w:type="dxa"/>
            <w:tcBorders>
              <w:top w:val="nil"/>
              <w:left w:val="nil"/>
              <w:bottom w:val="nil"/>
              <w:right w:val="nil"/>
              <w:tl2br w:val="nil"/>
              <w:tr2bl w:val="nil"/>
            </w:tcBorders>
            <w:tcMar>
              <w:left w:w="0" w:type="dxa"/>
              <w:right w:w="0" w:type="dxa"/>
            </w:tcMar>
            <w:vAlign w:val="bottom"/>
          </w:tcPr>
          <w:p w14:paraId="71F3EE1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1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31</w:t>
            </w:r>
          </w:p>
        </w:tc>
        <w:tc>
          <w:tcPr>
            <w:tcW w:w="180" w:type="dxa"/>
            <w:tcBorders>
              <w:top w:val="nil"/>
              <w:left w:val="nil"/>
              <w:bottom w:val="nil"/>
              <w:right w:val="nil"/>
              <w:tl2br w:val="nil"/>
              <w:tr2bl w:val="nil"/>
            </w:tcBorders>
            <w:tcMar>
              <w:left w:w="0" w:type="dxa"/>
              <w:right w:w="0" w:type="dxa"/>
            </w:tcMar>
            <w:vAlign w:val="bottom"/>
          </w:tcPr>
          <w:p w14:paraId="71F3EE15"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1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31</w:t>
            </w:r>
          </w:p>
        </w:tc>
      </w:tr>
      <w:tr w:rsidR="00510CAA" w14:paraId="71F3EE1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18"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Deferred costs</w:t>
            </w:r>
          </w:p>
        </w:tc>
        <w:tc>
          <w:tcPr>
            <w:tcW w:w="180" w:type="dxa"/>
            <w:tcBorders>
              <w:top w:val="nil"/>
              <w:left w:val="nil"/>
              <w:bottom w:val="nil"/>
              <w:right w:val="nil"/>
              <w:tl2br w:val="nil"/>
              <w:tr2bl w:val="nil"/>
            </w:tcBorders>
            <w:tcMar>
              <w:left w:w="0" w:type="dxa"/>
              <w:right w:w="0" w:type="dxa"/>
            </w:tcMar>
            <w:vAlign w:val="bottom"/>
          </w:tcPr>
          <w:p w14:paraId="71F3EE1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1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26,748</w:t>
            </w:r>
          </w:p>
        </w:tc>
        <w:tc>
          <w:tcPr>
            <w:tcW w:w="180" w:type="dxa"/>
            <w:tcBorders>
              <w:top w:val="nil"/>
              <w:left w:val="nil"/>
              <w:bottom w:val="nil"/>
              <w:right w:val="nil"/>
              <w:tl2br w:val="nil"/>
              <w:tr2bl w:val="nil"/>
            </w:tcBorders>
            <w:tcMar>
              <w:left w:w="0" w:type="dxa"/>
              <w:right w:w="0" w:type="dxa"/>
            </w:tcMar>
            <w:vAlign w:val="bottom"/>
          </w:tcPr>
          <w:p w14:paraId="71F3EE1B"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1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17,838</w:t>
            </w:r>
          </w:p>
        </w:tc>
      </w:tr>
      <w:tr w:rsidR="00510CAA" w14:paraId="71F3EE2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E1E"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1F"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Total Non-current Assets</w:t>
            </w:r>
          </w:p>
        </w:tc>
        <w:tc>
          <w:tcPr>
            <w:tcW w:w="180" w:type="dxa"/>
            <w:tcBorders>
              <w:top w:val="nil"/>
              <w:left w:val="nil"/>
              <w:bottom w:val="nil"/>
              <w:right w:val="nil"/>
              <w:tl2br w:val="nil"/>
              <w:tr2bl w:val="nil"/>
            </w:tcBorders>
            <w:tcMar>
              <w:left w:w="0" w:type="dxa"/>
              <w:right w:w="0" w:type="dxa"/>
            </w:tcMar>
            <w:vAlign w:val="bottom"/>
          </w:tcPr>
          <w:p w14:paraId="71F3EE20"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2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925,317</w:t>
            </w:r>
          </w:p>
        </w:tc>
        <w:tc>
          <w:tcPr>
            <w:tcW w:w="180" w:type="dxa"/>
            <w:tcBorders>
              <w:top w:val="nil"/>
              <w:left w:val="nil"/>
              <w:bottom w:val="nil"/>
              <w:right w:val="nil"/>
              <w:tl2br w:val="nil"/>
              <w:tr2bl w:val="nil"/>
            </w:tcBorders>
            <w:tcMar>
              <w:left w:w="0" w:type="dxa"/>
              <w:right w:w="0" w:type="dxa"/>
            </w:tcMar>
            <w:vAlign w:val="bottom"/>
          </w:tcPr>
          <w:p w14:paraId="71F3EE22" w14:textId="77777777" w:rsidR="00510CAA" w:rsidRDefault="00510CAA">
            <w:pPr>
              <w:keepNext/>
              <w:jc w:val="right"/>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2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964,410</w:t>
            </w:r>
          </w:p>
        </w:tc>
      </w:tr>
      <w:tr w:rsidR="00510CAA" w14:paraId="71F3EE2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E25"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26" w14:textId="77777777" w:rsidR="00510CAA" w:rsidRDefault="003A4815">
            <w:pPr>
              <w:keepNext/>
              <w:rPr>
                <w:rFonts w:ascii="Arial" w:eastAsia="Arial" w:hAnsi="Arial" w:cs="Arial"/>
                <w:b/>
                <w:color w:val="000000"/>
                <w:sz w:val="16"/>
              </w:rPr>
            </w:pPr>
            <w:r>
              <w:rPr>
                <w:rFonts w:ascii="Arial" w:eastAsia="Arial" w:hAnsi="Arial" w:cs="Arial"/>
                <w:b/>
                <w:color w:val="000000"/>
                <w:sz w:val="16"/>
              </w:rPr>
              <w:t>Total Assets</w:t>
            </w:r>
          </w:p>
        </w:tc>
        <w:tc>
          <w:tcPr>
            <w:tcW w:w="180" w:type="dxa"/>
            <w:tcBorders>
              <w:top w:val="nil"/>
              <w:left w:val="nil"/>
              <w:bottom w:val="nil"/>
              <w:right w:val="nil"/>
              <w:tl2br w:val="nil"/>
              <w:tr2bl w:val="nil"/>
            </w:tcBorders>
            <w:tcMar>
              <w:left w:w="40" w:type="dxa"/>
              <w:right w:w="40" w:type="dxa"/>
            </w:tcMar>
            <w:vAlign w:val="bottom"/>
          </w:tcPr>
          <w:p w14:paraId="71F3EE27"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dotted" w:sz="8" w:space="0" w:color="000000"/>
              <w:left w:val="nil"/>
              <w:bottom w:val="double" w:sz="6" w:space="0" w:color="000000"/>
              <w:right w:val="nil"/>
              <w:tl2br w:val="nil"/>
              <w:tr2bl w:val="nil"/>
            </w:tcBorders>
            <w:tcMar>
              <w:left w:w="40" w:type="dxa"/>
              <w:right w:w="40" w:type="dxa"/>
            </w:tcMar>
            <w:vAlign w:val="bottom"/>
          </w:tcPr>
          <w:p w14:paraId="71F3EE2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1,170,192</w:t>
            </w:r>
          </w:p>
        </w:tc>
        <w:tc>
          <w:tcPr>
            <w:tcW w:w="180" w:type="dxa"/>
            <w:tcBorders>
              <w:top w:val="nil"/>
              <w:left w:val="nil"/>
              <w:bottom w:val="nil"/>
              <w:right w:val="nil"/>
              <w:tl2br w:val="nil"/>
              <w:tr2bl w:val="nil"/>
            </w:tcBorders>
            <w:tcMar>
              <w:left w:w="40" w:type="dxa"/>
              <w:right w:w="40" w:type="dxa"/>
            </w:tcMar>
            <w:vAlign w:val="bottom"/>
          </w:tcPr>
          <w:p w14:paraId="71F3EE29"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dotted" w:sz="8" w:space="0" w:color="000000"/>
              <w:left w:val="nil"/>
              <w:bottom w:val="double" w:sz="6" w:space="0" w:color="000000"/>
              <w:right w:val="nil"/>
              <w:tl2br w:val="nil"/>
              <w:tr2bl w:val="nil"/>
            </w:tcBorders>
            <w:tcMar>
              <w:left w:w="40" w:type="dxa"/>
              <w:right w:w="40" w:type="dxa"/>
            </w:tcMar>
            <w:vAlign w:val="bottom"/>
          </w:tcPr>
          <w:p w14:paraId="71F3EE2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1,171,018</w:t>
            </w:r>
          </w:p>
        </w:tc>
      </w:tr>
      <w:tr w:rsidR="00510CAA" w14:paraId="71F3EE3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05"/>
        </w:trPr>
        <w:tc>
          <w:tcPr>
            <w:tcW w:w="285" w:type="dxa"/>
            <w:tcBorders>
              <w:top w:val="nil"/>
              <w:left w:val="nil"/>
              <w:bottom w:val="nil"/>
              <w:right w:val="nil"/>
              <w:tl2br w:val="nil"/>
              <w:tr2bl w:val="nil"/>
            </w:tcBorders>
            <w:tcMar>
              <w:left w:w="0" w:type="dxa"/>
              <w:right w:w="0" w:type="dxa"/>
            </w:tcMar>
            <w:vAlign w:val="bottom"/>
          </w:tcPr>
          <w:p w14:paraId="71F3EE2C"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0" w:type="dxa"/>
              <w:right w:w="0" w:type="dxa"/>
            </w:tcMar>
            <w:vAlign w:val="bottom"/>
          </w:tcPr>
          <w:p w14:paraId="71F3EE2D" w14:textId="77777777" w:rsidR="00510CAA" w:rsidRDefault="00510CAA">
            <w:pPr>
              <w:keepNext/>
              <w:jc w:val="both"/>
              <w:rPr>
                <w:rFonts w:ascii="Arial" w:eastAsia="Arial" w:hAnsi="Arial" w:cs="Arial"/>
                <w:b/>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2E" w14:textId="77777777" w:rsidR="00510CAA" w:rsidRDefault="00510CAA">
            <w:pPr>
              <w:keepNext/>
              <w:jc w:val="center"/>
              <w:rPr>
                <w:rFonts w:ascii="Arial" w:eastAsia="Arial" w:hAnsi="Arial" w:cs="Arial"/>
                <w:color w:val="000000"/>
                <w:sz w:val="16"/>
              </w:rPr>
            </w:pPr>
          </w:p>
        </w:tc>
        <w:tc>
          <w:tcPr>
            <w:tcW w:w="1965" w:type="dxa"/>
            <w:tcBorders>
              <w:top w:val="double" w:sz="6" w:space="0" w:color="000000"/>
              <w:left w:val="nil"/>
              <w:bottom w:val="nil"/>
              <w:right w:val="nil"/>
              <w:tl2br w:val="nil"/>
              <w:tr2bl w:val="nil"/>
            </w:tcBorders>
            <w:tcMar>
              <w:left w:w="0" w:type="dxa"/>
              <w:right w:w="0" w:type="dxa"/>
            </w:tcMar>
            <w:vAlign w:val="bottom"/>
          </w:tcPr>
          <w:p w14:paraId="71F3EE2F"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30" w14:textId="77777777" w:rsidR="00510CAA" w:rsidRDefault="00510CAA">
            <w:pPr>
              <w:keepNext/>
              <w:jc w:val="center"/>
              <w:rPr>
                <w:rFonts w:ascii="Arial" w:eastAsia="Arial" w:hAnsi="Arial" w:cs="Arial"/>
                <w:color w:val="000000"/>
                <w:sz w:val="16"/>
              </w:rPr>
            </w:pPr>
          </w:p>
        </w:tc>
        <w:tc>
          <w:tcPr>
            <w:tcW w:w="1965" w:type="dxa"/>
            <w:tcBorders>
              <w:top w:val="double" w:sz="6" w:space="0" w:color="000000"/>
              <w:left w:val="nil"/>
              <w:bottom w:val="nil"/>
              <w:right w:val="nil"/>
              <w:tl2br w:val="nil"/>
              <w:tr2bl w:val="nil"/>
            </w:tcBorders>
            <w:tcMar>
              <w:left w:w="0" w:type="dxa"/>
              <w:right w:w="0" w:type="dxa"/>
            </w:tcMar>
            <w:vAlign w:val="bottom"/>
          </w:tcPr>
          <w:p w14:paraId="71F3EE31" w14:textId="77777777" w:rsidR="00510CAA" w:rsidRDefault="00510CAA">
            <w:pPr>
              <w:keepNext/>
              <w:jc w:val="both"/>
              <w:rPr>
                <w:rFonts w:ascii="Arial" w:eastAsia="Arial" w:hAnsi="Arial" w:cs="Arial"/>
                <w:color w:val="000000"/>
                <w:sz w:val="16"/>
              </w:rPr>
            </w:pPr>
          </w:p>
        </w:tc>
      </w:tr>
      <w:tr w:rsidR="00510CAA" w14:paraId="71F3EE3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6450" w:type="dxa"/>
            <w:gridSpan w:val="2"/>
            <w:tcBorders>
              <w:top w:val="nil"/>
              <w:left w:val="nil"/>
              <w:bottom w:val="nil"/>
              <w:right w:val="nil"/>
              <w:tl2br w:val="nil"/>
              <w:tr2bl w:val="nil"/>
            </w:tcBorders>
            <w:tcMar>
              <w:left w:w="40" w:type="dxa"/>
              <w:right w:w="40" w:type="dxa"/>
            </w:tcMar>
            <w:vAlign w:val="bottom"/>
          </w:tcPr>
          <w:p w14:paraId="71F3EE33" w14:textId="77777777" w:rsidR="00510CAA" w:rsidRDefault="003A4815">
            <w:pPr>
              <w:keepNext/>
              <w:jc w:val="both"/>
              <w:rPr>
                <w:rFonts w:ascii="Arial" w:eastAsia="Arial" w:hAnsi="Arial" w:cs="Arial"/>
                <w:b/>
                <w:color w:val="000000"/>
                <w:sz w:val="16"/>
                <w:u w:val="single"/>
              </w:rPr>
            </w:pPr>
            <w:r>
              <w:rPr>
                <w:rFonts w:ascii="Arial" w:eastAsia="Arial" w:hAnsi="Arial" w:cs="Arial"/>
                <w:b/>
                <w:color w:val="000000"/>
                <w:sz w:val="16"/>
                <w:u w:val="single"/>
              </w:rPr>
              <w:t>LIABILITIES AND STOCKHOLDERS' EQUITY</w:t>
            </w:r>
          </w:p>
        </w:tc>
        <w:tc>
          <w:tcPr>
            <w:tcW w:w="180" w:type="dxa"/>
            <w:tcBorders>
              <w:top w:val="nil"/>
              <w:left w:val="nil"/>
              <w:bottom w:val="nil"/>
              <w:right w:val="nil"/>
              <w:tl2br w:val="nil"/>
              <w:tr2bl w:val="nil"/>
            </w:tcBorders>
            <w:tcMar>
              <w:left w:w="0" w:type="dxa"/>
              <w:right w:w="0" w:type="dxa"/>
            </w:tcMar>
            <w:vAlign w:val="bottom"/>
          </w:tcPr>
          <w:p w14:paraId="71F3EE34"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35"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36" w14:textId="77777777" w:rsidR="00510CAA" w:rsidRDefault="00510CAA">
            <w:pPr>
              <w:keepNext/>
              <w:jc w:val="center"/>
              <w:rPr>
                <w:rFonts w:ascii="Arial" w:eastAsia="Arial" w:hAnsi="Arial" w:cs="Arial"/>
                <w:b/>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37" w14:textId="77777777" w:rsidR="00510CAA" w:rsidRDefault="00510CAA">
            <w:pPr>
              <w:keepNext/>
              <w:jc w:val="both"/>
              <w:rPr>
                <w:rFonts w:ascii="Arial" w:eastAsia="Arial" w:hAnsi="Arial" w:cs="Arial"/>
                <w:color w:val="000000"/>
                <w:sz w:val="16"/>
              </w:rPr>
            </w:pPr>
          </w:p>
        </w:tc>
      </w:tr>
      <w:tr w:rsidR="00510CAA" w14:paraId="71F3EE3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6450" w:type="dxa"/>
            <w:gridSpan w:val="2"/>
            <w:tcBorders>
              <w:top w:val="nil"/>
              <w:left w:val="nil"/>
              <w:bottom w:val="nil"/>
              <w:right w:val="nil"/>
              <w:tl2br w:val="nil"/>
              <w:tr2bl w:val="nil"/>
            </w:tcBorders>
            <w:tcMar>
              <w:left w:w="40" w:type="dxa"/>
              <w:right w:w="40" w:type="dxa"/>
            </w:tcMar>
            <w:vAlign w:val="bottom"/>
          </w:tcPr>
          <w:p w14:paraId="71F3EE39"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Current Liabilities</w:t>
            </w:r>
          </w:p>
        </w:tc>
        <w:tc>
          <w:tcPr>
            <w:tcW w:w="180" w:type="dxa"/>
            <w:tcBorders>
              <w:top w:val="nil"/>
              <w:left w:val="nil"/>
              <w:bottom w:val="nil"/>
              <w:right w:val="nil"/>
              <w:tl2br w:val="nil"/>
              <w:tr2bl w:val="nil"/>
            </w:tcBorders>
            <w:tcMar>
              <w:left w:w="0" w:type="dxa"/>
              <w:right w:w="0" w:type="dxa"/>
            </w:tcMar>
            <w:vAlign w:val="bottom"/>
          </w:tcPr>
          <w:p w14:paraId="71F3EE3A"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3B" w14:textId="77777777" w:rsidR="00510CAA" w:rsidRDefault="00510CAA">
            <w:pPr>
              <w:keepNext/>
              <w:jc w:val="both"/>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3C"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3D" w14:textId="77777777" w:rsidR="00510CAA" w:rsidRDefault="00510CAA">
            <w:pPr>
              <w:keepNext/>
              <w:jc w:val="both"/>
              <w:rPr>
                <w:rFonts w:ascii="Arial" w:eastAsia="Arial" w:hAnsi="Arial" w:cs="Arial"/>
                <w:color w:val="000000"/>
                <w:sz w:val="16"/>
              </w:rPr>
            </w:pPr>
          </w:p>
        </w:tc>
      </w:tr>
      <w:tr w:rsidR="00510CAA" w14:paraId="71F3EE4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3F"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Long-term debt, current, net of deferred financing costs (Note 8)</w:t>
            </w:r>
          </w:p>
        </w:tc>
        <w:tc>
          <w:tcPr>
            <w:tcW w:w="180" w:type="dxa"/>
            <w:tcBorders>
              <w:top w:val="nil"/>
              <w:left w:val="nil"/>
              <w:bottom w:val="nil"/>
              <w:right w:val="nil"/>
              <w:tl2br w:val="nil"/>
              <w:tr2bl w:val="nil"/>
            </w:tcBorders>
            <w:tcMar>
              <w:left w:w="40" w:type="dxa"/>
              <w:right w:w="40" w:type="dxa"/>
            </w:tcMar>
            <w:vAlign w:val="bottom"/>
          </w:tcPr>
          <w:p w14:paraId="71F3EE40"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nil"/>
              <w:right w:val="nil"/>
              <w:tl2br w:val="nil"/>
              <w:tr2bl w:val="nil"/>
            </w:tcBorders>
            <w:tcMar>
              <w:left w:w="40" w:type="dxa"/>
              <w:right w:w="40" w:type="dxa"/>
            </w:tcMar>
            <w:vAlign w:val="bottom"/>
          </w:tcPr>
          <w:p w14:paraId="71F3EE4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50,281</w:t>
            </w:r>
          </w:p>
        </w:tc>
        <w:tc>
          <w:tcPr>
            <w:tcW w:w="180" w:type="dxa"/>
            <w:tcBorders>
              <w:top w:val="nil"/>
              <w:left w:val="nil"/>
              <w:bottom w:val="nil"/>
              <w:right w:val="nil"/>
              <w:tl2br w:val="nil"/>
              <w:tr2bl w:val="nil"/>
            </w:tcBorders>
            <w:tcMar>
              <w:left w:w="40" w:type="dxa"/>
              <w:right w:w="40" w:type="dxa"/>
            </w:tcMar>
            <w:vAlign w:val="bottom"/>
          </w:tcPr>
          <w:p w14:paraId="71F3EE42"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nil"/>
              <w:right w:val="nil"/>
              <w:tl2br w:val="nil"/>
              <w:tr2bl w:val="nil"/>
            </w:tcBorders>
            <w:tcMar>
              <w:left w:w="40" w:type="dxa"/>
              <w:right w:w="40" w:type="dxa"/>
            </w:tcMar>
            <w:vAlign w:val="bottom"/>
          </w:tcPr>
          <w:p w14:paraId="71F3EE4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45,230</w:t>
            </w:r>
          </w:p>
        </w:tc>
      </w:tr>
      <w:tr w:rsidR="00510CAA" w14:paraId="71F3EE4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45"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Finance liabilities, current (Note 9)</w:t>
            </w:r>
          </w:p>
        </w:tc>
        <w:tc>
          <w:tcPr>
            <w:tcW w:w="180" w:type="dxa"/>
            <w:tcBorders>
              <w:top w:val="nil"/>
              <w:left w:val="nil"/>
              <w:bottom w:val="nil"/>
              <w:right w:val="nil"/>
              <w:tl2br w:val="nil"/>
              <w:tr2bl w:val="nil"/>
            </w:tcBorders>
            <w:tcMar>
              <w:left w:w="0" w:type="dxa"/>
              <w:right w:w="0" w:type="dxa"/>
            </w:tcMar>
            <w:vAlign w:val="bottom"/>
          </w:tcPr>
          <w:p w14:paraId="71F3EE46"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4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10,041</w:t>
            </w:r>
          </w:p>
        </w:tc>
        <w:tc>
          <w:tcPr>
            <w:tcW w:w="180" w:type="dxa"/>
            <w:tcBorders>
              <w:top w:val="nil"/>
              <w:left w:val="nil"/>
              <w:bottom w:val="nil"/>
              <w:right w:val="nil"/>
              <w:tl2br w:val="nil"/>
              <w:tr2bl w:val="nil"/>
            </w:tcBorders>
            <w:tcMar>
              <w:left w:w="0" w:type="dxa"/>
              <w:right w:w="0" w:type="dxa"/>
            </w:tcMar>
            <w:vAlign w:val="bottom"/>
          </w:tcPr>
          <w:p w14:paraId="71F3EE48"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4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9,608</w:t>
            </w:r>
          </w:p>
        </w:tc>
      </w:tr>
      <w:tr w:rsidR="00510CAA" w14:paraId="71F3EE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4B"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Accounts payable</w:t>
            </w:r>
          </w:p>
        </w:tc>
        <w:tc>
          <w:tcPr>
            <w:tcW w:w="180" w:type="dxa"/>
            <w:tcBorders>
              <w:top w:val="nil"/>
              <w:left w:val="nil"/>
              <w:bottom w:val="nil"/>
              <w:right w:val="nil"/>
              <w:tl2br w:val="nil"/>
              <w:tr2bl w:val="nil"/>
            </w:tcBorders>
            <w:tcMar>
              <w:left w:w="0" w:type="dxa"/>
              <w:right w:w="0" w:type="dxa"/>
            </w:tcMar>
            <w:vAlign w:val="bottom"/>
          </w:tcPr>
          <w:p w14:paraId="71F3EE4C"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4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10,611</w:t>
            </w:r>
          </w:p>
        </w:tc>
        <w:tc>
          <w:tcPr>
            <w:tcW w:w="180" w:type="dxa"/>
            <w:tcBorders>
              <w:top w:val="nil"/>
              <w:left w:val="nil"/>
              <w:bottom w:val="nil"/>
              <w:right w:val="nil"/>
              <w:tl2br w:val="nil"/>
              <w:tr2bl w:val="nil"/>
            </w:tcBorders>
            <w:tcMar>
              <w:left w:w="0" w:type="dxa"/>
              <w:right w:w="0" w:type="dxa"/>
            </w:tcMar>
            <w:vAlign w:val="bottom"/>
          </w:tcPr>
          <w:p w14:paraId="71F3EE4E"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4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8,990</w:t>
            </w:r>
          </w:p>
        </w:tc>
      </w:tr>
      <w:tr w:rsidR="00510CAA" w14:paraId="71F3EE5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51"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Due to related parties (Note 3)</w:t>
            </w:r>
          </w:p>
        </w:tc>
        <w:tc>
          <w:tcPr>
            <w:tcW w:w="180" w:type="dxa"/>
            <w:tcBorders>
              <w:top w:val="nil"/>
              <w:left w:val="nil"/>
              <w:bottom w:val="nil"/>
              <w:right w:val="nil"/>
              <w:tl2br w:val="nil"/>
              <w:tr2bl w:val="nil"/>
            </w:tcBorders>
            <w:tcMar>
              <w:left w:w="0" w:type="dxa"/>
              <w:right w:w="0" w:type="dxa"/>
            </w:tcMar>
            <w:vAlign w:val="bottom"/>
          </w:tcPr>
          <w:p w14:paraId="71F3EE52"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5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89</w:t>
            </w:r>
          </w:p>
        </w:tc>
        <w:tc>
          <w:tcPr>
            <w:tcW w:w="180" w:type="dxa"/>
            <w:tcBorders>
              <w:top w:val="nil"/>
              <w:left w:val="nil"/>
              <w:bottom w:val="nil"/>
              <w:right w:val="nil"/>
              <w:tl2br w:val="nil"/>
              <w:tr2bl w:val="nil"/>
            </w:tcBorders>
            <w:tcMar>
              <w:left w:w="0" w:type="dxa"/>
              <w:right w:w="0" w:type="dxa"/>
            </w:tcMar>
            <w:vAlign w:val="bottom"/>
          </w:tcPr>
          <w:p w14:paraId="71F3EE54"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5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190</w:t>
            </w:r>
          </w:p>
        </w:tc>
      </w:tr>
      <w:tr w:rsidR="00510CAA" w14:paraId="71F3EE5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57"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Accrued liabilities</w:t>
            </w:r>
          </w:p>
        </w:tc>
        <w:tc>
          <w:tcPr>
            <w:tcW w:w="180" w:type="dxa"/>
            <w:tcBorders>
              <w:top w:val="nil"/>
              <w:left w:val="nil"/>
              <w:bottom w:val="nil"/>
              <w:right w:val="nil"/>
              <w:tl2br w:val="nil"/>
              <w:tr2bl w:val="nil"/>
            </w:tcBorders>
            <w:tcMar>
              <w:left w:w="0" w:type="dxa"/>
              <w:right w:w="0" w:type="dxa"/>
            </w:tcMar>
            <w:vAlign w:val="bottom"/>
          </w:tcPr>
          <w:p w14:paraId="71F3EE58"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5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13,444</w:t>
            </w:r>
          </w:p>
        </w:tc>
        <w:tc>
          <w:tcPr>
            <w:tcW w:w="180" w:type="dxa"/>
            <w:tcBorders>
              <w:top w:val="nil"/>
              <w:left w:val="nil"/>
              <w:bottom w:val="nil"/>
              <w:right w:val="nil"/>
              <w:tl2br w:val="nil"/>
              <w:tr2bl w:val="nil"/>
            </w:tcBorders>
            <w:tcMar>
              <w:left w:w="0" w:type="dxa"/>
              <w:right w:w="0" w:type="dxa"/>
            </w:tcMar>
            <w:vAlign w:val="bottom"/>
          </w:tcPr>
          <w:p w14:paraId="71F3EE5A"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5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11,896</w:t>
            </w:r>
          </w:p>
        </w:tc>
      </w:tr>
      <w:tr w:rsidR="00510CAA" w14:paraId="71F3EE6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5D"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Deferred revenue</w:t>
            </w:r>
          </w:p>
        </w:tc>
        <w:tc>
          <w:tcPr>
            <w:tcW w:w="180" w:type="dxa"/>
            <w:tcBorders>
              <w:top w:val="nil"/>
              <w:left w:val="nil"/>
              <w:bottom w:val="nil"/>
              <w:right w:val="nil"/>
              <w:tl2br w:val="nil"/>
              <w:tr2bl w:val="nil"/>
            </w:tcBorders>
            <w:tcMar>
              <w:left w:w="0" w:type="dxa"/>
              <w:right w:w="0" w:type="dxa"/>
            </w:tcMar>
            <w:vAlign w:val="bottom"/>
          </w:tcPr>
          <w:p w14:paraId="71F3EE5E"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5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4,970</w:t>
            </w:r>
          </w:p>
        </w:tc>
        <w:tc>
          <w:tcPr>
            <w:tcW w:w="180" w:type="dxa"/>
            <w:tcBorders>
              <w:top w:val="nil"/>
              <w:left w:val="nil"/>
              <w:bottom w:val="nil"/>
              <w:right w:val="nil"/>
              <w:tl2br w:val="nil"/>
              <w:tr2bl w:val="nil"/>
            </w:tcBorders>
            <w:tcMar>
              <w:left w:w="0" w:type="dxa"/>
              <w:right w:w="0" w:type="dxa"/>
            </w:tcMar>
            <w:vAlign w:val="bottom"/>
          </w:tcPr>
          <w:p w14:paraId="71F3EE60"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6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4,235</w:t>
            </w:r>
          </w:p>
        </w:tc>
      </w:tr>
      <w:tr w:rsidR="00510CAA" w14:paraId="71F3EE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63"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Fair value of derivatives (Note 2 (bb) 8)</w:t>
            </w:r>
          </w:p>
        </w:tc>
        <w:tc>
          <w:tcPr>
            <w:tcW w:w="180" w:type="dxa"/>
            <w:tcBorders>
              <w:top w:val="nil"/>
              <w:left w:val="nil"/>
              <w:bottom w:val="nil"/>
              <w:right w:val="nil"/>
              <w:tl2br w:val="nil"/>
              <w:tr2bl w:val="nil"/>
            </w:tcBorders>
            <w:tcMar>
              <w:left w:w="0" w:type="dxa"/>
              <w:right w:w="0" w:type="dxa"/>
            </w:tcMar>
            <w:vAlign w:val="bottom"/>
          </w:tcPr>
          <w:p w14:paraId="71F3EE64"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6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144</w:t>
            </w:r>
          </w:p>
        </w:tc>
        <w:tc>
          <w:tcPr>
            <w:tcW w:w="180" w:type="dxa"/>
            <w:tcBorders>
              <w:top w:val="nil"/>
              <w:left w:val="nil"/>
              <w:bottom w:val="nil"/>
              <w:right w:val="nil"/>
              <w:tl2br w:val="nil"/>
              <w:tr2bl w:val="nil"/>
            </w:tcBorders>
            <w:tcMar>
              <w:left w:w="0" w:type="dxa"/>
              <w:right w:w="0" w:type="dxa"/>
            </w:tcMar>
            <w:vAlign w:val="bottom"/>
          </w:tcPr>
          <w:p w14:paraId="71F3EE66"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6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31</w:t>
            </w:r>
          </w:p>
        </w:tc>
      </w:tr>
      <w:tr w:rsidR="00510CAA" w14:paraId="71F3EE6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E69"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6A" w14:textId="77777777" w:rsidR="00510CAA" w:rsidRDefault="003A4815">
            <w:pPr>
              <w:keepNext/>
              <w:rPr>
                <w:rFonts w:ascii="Arial" w:eastAsia="Arial" w:hAnsi="Arial" w:cs="Arial"/>
                <w:b/>
                <w:color w:val="000000"/>
                <w:sz w:val="16"/>
              </w:rPr>
            </w:pPr>
            <w:r>
              <w:rPr>
                <w:rFonts w:ascii="Arial" w:eastAsia="Arial" w:hAnsi="Arial" w:cs="Arial"/>
                <w:b/>
                <w:color w:val="000000"/>
                <w:sz w:val="16"/>
              </w:rPr>
              <w:t>Total Current Liabilities</w:t>
            </w:r>
          </w:p>
        </w:tc>
        <w:tc>
          <w:tcPr>
            <w:tcW w:w="180" w:type="dxa"/>
            <w:tcBorders>
              <w:top w:val="nil"/>
              <w:left w:val="nil"/>
              <w:bottom w:val="nil"/>
              <w:right w:val="nil"/>
              <w:tl2br w:val="nil"/>
              <w:tr2bl w:val="nil"/>
            </w:tcBorders>
            <w:tcMar>
              <w:left w:w="0" w:type="dxa"/>
              <w:right w:w="0" w:type="dxa"/>
            </w:tcMar>
            <w:vAlign w:val="bottom"/>
          </w:tcPr>
          <w:p w14:paraId="71F3EE6B"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6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89,580</w:t>
            </w:r>
          </w:p>
        </w:tc>
        <w:tc>
          <w:tcPr>
            <w:tcW w:w="180" w:type="dxa"/>
            <w:tcBorders>
              <w:top w:val="nil"/>
              <w:left w:val="nil"/>
              <w:bottom w:val="nil"/>
              <w:right w:val="nil"/>
              <w:tl2br w:val="nil"/>
              <w:tr2bl w:val="nil"/>
            </w:tcBorders>
            <w:tcMar>
              <w:left w:w="0" w:type="dxa"/>
              <w:right w:w="0" w:type="dxa"/>
            </w:tcMar>
            <w:vAlign w:val="bottom"/>
          </w:tcPr>
          <w:p w14:paraId="71F3EE6D"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6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80,180</w:t>
            </w:r>
          </w:p>
        </w:tc>
      </w:tr>
      <w:tr w:rsidR="00510CAA" w14:paraId="71F3EE7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6450" w:type="dxa"/>
            <w:gridSpan w:val="2"/>
            <w:tcBorders>
              <w:top w:val="nil"/>
              <w:left w:val="nil"/>
              <w:bottom w:val="nil"/>
              <w:right w:val="nil"/>
              <w:tl2br w:val="nil"/>
              <w:tr2bl w:val="nil"/>
            </w:tcBorders>
            <w:tcMar>
              <w:left w:w="40" w:type="dxa"/>
              <w:right w:w="40" w:type="dxa"/>
            </w:tcMar>
            <w:vAlign w:val="bottom"/>
          </w:tcPr>
          <w:p w14:paraId="71F3EE70"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Non-current Liabilities</w:t>
            </w:r>
          </w:p>
        </w:tc>
        <w:tc>
          <w:tcPr>
            <w:tcW w:w="180" w:type="dxa"/>
            <w:tcBorders>
              <w:top w:val="nil"/>
              <w:left w:val="nil"/>
              <w:bottom w:val="nil"/>
              <w:right w:val="nil"/>
              <w:tl2br w:val="nil"/>
              <w:tr2bl w:val="nil"/>
            </w:tcBorders>
            <w:tcMar>
              <w:left w:w="0" w:type="dxa"/>
              <w:right w:w="0" w:type="dxa"/>
            </w:tcMar>
            <w:vAlign w:val="bottom"/>
          </w:tcPr>
          <w:p w14:paraId="71F3EE71"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72" w14:textId="77777777" w:rsidR="00510CAA" w:rsidRDefault="00510CAA">
            <w:pPr>
              <w:keepNext/>
              <w:jc w:val="right"/>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7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74" w14:textId="77777777" w:rsidR="00510CAA" w:rsidRDefault="00510CAA">
            <w:pPr>
              <w:keepNext/>
              <w:jc w:val="right"/>
              <w:rPr>
                <w:rFonts w:ascii="Arial" w:eastAsia="Arial" w:hAnsi="Arial" w:cs="Arial"/>
                <w:color w:val="000000"/>
                <w:sz w:val="16"/>
              </w:rPr>
            </w:pPr>
          </w:p>
        </w:tc>
      </w:tr>
      <w:tr w:rsidR="00510CAA" w14:paraId="71F3EE7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76"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Long-term debt, net of current portion and deferred financing costs (Note 8)</w:t>
            </w:r>
          </w:p>
        </w:tc>
        <w:tc>
          <w:tcPr>
            <w:tcW w:w="180" w:type="dxa"/>
            <w:tcBorders>
              <w:top w:val="nil"/>
              <w:left w:val="nil"/>
              <w:bottom w:val="nil"/>
              <w:right w:val="nil"/>
              <w:tl2br w:val="nil"/>
              <w:tr2bl w:val="nil"/>
            </w:tcBorders>
            <w:tcMar>
              <w:left w:w="0" w:type="dxa"/>
              <w:right w:w="0" w:type="dxa"/>
            </w:tcMar>
            <w:vAlign w:val="bottom"/>
          </w:tcPr>
          <w:p w14:paraId="71F3EE77"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7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472,528</w:t>
            </w:r>
          </w:p>
        </w:tc>
        <w:tc>
          <w:tcPr>
            <w:tcW w:w="180" w:type="dxa"/>
            <w:tcBorders>
              <w:top w:val="nil"/>
              <w:left w:val="nil"/>
              <w:bottom w:val="nil"/>
              <w:right w:val="nil"/>
              <w:tl2br w:val="nil"/>
              <w:tr2bl w:val="nil"/>
            </w:tcBorders>
            <w:tcMar>
              <w:left w:w="0" w:type="dxa"/>
              <w:right w:w="0" w:type="dxa"/>
            </w:tcMar>
            <w:vAlign w:val="bottom"/>
          </w:tcPr>
          <w:p w14:paraId="71F3EE7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7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469,387</w:t>
            </w:r>
          </w:p>
        </w:tc>
      </w:tr>
      <w:tr w:rsidR="00510CAA" w14:paraId="71F3EE8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7C"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Finance liabilities, net of current portion (Note 9)</w:t>
            </w:r>
          </w:p>
        </w:tc>
        <w:tc>
          <w:tcPr>
            <w:tcW w:w="180" w:type="dxa"/>
            <w:tcBorders>
              <w:top w:val="nil"/>
              <w:left w:val="nil"/>
              <w:bottom w:val="nil"/>
              <w:right w:val="nil"/>
              <w:tl2br w:val="nil"/>
              <w:tr2bl w:val="nil"/>
            </w:tcBorders>
            <w:tcMar>
              <w:left w:w="0" w:type="dxa"/>
              <w:right w:w="0" w:type="dxa"/>
            </w:tcMar>
            <w:vAlign w:val="bottom"/>
          </w:tcPr>
          <w:p w14:paraId="71F3EE7D"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7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103,259</w:t>
            </w:r>
          </w:p>
        </w:tc>
        <w:tc>
          <w:tcPr>
            <w:tcW w:w="180" w:type="dxa"/>
            <w:tcBorders>
              <w:top w:val="nil"/>
              <w:left w:val="nil"/>
              <w:bottom w:val="nil"/>
              <w:right w:val="nil"/>
              <w:tl2br w:val="nil"/>
              <w:tr2bl w:val="nil"/>
            </w:tcBorders>
            <w:tcMar>
              <w:left w:w="0" w:type="dxa"/>
              <w:right w:w="0" w:type="dxa"/>
            </w:tcMar>
            <w:vAlign w:val="bottom"/>
          </w:tcPr>
          <w:p w14:paraId="71F3EE7F"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8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113,300</w:t>
            </w:r>
          </w:p>
        </w:tc>
      </w:tr>
      <w:tr w:rsidR="00510CAA" w14:paraId="71F3EE8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82"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Fair value of derivatives (Note 8)</w:t>
            </w:r>
          </w:p>
        </w:tc>
        <w:tc>
          <w:tcPr>
            <w:tcW w:w="180" w:type="dxa"/>
            <w:tcBorders>
              <w:top w:val="nil"/>
              <w:left w:val="nil"/>
              <w:bottom w:val="nil"/>
              <w:right w:val="nil"/>
              <w:tl2br w:val="nil"/>
              <w:tr2bl w:val="nil"/>
            </w:tcBorders>
            <w:tcMar>
              <w:left w:w="0" w:type="dxa"/>
              <w:right w:w="0" w:type="dxa"/>
            </w:tcMar>
            <w:vAlign w:val="bottom"/>
          </w:tcPr>
          <w:p w14:paraId="71F3EE83"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8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217</w:t>
            </w:r>
          </w:p>
        </w:tc>
        <w:tc>
          <w:tcPr>
            <w:tcW w:w="180" w:type="dxa"/>
            <w:tcBorders>
              <w:top w:val="nil"/>
              <w:left w:val="nil"/>
              <w:bottom w:val="nil"/>
              <w:right w:val="nil"/>
              <w:tl2br w:val="nil"/>
              <w:tr2bl w:val="nil"/>
            </w:tcBorders>
            <w:tcMar>
              <w:left w:w="0" w:type="dxa"/>
              <w:right w:w="0" w:type="dxa"/>
            </w:tcMar>
            <w:vAlign w:val="bottom"/>
          </w:tcPr>
          <w:p w14:paraId="71F3EE85"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8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134</w:t>
            </w:r>
          </w:p>
        </w:tc>
      </w:tr>
      <w:tr w:rsidR="00510CAA" w14:paraId="71F3EE8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88"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Warrant liability (Note 11(h))</w:t>
            </w:r>
          </w:p>
        </w:tc>
        <w:tc>
          <w:tcPr>
            <w:tcW w:w="180" w:type="dxa"/>
            <w:tcBorders>
              <w:top w:val="nil"/>
              <w:left w:val="nil"/>
              <w:bottom w:val="nil"/>
              <w:right w:val="nil"/>
              <w:tl2br w:val="nil"/>
              <w:tr2bl w:val="nil"/>
            </w:tcBorders>
            <w:tcMar>
              <w:left w:w="0" w:type="dxa"/>
              <w:right w:w="0" w:type="dxa"/>
            </w:tcMar>
            <w:vAlign w:val="bottom"/>
          </w:tcPr>
          <w:p w14:paraId="71F3EE89"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8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1,330</w:t>
            </w:r>
          </w:p>
        </w:tc>
        <w:tc>
          <w:tcPr>
            <w:tcW w:w="180" w:type="dxa"/>
            <w:tcBorders>
              <w:top w:val="nil"/>
              <w:left w:val="nil"/>
              <w:bottom w:val="nil"/>
              <w:right w:val="nil"/>
              <w:tl2br w:val="nil"/>
              <w:tr2bl w:val="nil"/>
            </w:tcBorders>
            <w:tcMar>
              <w:left w:w="0" w:type="dxa"/>
              <w:right w:w="0" w:type="dxa"/>
            </w:tcMar>
            <w:vAlign w:val="bottom"/>
          </w:tcPr>
          <w:p w14:paraId="71F3EE8B"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8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1,802</w:t>
            </w:r>
          </w:p>
        </w:tc>
      </w:tr>
      <w:tr w:rsidR="00510CAA" w14:paraId="71F3EE9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8E"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Other non-current liabilities</w:t>
            </w:r>
          </w:p>
        </w:tc>
        <w:tc>
          <w:tcPr>
            <w:tcW w:w="180" w:type="dxa"/>
            <w:tcBorders>
              <w:top w:val="nil"/>
              <w:left w:val="nil"/>
              <w:bottom w:val="nil"/>
              <w:right w:val="nil"/>
              <w:tl2br w:val="nil"/>
              <w:tr2bl w:val="nil"/>
            </w:tcBorders>
            <w:tcMar>
              <w:left w:w="0" w:type="dxa"/>
              <w:right w:w="0" w:type="dxa"/>
            </w:tcMar>
            <w:vAlign w:val="bottom"/>
          </w:tcPr>
          <w:p w14:paraId="71F3EE8F"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9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865</w:t>
            </w:r>
          </w:p>
        </w:tc>
        <w:tc>
          <w:tcPr>
            <w:tcW w:w="180" w:type="dxa"/>
            <w:tcBorders>
              <w:top w:val="nil"/>
              <w:left w:val="nil"/>
              <w:bottom w:val="nil"/>
              <w:right w:val="nil"/>
              <w:tl2br w:val="nil"/>
              <w:tr2bl w:val="nil"/>
            </w:tcBorders>
            <w:tcMar>
              <w:left w:w="0" w:type="dxa"/>
              <w:right w:w="0" w:type="dxa"/>
            </w:tcMar>
            <w:vAlign w:val="bottom"/>
          </w:tcPr>
          <w:p w14:paraId="71F3EE91"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9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1,158</w:t>
            </w:r>
          </w:p>
        </w:tc>
      </w:tr>
      <w:tr w:rsidR="00510CAA" w14:paraId="71F3EE9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285" w:type="dxa"/>
            <w:tcBorders>
              <w:top w:val="nil"/>
              <w:left w:val="nil"/>
              <w:bottom w:val="nil"/>
              <w:right w:val="nil"/>
              <w:tl2br w:val="nil"/>
              <w:tr2bl w:val="nil"/>
            </w:tcBorders>
            <w:tcMar>
              <w:left w:w="0" w:type="dxa"/>
              <w:right w:w="0" w:type="dxa"/>
            </w:tcMar>
            <w:vAlign w:val="bottom"/>
          </w:tcPr>
          <w:p w14:paraId="71F3EE94"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95" w14:textId="77777777" w:rsidR="00510CAA" w:rsidRDefault="003A4815">
            <w:pPr>
              <w:keepNext/>
              <w:rPr>
                <w:rFonts w:ascii="Arial" w:eastAsia="Arial" w:hAnsi="Arial" w:cs="Arial"/>
                <w:b/>
                <w:color w:val="000000"/>
                <w:sz w:val="16"/>
              </w:rPr>
            </w:pPr>
            <w:r>
              <w:rPr>
                <w:rFonts w:ascii="Arial" w:eastAsia="Arial" w:hAnsi="Arial" w:cs="Arial"/>
                <w:b/>
                <w:color w:val="000000"/>
                <w:sz w:val="16"/>
              </w:rPr>
              <w:t>Total Noncurrent Liabilities</w:t>
            </w:r>
          </w:p>
        </w:tc>
        <w:tc>
          <w:tcPr>
            <w:tcW w:w="180" w:type="dxa"/>
            <w:tcBorders>
              <w:top w:val="nil"/>
              <w:left w:val="nil"/>
              <w:bottom w:val="nil"/>
              <w:right w:val="nil"/>
              <w:tl2br w:val="nil"/>
              <w:tr2bl w:val="nil"/>
            </w:tcBorders>
            <w:tcMar>
              <w:left w:w="0" w:type="dxa"/>
              <w:right w:w="0" w:type="dxa"/>
            </w:tcMar>
            <w:vAlign w:val="bottom"/>
          </w:tcPr>
          <w:p w14:paraId="71F3EE96"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9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578,199</w:t>
            </w:r>
          </w:p>
        </w:tc>
        <w:tc>
          <w:tcPr>
            <w:tcW w:w="180" w:type="dxa"/>
            <w:tcBorders>
              <w:top w:val="nil"/>
              <w:left w:val="nil"/>
              <w:bottom w:val="nil"/>
              <w:right w:val="nil"/>
              <w:tl2br w:val="nil"/>
              <w:tr2bl w:val="nil"/>
            </w:tcBorders>
            <w:tcMar>
              <w:left w:w="0" w:type="dxa"/>
              <w:right w:w="0" w:type="dxa"/>
            </w:tcMar>
            <w:vAlign w:val="bottom"/>
          </w:tcPr>
          <w:p w14:paraId="71F3EE98"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9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585,781</w:t>
            </w:r>
          </w:p>
        </w:tc>
      </w:tr>
      <w:tr w:rsidR="00510CAA" w14:paraId="71F3EEA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6450" w:type="dxa"/>
            <w:gridSpan w:val="2"/>
            <w:tcBorders>
              <w:top w:val="nil"/>
              <w:left w:val="nil"/>
              <w:bottom w:val="nil"/>
              <w:right w:val="nil"/>
              <w:tl2br w:val="nil"/>
              <w:tr2bl w:val="nil"/>
            </w:tcBorders>
            <w:tcMar>
              <w:left w:w="40" w:type="dxa"/>
              <w:right w:w="40" w:type="dxa"/>
            </w:tcMar>
            <w:vAlign w:val="bottom"/>
          </w:tcPr>
          <w:p w14:paraId="71F3EE9B"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Commitments and contingencies (Note 10)</w:t>
            </w:r>
          </w:p>
        </w:tc>
        <w:tc>
          <w:tcPr>
            <w:tcW w:w="180" w:type="dxa"/>
            <w:tcBorders>
              <w:top w:val="nil"/>
              <w:left w:val="nil"/>
              <w:bottom w:val="nil"/>
              <w:right w:val="nil"/>
              <w:tl2br w:val="nil"/>
              <w:tr2bl w:val="nil"/>
            </w:tcBorders>
            <w:tcMar>
              <w:left w:w="0" w:type="dxa"/>
              <w:right w:w="0" w:type="dxa"/>
            </w:tcMar>
            <w:vAlign w:val="bottom"/>
          </w:tcPr>
          <w:p w14:paraId="71F3EE9C" w14:textId="77777777" w:rsidR="00510CAA" w:rsidRDefault="00510CAA">
            <w:pPr>
              <w:keepNext/>
              <w:jc w:val="center"/>
              <w:rPr>
                <w:rFonts w:ascii="Arial" w:eastAsia="Arial" w:hAnsi="Arial" w:cs="Arial"/>
                <w:color w:val="000000"/>
                <w:sz w:val="16"/>
              </w:rPr>
            </w:pPr>
          </w:p>
        </w:tc>
        <w:tc>
          <w:tcPr>
            <w:tcW w:w="1965" w:type="dxa"/>
            <w:tcBorders>
              <w:top w:val="dotted" w:sz="8" w:space="0" w:color="000000"/>
              <w:left w:val="nil"/>
              <w:bottom w:val="nil"/>
              <w:right w:val="nil"/>
              <w:tl2br w:val="nil"/>
              <w:tr2bl w:val="nil"/>
            </w:tcBorders>
            <w:tcMar>
              <w:left w:w="40" w:type="dxa"/>
              <w:right w:w="40" w:type="dxa"/>
            </w:tcMar>
            <w:vAlign w:val="bottom"/>
          </w:tcPr>
          <w:p w14:paraId="71F3EE9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tcMar>
              <w:left w:w="0" w:type="dxa"/>
              <w:right w:w="0" w:type="dxa"/>
            </w:tcMar>
            <w:vAlign w:val="bottom"/>
          </w:tcPr>
          <w:p w14:paraId="71F3EE9E" w14:textId="77777777" w:rsidR="00510CAA" w:rsidRDefault="00510CAA">
            <w:pPr>
              <w:keepNext/>
              <w:jc w:val="center"/>
              <w:rPr>
                <w:rFonts w:ascii="Arial" w:eastAsia="Arial" w:hAnsi="Arial" w:cs="Arial"/>
                <w:color w:val="000000"/>
                <w:sz w:val="16"/>
              </w:rPr>
            </w:pPr>
          </w:p>
        </w:tc>
        <w:tc>
          <w:tcPr>
            <w:tcW w:w="1965" w:type="dxa"/>
            <w:tcBorders>
              <w:top w:val="dotted" w:sz="8" w:space="0" w:color="000000"/>
              <w:left w:val="nil"/>
              <w:bottom w:val="nil"/>
              <w:right w:val="nil"/>
              <w:tl2br w:val="nil"/>
              <w:tr2bl w:val="nil"/>
            </w:tcBorders>
            <w:tcMar>
              <w:left w:w="40" w:type="dxa"/>
              <w:right w:w="40" w:type="dxa"/>
            </w:tcMar>
            <w:vAlign w:val="bottom"/>
          </w:tcPr>
          <w:p w14:paraId="71F3EE9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r>
      <w:tr w:rsidR="00510CAA" w14:paraId="71F3EEA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6450" w:type="dxa"/>
            <w:gridSpan w:val="2"/>
            <w:tcBorders>
              <w:top w:val="nil"/>
              <w:left w:val="nil"/>
              <w:bottom w:val="nil"/>
              <w:right w:val="nil"/>
              <w:tl2br w:val="nil"/>
              <w:tr2bl w:val="nil"/>
            </w:tcBorders>
            <w:tcMar>
              <w:left w:w="40" w:type="dxa"/>
              <w:right w:w="40" w:type="dxa"/>
            </w:tcMar>
            <w:vAlign w:val="bottom"/>
          </w:tcPr>
          <w:p w14:paraId="71F3EEA1"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Stockholders' Equity</w:t>
            </w:r>
          </w:p>
        </w:tc>
        <w:tc>
          <w:tcPr>
            <w:tcW w:w="180" w:type="dxa"/>
            <w:tcBorders>
              <w:top w:val="nil"/>
              <w:left w:val="nil"/>
              <w:bottom w:val="nil"/>
              <w:right w:val="nil"/>
              <w:tl2br w:val="nil"/>
              <w:tr2bl w:val="nil"/>
            </w:tcBorders>
            <w:tcMar>
              <w:left w:w="0" w:type="dxa"/>
              <w:right w:w="0" w:type="dxa"/>
            </w:tcMar>
            <w:vAlign w:val="bottom"/>
          </w:tcPr>
          <w:p w14:paraId="71F3EEA2"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A3" w14:textId="77777777" w:rsidR="00510CAA" w:rsidRDefault="00510CAA">
            <w:pPr>
              <w:keepNext/>
              <w:jc w:val="right"/>
              <w:rPr>
                <w:rFonts w:ascii="Arial" w:eastAsia="Arial" w:hAnsi="Arial" w:cs="Arial"/>
                <w:color w:val="000000"/>
                <w:sz w:val="16"/>
              </w:rPr>
            </w:pPr>
          </w:p>
        </w:tc>
        <w:tc>
          <w:tcPr>
            <w:tcW w:w="180" w:type="dxa"/>
            <w:tcBorders>
              <w:top w:val="nil"/>
              <w:left w:val="nil"/>
              <w:bottom w:val="nil"/>
              <w:right w:val="nil"/>
              <w:tl2br w:val="nil"/>
              <w:tr2bl w:val="nil"/>
            </w:tcBorders>
            <w:tcMar>
              <w:left w:w="0" w:type="dxa"/>
              <w:right w:w="0" w:type="dxa"/>
            </w:tcMar>
            <w:vAlign w:val="bottom"/>
          </w:tcPr>
          <w:p w14:paraId="71F3EEA4"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0" w:type="dxa"/>
              <w:right w:w="0" w:type="dxa"/>
            </w:tcMar>
            <w:vAlign w:val="bottom"/>
          </w:tcPr>
          <w:p w14:paraId="71F3EEA5" w14:textId="77777777" w:rsidR="00510CAA" w:rsidRDefault="00510CAA">
            <w:pPr>
              <w:keepNext/>
              <w:jc w:val="right"/>
              <w:rPr>
                <w:rFonts w:ascii="Arial" w:eastAsia="Arial" w:hAnsi="Arial" w:cs="Arial"/>
                <w:color w:val="000000"/>
                <w:sz w:val="16"/>
              </w:rPr>
            </w:pPr>
          </w:p>
        </w:tc>
      </w:tr>
      <w:tr w:rsidR="00510CAA" w14:paraId="71F3EEA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A7" w14:textId="77777777" w:rsidR="00510CAA" w:rsidRDefault="003A4815">
            <w:pPr>
              <w:keepNext/>
              <w:rPr>
                <w:rFonts w:ascii="Arial" w:eastAsia="Arial" w:hAnsi="Arial" w:cs="Arial"/>
                <w:color w:val="000000"/>
                <w:sz w:val="16"/>
              </w:rPr>
            </w:pPr>
            <w:r>
              <w:rPr>
                <w:rFonts w:ascii="Arial" w:eastAsia="Arial" w:hAnsi="Arial" w:cs="Arial"/>
                <w:color w:val="000000"/>
                <w:sz w:val="16"/>
              </w:rPr>
              <w:t>Preferred stock (Note 11)</w:t>
            </w:r>
          </w:p>
        </w:tc>
        <w:tc>
          <w:tcPr>
            <w:tcW w:w="180" w:type="dxa"/>
            <w:tcBorders>
              <w:top w:val="nil"/>
              <w:left w:val="nil"/>
              <w:bottom w:val="nil"/>
              <w:right w:val="nil"/>
              <w:tl2br w:val="nil"/>
              <w:tr2bl w:val="nil"/>
            </w:tcBorders>
            <w:tcMar>
              <w:left w:w="0" w:type="dxa"/>
              <w:right w:w="0" w:type="dxa"/>
            </w:tcMar>
            <w:vAlign w:val="bottom"/>
          </w:tcPr>
          <w:p w14:paraId="71F3EEA8"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A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c>
          <w:tcPr>
            <w:tcW w:w="180" w:type="dxa"/>
            <w:tcBorders>
              <w:top w:val="nil"/>
              <w:left w:val="nil"/>
              <w:bottom w:val="nil"/>
              <w:right w:val="nil"/>
              <w:tl2br w:val="nil"/>
              <w:tr2bl w:val="nil"/>
            </w:tcBorders>
            <w:tcMar>
              <w:left w:w="0" w:type="dxa"/>
              <w:right w:w="0" w:type="dxa"/>
            </w:tcMar>
          </w:tcPr>
          <w:p w14:paraId="71F3EEAA"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A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r>
      <w:tr w:rsidR="00510CAA" w14:paraId="71F3EEB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85"/>
        </w:trPr>
        <w:tc>
          <w:tcPr>
            <w:tcW w:w="6450" w:type="dxa"/>
            <w:gridSpan w:val="2"/>
            <w:tcBorders>
              <w:top w:val="nil"/>
              <w:left w:val="nil"/>
              <w:bottom w:val="nil"/>
              <w:right w:val="nil"/>
              <w:tl2br w:val="nil"/>
              <w:tr2bl w:val="nil"/>
            </w:tcBorders>
            <w:tcMar>
              <w:left w:w="40" w:type="dxa"/>
              <w:right w:w="40" w:type="dxa"/>
            </w:tcMar>
            <w:vAlign w:val="bottom"/>
          </w:tcPr>
          <w:p w14:paraId="71F3EEAD" w14:textId="77777777" w:rsidR="00510CAA" w:rsidRDefault="003A4815">
            <w:pPr>
              <w:keepNext/>
              <w:rPr>
                <w:rFonts w:ascii="Arial" w:eastAsia="Arial" w:hAnsi="Arial" w:cs="Arial"/>
                <w:color w:val="000000"/>
                <w:sz w:val="16"/>
              </w:rPr>
            </w:pPr>
            <w:r>
              <w:rPr>
                <w:rFonts w:ascii="Arial" w:eastAsia="Arial" w:hAnsi="Arial" w:cs="Arial"/>
                <w:color w:val="000000"/>
                <w:sz w:val="16"/>
              </w:rPr>
              <w:t>Common stock, $0.01 par value; 1,000,000,000 shares authorized and 115,787,434 and 125,203,405 issued and outstanding on December 31, 2025, and 2024, respectively (Note 11)</w:t>
            </w:r>
          </w:p>
        </w:tc>
        <w:tc>
          <w:tcPr>
            <w:tcW w:w="180" w:type="dxa"/>
            <w:tcBorders>
              <w:top w:val="nil"/>
              <w:left w:val="nil"/>
              <w:bottom w:val="nil"/>
              <w:right w:val="nil"/>
              <w:tl2br w:val="nil"/>
              <w:tr2bl w:val="nil"/>
            </w:tcBorders>
            <w:tcMar>
              <w:left w:w="0" w:type="dxa"/>
              <w:right w:w="0" w:type="dxa"/>
            </w:tcMar>
            <w:vAlign w:val="bottom"/>
          </w:tcPr>
          <w:p w14:paraId="71F3EEAE"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A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1,158</w:t>
            </w:r>
          </w:p>
        </w:tc>
        <w:tc>
          <w:tcPr>
            <w:tcW w:w="180" w:type="dxa"/>
            <w:tcBorders>
              <w:top w:val="nil"/>
              <w:left w:val="nil"/>
              <w:bottom w:val="nil"/>
              <w:right w:val="nil"/>
              <w:tl2br w:val="nil"/>
              <w:tr2bl w:val="nil"/>
            </w:tcBorders>
            <w:tcMar>
              <w:left w:w="0" w:type="dxa"/>
              <w:right w:w="0" w:type="dxa"/>
            </w:tcMar>
          </w:tcPr>
          <w:p w14:paraId="71F3EEB0"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B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1,252</w:t>
            </w:r>
          </w:p>
        </w:tc>
      </w:tr>
      <w:tr w:rsidR="00510CAA" w14:paraId="71F3EEB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B3"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Additional paid-in capital</w:t>
            </w:r>
          </w:p>
        </w:tc>
        <w:tc>
          <w:tcPr>
            <w:tcW w:w="180" w:type="dxa"/>
            <w:tcBorders>
              <w:top w:val="nil"/>
              <w:left w:val="nil"/>
              <w:bottom w:val="nil"/>
              <w:right w:val="nil"/>
              <w:tl2br w:val="nil"/>
              <w:tr2bl w:val="nil"/>
            </w:tcBorders>
            <w:tcMar>
              <w:left w:w="0" w:type="dxa"/>
              <w:right w:w="0" w:type="dxa"/>
            </w:tcMar>
            <w:vAlign w:val="bottom"/>
          </w:tcPr>
          <w:p w14:paraId="71F3EEB4"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B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1,126,049</w:t>
            </w:r>
          </w:p>
        </w:tc>
        <w:tc>
          <w:tcPr>
            <w:tcW w:w="180" w:type="dxa"/>
            <w:tcBorders>
              <w:top w:val="nil"/>
              <w:left w:val="nil"/>
              <w:bottom w:val="nil"/>
              <w:right w:val="nil"/>
              <w:tl2br w:val="nil"/>
              <w:tr2bl w:val="nil"/>
            </w:tcBorders>
            <w:tcMar>
              <w:left w:w="0" w:type="dxa"/>
              <w:right w:w="0" w:type="dxa"/>
            </w:tcMar>
          </w:tcPr>
          <w:p w14:paraId="71F3EEB6"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B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1,139,363</w:t>
            </w:r>
          </w:p>
        </w:tc>
      </w:tr>
      <w:tr w:rsidR="00510CAA" w14:paraId="71F3EEB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B9"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Accumulated other comprehensive income</w:t>
            </w:r>
          </w:p>
        </w:tc>
        <w:tc>
          <w:tcPr>
            <w:tcW w:w="180" w:type="dxa"/>
            <w:tcBorders>
              <w:top w:val="nil"/>
              <w:left w:val="nil"/>
              <w:bottom w:val="nil"/>
              <w:right w:val="nil"/>
              <w:tl2br w:val="nil"/>
              <w:tr2bl w:val="nil"/>
            </w:tcBorders>
            <w:tcMar>
              <w:left w:w="0" w:type="dxa"/>
              <w:right w:w="0" w:type="dxa"/>
            </w:tcMar>
            <w:vAlign w:val="bottom"/>
          </w:tcPr>
          <w:p w14:paraId="71F3EEBA"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B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3,648</w:t>
            </w:r>
          </w:p>
        </w:tc>
        <w:tc>
          <w:tcPr>
            <w:tcW w:w="180" w:type="dxa"/>
            <w:tcBorders>
              <w:top w:val="nil"/>
              <w:left w:val="nil"/>
              <w:bottom w:val="nil"/>
              <w:right w:val="nil"/>
              <w:tl2br w:val="nil"/>
              <w:tr2bl w:val="nil"/>
            </w:tcBorders>
            <w:tcMar>
              <w:left w:w="0" w:type="dxa"/>
              <w:right w:w="0" w:type="dxa"/>
            </w:tcMar>
          </w:tcPr>
          <w:p w14:paraId="71F3EEBC" w14:textId="77777777" w:rsidR="00510CAA" w:rsidRDefault="00510CAA">
            <w:pPr>
              <w:keepNext/>
              <w:jc w:val="center"/>
              <w:rPr>
                <w:rFonts w:ascii="Arial" w:eastAsia="Arial" w:hAnsi="Arial" w:cs="Arial"/>
                <w:color w:val="000000"/>
                <w:sz w:val="16"/>
              </w:rPr>
            </w:pPr>
          </w:p>
        </w:tc>
        <w:tc>
          <w:tcPr>
            <w:tcW w:w="1965" w:type="dxa"/>
            <w:tcBorders>
              <w:top w:val="nil"/>
              <w:left w:val="nil"/>
              <w:bottom w:val="nil"/>
              <w:right w:val="nil"/>
              <w:tl2br w:val="nil"/>
              <w:tr2bl w:val="nil"/>
            </w:tcBorders>
            <w:tcMar>
              <w:left w:w="40" w:type="dxa"/>
              <w:right w:w="40" w:type="dxa"/>
            </w:tcMar>
            <w:vAlign w:val="bottom"/>
          </w:tcPr>
          <w:p w14:paraId="71F3EEB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312</w:t>
            </w:r>
          </w:p>
        </w:tc>
      </w:tr>
      <w:tr w:rsidR="00510CAA" w14:paraId="71F3EEC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3"/>
        </w:trPr>
        <w:tc>
          <w:tcPr>
            <w:tcW w:w="6450" w:type="dxa"/>
            <w:gridSpan w:val="2"/>
            <w:tcBorders>
              <w:top w:val="nil"/>
              <w:left w:val="nil"/>
              <w:bottom w:val="nil"/>
              <w:right w:val="nil"/>
              <w:tl2br w:val="nil"/>
              <w:tr2bl w:val="nil"/>
            </w:tcBorders>
            <w:tcMar>
              <w:left w:w="40" w:type="dxa"/>
              <w:right w:w="40" w:type="dxa"/>
            </w:tcMar>
            <w:vAlign w:val="bottom"/>
          </w:tcPr>
          <w:p w14:paraId="71F3EEBF" w14:textId="77777777" w:rsidR="00510CAA" w:rsidRDefault="003A4815">
            <w:pPr>
              <w:keepNext/>
              <w:jc w:val="both"/>
              <w:rPr>
                <w:rFonts w:ascii="Arial" w:eastAsia="Arial" w:hAnsi="Arial" w:cs="Arial"/>
                <w:color w:val="000000"/>
                <w:sz w:val="16"/>
              </w:rPr>
            </w:pPr>
            <w:r>
              <w:rPr>
                <w:rFonts w:ascii="Arial" w:eastAsia="Arial" w:hAnsi="Arial" w:cs="Arial"/>
                <w:color w:val="000000"/>
                <w:sz w:val="16"/>
              </w:rPr>
              <w:t>Accumulated deficit</w:t>
            </w:r>
          </w:p>
        </w:tc>
        <w:tc>
          <w:tcPr>
            <w:tcW w:w="180" w:type="dxa"/>
            <w:tcBorders>
              <w:top w:val="nil"/>
              <w:left w:val="nil"/>
              <w:bottom w:val="nil"/>
              <w:right w:val="nil"/>
              <w:tl2br w:val="nil"/>
              <w:tr2bl w:val="nil"/>
            </w:tcBorders>
            <w:tcMar>
              <w:left w:w="0" w:type="dxa"/>
              <w:right w:w="0" w:type="dxa"/>
            </w:tcMar>
            <w:vAlign w:val="bottom"/>
          </w:tcPr>
          <w:p w14:paraId="71F3EEC0"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C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(628,468)</w:t>
            </w:r>
          </w:p>
        </w:tc>
        <w:tc>
          <w:tcPr>
            <w:tcW w:w="180" w:type="dxa"/>
            <w:tcBorders>
              <w:top w:val="nil"/>
              <w:left w:val="nil"/>
              <w:bottom w:val="nil"/>
              <w:right w:val="nil"/>
              <w:tl2br w:val="nil"/>
              <w:tr2bl w:val="nil"/>
            </w:tcBorders>
            <w:tcMar>
              <w:left w:w="0" w:type="dxa"/>
              <w:right w:w="0" w:type="dxa"/>
            </w:tcMar>
          </w:tcPr>
          <w:p w14:paraId="71F3EEC2" w14:textId="77777777" w:rsidR="00510CAA" w:rsidRDefault="00510CAA">
            <w:pPr>
              <w:keepNext/>
              <w:jc w:val="center"/>
              <w:rPr>
                <w:rFonts w:ascii="Arial" w:eastAsia="Arial" w:hAnsi="Arial" w:cs="Arial"/>
                <w:color w:val="000000"/>
                <w:sz w:val="16"/>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EEC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(635,896)</w:t>
            </w:r>
          </w:p>
        </w:tc>
      </w:tr>
      <w:tr w:rsidR="00510CAA" w14:paraId="71F3EEC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EC5"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C6" w14:textId="77777777" w:rsidR="00510CAA" w:rsidRDefault="003A4815">
            <w:pPr>
              <w:keepNext/>
              <w:rPr>
                <w:rFonts w:ascii="Arial" w:eastAsia="Arial" w:hAnsi="Arial" w:cs="Arial"/>
                <w:b/>
                <w:color w:val="000000"/>
                <w:sz w:val="16"/>
              </w:rPr>
            </w:pPr>
            <w:r>
              <w:rPr>
                <w:rFonts w:ascii="Arial" w:eastAsia="Arial" w:hAnsi="Arial" w:cs="Arial"/>
                <w:b/>
                <w:color w:val="000000"/>
                <w:sz w:val="16"/>
              </w:rPr>
              <w:t>Total Stockholders' Equity</w:t>
            </w:r>
          </w:p>
        </w:tc>
        <w:tc>
          <w:tcPr>
            <w:tcW w:w="180" w:type="dxa"/>
            <w:tcBorders>
              <w:top w:val="nil"/>
              <w:left w:val="nil"/>
              <w:bottom w:val="nil"/>
              <w:right w:val="nil"/>
              <w:tl2br w:val="nil"/>
              <w:tr2bl w:val="nil"/>
            </w:tcBorders>
            <w:tcMar>
              <w:left w:w="0" w:type="dxa"/>
              <w:right w:w="0" w:type="dxa"/>
            </w:tcMar>
            <w:vAlign w:val="bottom"/>
          </w:tcPr>
          <w:p w14:paraId="71F3EEC7"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C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502,413</w:t>
            </w:r>
          </w:p>
        </w:tc>
        <w:tc>
          <w:tcPr>
            <w:tcW w:w="180" w:type="dxa"/>
            <w:tcBorders>
              <w:top w:val="nil"/>
              <w:left w:val="nil"/>
              <w:bottom w:val="nil"/>
              <w:right w:val="nil"/>
              <w:tl2br w:val="nil"/>
              <w:tr2bl w:val="nil"/>
            </w:tcBorders>
            <w:tcMar>
              <w:left w:w="0" w:type="dxa"/>
              <w:right w:w="0" w:type="dxa"/>
            </w:tcMar>
            <w:vAlign w:val="bottom"/>
          </w:tcPr>
          <w:p w14:paraId="71F3EEC9" w14:textId="77777777" w:rsidR="00510CAA" w:rsidRDefault="00510CAA">
            <w:pPr>
              <w:keepNext/>
              <w:jc w:val="center"/>
              <w:rPr>
                <w:rFonts w:ascii="Arial" w:eastAsia="Arial" w:hAnsi="Arial" w:cs="Arial"/>
                <w:color w:val="000000"/>
                <w:sz w:val="16"/>
              </w:rPr>
            </w:pPr>
          </w:p>
        </w:tc>
        <w:tc>
          <w:tcPr>
            <w:tcW w:w="1965" w:type="dxa"/>
            <w:tcBorders>
              <w:top w:val="single" w:sz="4" w:space="0" w:color="000000"/>
              <w:left w:val="nil"/>
              <w:bottom w:val="dotted" w:sz="8" w:space="0" w:color="000000"/>
              <w:right w:val="nil"/>
              <w:tl2br w:val="nil"/>
              <w:tr2bl w:val="nil"/>
            </w:tcBorders>
            <w:tcMar>
              <w:left w:w="40" w:type="dxa"/>
              <w:right w:w="40" w:type="dxa"/>
            </w:tcMar>
            <w:vAlign w:val="bottom"/>
          </w:tcPr>
          <w:p w14:paraId="71F3EEC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505,057</w:t>
            </w:r>
          </w:p>
        </w:tc>
      </w:tr>
      <w:tr w:rsidR="00510CAA" w14:paraId="71F3EED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285" w:type="dxa"/>
            <w:tcBorders>
              <w:top w:val="nil"/>
              <w:left w:val="nil"/>
              <w:bottom w:val="nil"/>
              <w:right w:val="nil"/>
              <w:tl2br w:val="nil"/>
              <w:tr2bl w:val="nil"/>
            </w:tcBorders>
            <w:tcMar>
              <w:left w:w="0" w:type="dxa"/>
              <w:right w:w="0" w:type="dxa"/>
            </w:tcMar>
            <w:vAlign w:val="bottom"/>
          </w:tcPr>
          <w:p w14:paraId="71F3EECC" w14:textId="77777777" w:rsidR="00510CAA" w:rsidRDefault="00510CAA">
            <w:pPr>
              <w:keepNext/>
              <w:jc w:val="both"/>
              <w:rPr>
                <w:rFonts w:ascii="Arial" w:eastAsia="Arial" w:hAnsi="Arial" w:cs="Arial"/>
                <w:color w:val="000000"/>
                <w:sz w:val="16"/>
              </w:rPr>
            </w:pPr>
          </w:p>
        </w:tc>
        <w:tc>
          <w:tcPr>
            <w:tcW w:w="6165" w:type="dxa"/>
            <w:tcBorders>
              <w:top w:val="nil"/>
              <w:left w:val="nil"/>
              <w:bottom w:val="nil"/>
              <w:right w:val="nil"/>
              <w:tl2br w:val="nil"/>
              <w:tr2bl w:val="nil"/>
            </w:tcBorders>
            <w:tcMar>
              <w:left w:w="40" w:type="dxa"/>
              <w:right w:w="40" w:type="dxa"/>
            </w:tcMar>
            <w:vAlign w:val="bottom"/>
          </w:tcPr>
          <w:p w14:paraId="71F3EECD" w14:textId="77777777" w:rsidR="00510CAA" w:rsidRDefault="003A4815">
            <w:pPr>
              <w:keepNext/>
              <w:rPr>
                <w:rFonts w:ascii="Arial" w:eastAsia="Arial" w:hAnsi="Arial" w:cs="Arial"/>
                <w:b/>
                <w:color w:val="000000"/>
                <w:sz w:val="16"/>
              </w:rPr>
            </w:pPr>
            <w:r>
              <w:rPr>
                <w:rFonts w:ascii="Arial" w:eastAsia="Arial" w:hAnsi="Arial" w:cs="Arial"/>
                <w:b/>
                <w:color w:val="000000"/>
                <w:sz w:val="16"/>
              </w:rPr>
              <w:t xml:space="preserve"> Total Liabilities and Stockholders' Equity</w:t>
            </w:r>
          </w:p>
        </w:tc>
        <w:tc>
          <w:tcPr>
            <w:tcW w:w="180" w:type="dxa"/>
            <w:tcBorders>
              <w:top w:val="nil"/>
              <w:left w:val="nil"/>
              <w:bottom w:val="nil"/>
              <w:right w:val="nil"/>
              <w:tl2br w:val="nil"/>
              <w:tr2bl w:val="nil"/>
            </w:tcBorders>
            <w:tcMar>
              <w:left w:w="40" w:type="dxa"/>
              <w:right w:w="40" w:type="dxa"/>
            </w:tcMar>
            <w:vAlign w:val="bottom"/>
          </w:tcPr>
          <w:p w14:paraId="71F3EECE"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double" w:sz="6" w:space="0" w:color="000000"/>
              <w:right w:val="nil"/>
              <w:tl2br w:val="nil"/>
              <w:tr2bl w:val="nil"/>
            </w:tcBorders>
            <w:tcMar>
              <w:left w:w="40" w:type="dxa"/>
              <w:right w:w="40" w:type="dxa"/>
            </w:tcMar>
            <w:vAlign w:val="bottom"/>
          </w:tcPr>
          <w:p w14:paraId="71F3EEC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1,170,192</w:t>
            </w:r>
          </w:p>
        </w:tc>
        <w:tc>
          <w:tcPr>
            <w:tcW w:w="180" w:type="dxa"/>
            <w:tcBorders>
              <w:top w:val="nil"/>
              <w:left w:val="nil"/>
              <w:bottom w:val="nil"/>
              <w:right w:val="nil"/>
              <w:tl2br w:val="nil"/>
              <w:tr2bl w:val="nil"/>
            </w:tcBorders>
            <w:tcMar>
              <w:left w:w="40" w:type="dxa"/>
              <w:right w:w="40" w:type="dxa"/>
            </w:tcMar>
            <w:vAlign w:val="bottom"/>
          </w:tcPr>
          <w:p w14:paraId="71F3EED0"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w:t>
            </w:r>
          </w:p>
        </w:tc>
        <w:tc>
          <w:tcPr>
            <w:tcW w:w="1965" w:type="dxa"/>
            <w:tcBorders>
              <w:top w:val="nil"/>
              <w:left w:val="nil"/>
              <w:bottom w:val="double" w:sz="6" w:space="0" w:color="000000"/>
              <w:right w:val="nil"/>
              <w:tl2br w:val="nil"/>
              <w:tr2bl w:val="nil"/>
            </w:tcBorders>
            <w:tcMar>
              <w:left w:w="40" w:type="dxa"/>
              <w:right w:w="40" w:type="dxa"/>
            </w:tcMar>
            <w:vAlign w:val="bottom"/>
          </w:tcPr>
          <w:p w14:paraId="71F3EED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1,171,018</w:t>
            </w:r>
          </w:p>
        </w:tc>
      </w:tr>
      <w:tr w:rsidR="00510CAA" w14:paraId="71F3EED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0740" w:type="dxa"/>
            <w:gridSpan w:val="6"/>
            <w:tcBorders>
              <w:top w:val="nil"/>
              <w:left w:val="nil"/>
              <w:bottom w:val="nil"/>
              <w:right w:val="nil"/>
              <w:tl2br w:val="nil"/>
              <w:tr2bl w:val="nil"/>
            </w:tcBorders>
            <w:tcMar>
              <w:left w:w="40" w:type="dxa"/>
              <w:right w:w="40" w:type="dxa"/>
            </w:tcMar>
            <w:vAlign w:val="bottom"/>
          </w:tcPr>
          <w:p w14:paraId="71F3EED3"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The accompanying notes are an integral part of these consolidated financial statements.</w:t>
            </w:r>
          </w:p>
        </w:tc>
      </w:tr>
    </w:tbl>
    <w:p w14:paraId="71F3EED5" w14:textId="77777777" w:rsidR="00510CAA" w:rsidRDefault="00510CAA">
      <w:pPr>
        <w:rPr>
          <w:rFonts w:ascii="Arial" w:eastAsia="Arial" w:hAnsi="Arial" w:cs="Arial"/>
        </w:rPr>
      </w:pPr>
    </w:p>
    <w:tbl>
      <w:tblPr>
        <w:tblStyle w:val="CDMRange2"/>
        <w:tblW w:w="10410" w:type="dxa"/>
        <w:tblLayout w:type="fixed"/>
        <w:tblLook w:val="0600" w:firstRow="0" w:lastRow="0" w:firstColumn="0" w:lastColumn="0" w:noHBand="1" w:noVBand="1"/>
      </w:tblPr>
      <w:tblGrid>
        <w:gridCol w:w="282"/>
        <w:gridCol w:w="4861"/>
        <w:gridCol w:w="290"/>
        <w:gridCol w:w="1429"/>
        <w:gridCol w:w="345"/>
        <w:gridCol w:w="1429"/>
        <w:gridCol w:w="345"/>
        <w:gridCol w:w="1429"/>
      </w:tblGrid>
      <w:tr w:rsidR="00510CAA" w14:paraId="71F3EEDD" w14:textId="77777777">
        <w:trPr>
          <w:cantSplit/>
          <w:trHeight w:hRule="exact" w:val="300"/>
        </w:trPr>
        <w:tc>
          <w:tcPr>
            <w:tcW w:w="5190" w:type="dxa"/>
            <w:gridSpan w:val="2"/>
            <w:tcBorders>
              <w:top w:val="nil"/>
              <w:left w:val="nil"/>
              <w:bottom w:val="nil"/>
              <w:right w:val="nil"/>
              <w:tl2br w:val="nil"/>
              <w:tr2bl w:val="nil"/>
            </w:tcBorders>
            <w:noWrap/>
            <w:tcMar>
              <w:left w:w="40" w:type="dxa"/>
              <w:right w:w="40" w:type="dxa"/>
            </w:tcMar>
            <w:vAlign w:val="bottom"/>
          </w:tcPr>
          <w:p w14:paraId="71F3EED6" w14:textId="77777777" w:rsidR="00510CAA" w:rsidRDefault="003A4815">
            <w:pPr>
              <w:keepNext/>
              <w:pageBreakBefore/>
              <w:rPr>
                <w:rFonts w:ascii="Arial" w:eastAsia="Arial" w:hAnsi="Arial" w:cs="Arial"/>
                <w:b/>
                <w:color w:val="000000"/>
                <w:sz w:val="18"/>
              </w:rPr>
            </w:pPr>
            <w:bookmarkStart w:id="387" w:name="RG_MARKER_23346"/>
            <w:r>
              <w:rPr>
                <w:rFonts w:ascii="Arial" w:eastAsia="Arial" w:hAnsi="Arial" w:cs="Arial"/>
                <w:b/>
                <w:color w:val="000000"/>
                <w:sz w:val="18"/>
              </w:rPr>
              <w:t>DIANA SHIPPING INC.</w:t>
            </w:r>
            <w:bookmarkEnd w:id="387"/>
          </w:p>
        </w:tc>
        <w:tc>
          <w:tcPr>
            <w:tcW w:w="210" w:type="dxa"/>
            <w:tcBorders>
              <w:top w:val="nil"/>
              <w:left w:val="nil"/>
              <w:bottom w:val="nil"/>
              <w:right w:val="nil"/>
              <w:tl2br w:val="nil"/>
              <w:tr2bl w:val="nil"/>
            </w:tcBorders>
            <w:tcMar>
              <w:left w:w="0" w:type="dxa"/>
              <w:right w:w="0" w:type="dxa"/>
            </w:tcMar>
            <w:vAlign w:val="bottom"/>
          </w:tcPr>
          <w:p w14:paraId="71F3EED7"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EED8" w14:textId="77777777" w:rsidR="00510CAA" w:rsidRDefault="00510CAA">
            <w:pPr>
              <w:keepNext/>
              <w:jc w:val="both"/>
              <w:rPr>
                <w:rFonts w:ascii="Arial" w:eastAsia="Arial" w:hAnsi="Arial" w:cs="Arial"/>
                <w:b/>
                <w:color w:val="000000"/>
                <w:sz w:val="18"/>
              </w:rPr>
            </w:pPr>
          </w:p>
        </w:tc>
        <w:tc>
          <w:tcPr>
            <w:tcW w:w="345" w:type="dxa"/>
            <w:tcBorders>
              <w:top w:val="nil"/>
              <w:left w:val="nil"/>
              <w:bottom w:val="nil"/>
              <w:right w:val="nil"/>
              <w:tl2br w:val="nil"/>
              <w:tr2bl w:val="nil"/>
            </w:tcBorders>
            <w:tcMar>
              <w:left w:w="0" w:type="dxa"/>
              <w:right w:w="0" w:type="dxa"/>
            </w:tcMar>
            <w:vAlign w:val="bottom"/>
          </w:tcPr>
          <w:p w14:paraId="71F3EED9"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EEDA" w14:textId="77777777" w:rsidR="00510CAA" w:rsidRDefault="00510CAA">
            <w:pPr>
              <w:keepNext/>
              <w:jc w:val="both"/>
              <w:rPr>
                <w:rFonts w:ascii="Arial" w:eastAsia="Arial" w:hAnsi="Arial" w:cs="Arial"/>
                <w:b/>
                <w:color w:val="000000"/>
                <w:sz w:val="18"/>
              </w:rPr>
            </w:pPr>
          </w:p>
        </w:tc>
        <w:tc>
          <w:tcPr>
            <w:tcW w:w="345" w:type="dxa"/>
            <w:tcBorders>
              <w:top w:val="nil"/>
              <w:left w:val="nil"/>
              <w:bottom w:val="nil"/>
              <w:right w:val="nil"/>
              <w:tl2br w:val="nil"/>
              <w:tr2bl w:val="nil"/>
            </w:tcBorders>
            <w:tcMar>
              <w:left w:w="0" w:type="dxa"/>
              <w:right w:w="0" w:type="dxa"/>
            </w:tcMar>
            <w:vAlign w:val="bottom"/>
          </w:tcPr>
          <w:p w14:paraId="71F3EEDB"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DC" w14:textId="77777777" w:rsidR="00510CAA" w:rsidRDefault="00510CAA">
            <w:pPr>
              <w:keepNext/>
              <w:rPr>
                <w:rFonts w:ascii="Arial" w:eastAsia="Arial" w:hAnsi="Arial" w:cs="Arial"/>
                <w:color w:val="000000"/>
                <w:sz w:val="18"/>
              </w:rPr>
            </w:pPr>
          </w:p>
        </w:tc>
      </w:tr>
      <w:tr w:rsidR="00510CAA" w14:paraId="71F3EEE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8625" w:type="dxa"/>
            <w:gridSpan w:val="6"/>
            <w:tcBorders>
              <w:top w:val="nil"/>
              <w:left w:val="nil"/>
              <w:bottom w:val="nil"/>
              <w:right w:val="nil"/>
              <w:tl2br w:val="nil"/>
              <w:tr2bl w:val="nil"/>
            </w:tcBorders>
            <w:noWrap/>
            <w:tcMar>
              <w:left w:w="40" w:type="dxa"/>
              <w:right w:w="40" w:type="dxa"/>
            </w:tcMar>
            <w:vAlign w:val="bottom"/>
          </w:tcPr>
          <w:p w14:paraId="71F3EEDE" w14:textId="77777777" w:rsidR="00510CAA" w:rsidRDefault="003A4815">
            <w:pPr>
              <w:keepNext/>
              <w:rPr>
                <w:rFonts w:ascii="Arial" w:eastAsia="Arial" w:hAnsi="Arial" w:cs="Arial"/>
                <w:color w:val="000000"/>
                <w:sz w:val="18"/>
              </w:rPr>
            </w:pPr>
            <w:r>
              <w:rPr>
                <w:rFonts w:ascii="Arial" w:eastAsia="Arial" w:hAnsi="Arial" w:cs="Arial"/>
                <w:color w:val="000000"/>
                <w:sz w:val="18"/>
              </w:rPr>
              <w:t>CONSOLIDATED STATEMENTS OF INCOME</w:t>
            </w:r>
          </w:p>
        </w:tc>
        <w:tc>
          <w:tcPr>
            <w:tcW w:w="345" w:type="dxa"/>
            <w:tcBorders>
              <w:top w:val="nil"/>
              <w:left w:val="nil"/>
              <w:bottom w:val="nil"/>
              <w:right w:val="nil"/>
              <w:tl2br w:val="nil"/>
              <w:tr2bl w:val="nil"/>
            </w:tcBorders>
            <w:tcMar>
              <w:left w:w="0" w:type="dxa"/>
              <w:right w:w="0" w:type="dxa"/>
            </w:tcMar>
            <w:vAlign w:val="bottom"/>
          </w:tcPr>
          <w:p w14:paraId="71F3EEDF"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E0" w14:textId="77777777" w:rsidR="00510CAA" w:rsidRDefault="00510CAA">
            <w:pPr>
              <w:keepNext/>
              <w:rPr>
                <w:rFonts w:ascii="Arial" w:eastAsia="Arial" w:hAnsi="Arial" w:cs="Arial"/>
                <w:color w:val="000000"/>
                <w:sz w:val="18"/>
              </w:rPr>
            </w:pPr>
          </w:p>
        </w:tc>
      </w:tr>
      <w:tr w:rsidR="00510CAA" w14:paraId="71F3EEE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8625" w:type="dxa"/>
            <w:gridSpan w:val="6"/>
            <w:tcBorders>
              <w:top w:val="nil"/>
              <w:left w:val="nil"/>
              <w:bottom w:val="nil"/>
              <w:right w:val="nil"/>
              <w:tl2br w:val="nil"/>
              <w:tr2bl w:val="nil"/>
            </w:tcBorders>
            <w:noWrap/>
            <w:tcMar>
              <w:left w:w="40" w:type="dxa"/>
              <w:right w:w="40" w:type="dxa"/>
            </w:tcMar>
            <w:vAlign w:val="bottom"/>
          </w:tcPr>
          <w:p w14:paraId="71F3EEE2"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For the years ended December 31, 2025, 2024 and 2023</w:t>
            </w:r>
          </w:p>
        </w:tc>
        <w:tc>
          <w:tcPr>
            <w:tcW w:w="345" w:type="dxa"/>
            <w:tcBorders>
              <w:top w:val="nil"/>
              <w:left w:val="nil"/>
              <w:bottom w:val="nil"/>
              <w:right w:val="nil"/>
              <w:tl2br w:val="nil"/>
              <w:tr2bl w:val="nil"/>
            </w:tcBorders>
            <w:noWrap/>
            <w:tcMar>
              <w:left w:w="0" w:type="dxa"/>
              <w:right w:w="0" w:type="dxa"/>
            </w:tcMar>
            <w:vAlign w:val="bottom"/>
          </w:tcPr>
          <w:p w14:paraId="71F3EEE3"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E4" w14:textId="77777777" w:rsidR="00510CAA" w:rsidRDefault="00510CAA">
            <w:pPr>
              <w:keepNext/>
              <w:rPr>
                <w:rFonts w:ascii="Arial" w:eastAsia="Arial" w:hAnsi="Arial" w:cs="Arial"/>
                <w:color w:val="000000"/>
                <w:sz w:val="18"/>
              </w:rPr>
            </w:pPr>
          </w:p>
        </w:tc>
      </w:tr>
      <w:tr w:rsidR="00510CAA" w14:paraId="71F3EEE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6840" w:type="dxa"/>
            <w:gridSpan w:val="4"/>
            <w:tcBorders>
              <w:top w:val="nil"/>
              <w:left w:val="nil"/>
              <w:bottom w:val="nil"/>
              <w:right w:val="nil"/>
              <w:tl2br w:val="nil"/>
              <w:tr2bl w:val="nil"/>
            </w:tcBorders>
            <w:noWrap/>
            <w:tcMar>
              <w:left w:w="40" w:type="dxa"/>
              <w:right w:w="40" w:type="dxa"/>
            </w:tcMar>
            <w:vAlign w:val="bottom"/>
          </w:tcPr>
          <w:p w14:paraId="71F3EEE6"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(Expressed in thousands of U.S. Dollars – except for share and per share data)</w:t>
            </w:r>
          </w:p>
        </w:tc>
        <w:tc>
          <w:tcPr>
            <w:tcW w:w="345" w:type="dxa"/>
            <w:tcBorders>
              <w:top w:val="nil"/>
              <w:left w:val="nil"/>
              <w:bottom w:val="nil"/>
              <w:right w:val="nil"/>
              <w:tl2br w:val="nil"/>
              <w:tr2bl w:val="nil"/>
            </w:tcBorders>
            <w:tcMar>
              <w:left w:w="0" w:type="dxa"/>
              <w:right w:w="0" w:type="dxa"/>
            </w:tcMar>
            <w:vAlign w:val="bottom"/>
          </w:tcPr>
          <w:p w14:paraId="71F3EEE7"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EEE8" w14:textId="77777777" w:rsidR="00510CAA" w:rsidRDefault="00510CAA">
            <w:pPr>
              <w:keepNext/>
              <w:jc w:val="both"/>
              <w:rPr>
                <w:rFonts w:ascii="Arial" w:eastAsia="Arial" w:hAnsi="Arial" w:cs="Arial"/>
                <w:color w:val="000000"/>
                <w:sz w:val="18"/>
              </w:rPr>
            </w:pPr>
          </w:p>
        </w:tc>
        <w:tc>
          <w:tcPr>
            <w:tcW w:w="345" w:type="dxa"/>
            <w:tcBorders>
              <w:top w:val="nil"/>
              <w:left w:val="nil"/>
              <w:bottom w:val="nil"/>
              <w:right w:val="nil"/>
              <w:tl2br w:val="nil"/>
              <w:tr2bl w:val="nil"/>
            </w:tcBorders>
            <w:tcMar>
              <w:left w:w="0" w:type="dxa"/>
              <w:right w:w="0" w:type="dxa"/>
            </w:tcMar>
            <w:vAlign w:val="bottom"/>
          </w:tcPr>
          <w:p w14:paraId="71F3EEE9"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EA" w14:textId="77777777" w:rsidR="00510CAA" w:rsidRDefault="00510CAA">
            <w:pPr>
              <w:keepNext/>
              <w:rPr>
                <w:rFonts w:ascii="Arial" w:eastAsia="Arial" w:hAnsi="Arial" w:cs="Arial"/>
                <w:color w:val="000000"/>
                <w:sz w:val="18"/>
              </w:rPr>
            </w:pPr>
          </w:p>
        </w:tc>
      </w:tr>
      <w:tr w:rsidR="00510CAA" w14:paraId="71F3EE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noWrap/>
            <w:tcMar>
              <w:left w:w="0" w:type="dxa"/>
              <w:right w:w="0" w:type="dxa"/>
            </w:tcMar>
            <w:vAlign w:val="bottom"/>
          </w:tcPr>
          <w:p w14:paraId="71F3EEEC" w14:textId="77777777" w:rsidR="00510CAA" w:rsidRDefault="00510CAA">
            <w:pPr>
              <w:keepNext/>
              <w:jc w:val="both"/>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EEED" w14:textId="77777777" w:rsidR="00510CAA" w:rsidRDefault="00510CAA">
            <w:pPr>
              <w:keepNext/>
              <w:jc w:val="both"/>
              <w:rPr>
                <w:rFonts w:ascii="Arial" w:eastAsia="Arial" w:hAnsi="Arial" w:cs="Arial"/>
                <w:color w:val="000000"/>
                <w:sz w:val="18"/>
              </w:rPr>
            </w:pPr>
          </w:p>
        </w:tc>
        <w:tc>
          <w:tcPr>
            <w:tcW w:w="210" w:type="dxa"/>
            <w:tcBorders>
              <w:top w:val="nil"/>
              <w:left w:val="nil"/>
              <w:bottom w:val="nil"/>
              <w:right w:val="nil"/>
              <w:tl2br w:val="nil"/>
              <w:tr2bl w:val="nil"/>
            </w:tcBorders>
            <w:noWrap/>
            <w:tcMar>
              <w:left w:w="0" w:type="dxa"/>
              <w:right w:w="0" w:type="dxa"/>
            </w:tcMar>
            <w:vAlign w:val="bottom"/>
          </w:tcPr>
          <w:p w14:paraId="71F3EEEE"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EF" w14:textId="77777777" w:rsidR="00510CAA" w:rsidRDefault="00510CAA">
            <w:pPr>
              <w:keepNext/>
              <w:jc w:val="both"/>
              <w:rPr>
                <w:rFonts w:ascii="Arial" w:eastAsia="Arial" w:hAnsi="Arial" w:cs="Arial"/>
                <w:color w:val="000000"/>
                <w:sz w:val="18"/>
              </w:rPr>
            </w:pPr>
          </w:p>
        </w:tc>
        <w:tc>
          <w:tcPr>
            <w:tcW w:w="345" w:type="dxa"/>
            <w:tcBorders>
              <w:top w:val="nil"/>
              <w:left w:val="nil"/>
              <w:bottom w:val="nil"/>
              <w:right w:val="nil"/>
              <w:tl2br w:val="nil"/>
              <w:tr2bl w:val="nil"/>
            </w:tcBorders>
            <w:tcMar>
              <w:left w:w="0" w:type="dxa"/>
              <w:right w:w="0" w:type="dxa"/>
            </w:tcMar>
            <w:vAlign w:val="bottom"/>
          </w:tcPr>
          <w:p w14:paraId="71F3EEF0"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EEF1" w14:textId="77777777" w:rsidR="00510CAA" w:rsidRDefault="00510CAA">
            <w:pPr>
              <w:keepNext/>
              <w:jc w:val="both"/>
              <w:rPr>
                <w:rFonts w:ascii="Arial" w:eastAsia="Arial" w:hAnsi="Arial" w:cs="Arial"/>
                <w:color w:val="000000"/>
                <w:sz w:val="18"/>
              </w:rPr>
            </w:pPr>
          </w:p>
        </w:tc>
        <w:tc>
          <w:tcPr>
            <w:tcW w:w="345" w:type="dxa"/>
            <w:tcBorders>
              <w:top w:val="nil"/>
              <w:left w:val="nil"/>
              <w:bottom w:val="nil"/>
              <w:right w:val="nil"/>
              <w:tl2br w:val="nil"/>
              <w:tr2bl w:val="nil"/>
            </w:tcBorders>
            <w:tcMar>
              <w:left w:w="0" w:type="dxa"/>
              <w:right w:w="0" w:type="dxa"/>
            </w:tcMar>
            <w:vAlign w:val="bottom"/>
          </w:tcPr>
          <w:p w14:paraId="71F3EEF2"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EF3" w14:textId="77777777" w:rsidR="00510CAA" w:rsidRDefault="00510CAA">
            <w:pPr>
              <w:keepNext/>
              <w:rPr>
                <w:rFonts w:ascii="Arial" w:eastAsia="Arial" w:hAnsi="Arial" w:cs="Arial"/>
                <w:color w:val="000000"/>
                <w:sz w:val="18"/>
              </w:rPr>
            </w:pPr>
          </w:p>
        </w:tc>
      </w:tr>
      <w:tr w:rsidR="00510CAA" w14:paraId="71F3EEF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noWrap/>
            <w:tcMar>
              <w:left w:w="0" w:type="dxa"/>
              <w:right w:w="0" w:type="dxa"/>
            </w:tcMar>
            <w:vAlign w:val="bottom"/>
          </w:tcPr>
          <w:p w14:paraId="71F3EEF5"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EEF6" w14:textId="77777777" w:rsidR="00510CAA" w:rsidRDefault="00510CAA">
            <w:pPr>
              <w:keepNext/>
              <w:rPr>
                <w:rFonts w:ascii="Arial" w:eastAsia="Arial" w:hAnsi="Arial" w:cs="Arial"/>
                <w:color w:val="000000"/>
                <w:sz w:val="18"/>
              </w:rPr>
            </w:pPr>
          </w:p>
        </w:tc>
        <w:tc>
          <w:tcPr>
            <w:tcW w:w="210" w:type="dxa"/>
            <w:tcBorders>
              <w:top w:val="nil"/>
              <w:left w:val="nil"/>
              <w:bottom w:val="nil"/>
              <w:right w:val="nil"/>
              <w:tl2br w:val="nil"/>
              <w:tr2bl w:val="nil"/>
            </w:tcBorders>
            <w:noWrap/>
            <w:tcMar>
              <w:left w:w="270" w:type="dxa"/>
              <w:right w:w="0" w:type="dxa"/>
            </w:tcMar>
            <w:vAlign w:val="bottom"/>
          </w:tcPr>
          <w:p w14:paraId="71F3EEF7"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EF8"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2025</w:t>
            </w:r>
          </w:p>
        </w:tc>
        <w:tc>
          <w:tcPr>
            <w:tcW w:w="345" w:type="dxa"/>
            <w:tcBorders>
              <w:top w:val="nil"/>
              <w:left w:val="nil"/>
              <w:bottom w:val="nil"/>
              <w:right w:val="nil"/>
              <w:tl2br w:val="nil"/>
              <w:tr2bl w:val="nil"/>
            </w:tcBorders>
            <w:noWrap/>
            <w:tcMar>
              <w:left w:w="270" w:type="dxa"/>
              <w:right w:w="0" w:type="dxa"/>
            </w:tcMar>
            <w:vAlign w:val="bottom"/>
          </w:tcPr>
          <w:p w14:paraId="71F3EEF9"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EFA"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2024</w:t>
            </w:r>
          </w:p>
        </w:tc>
        <w:tc>
          <w:tcPr>
            <w:tcW w:w="345" w:type="dxa"/>
            <w:tcBorders>
              <w:top w:val="nil"/>
              <w:left w:val="nil"/>
              <w:bottom w:val="nil"/>
              <w:right w:val="nil"/>
              <w:tl2br w:val="nil"/>
              <w:tr2bl w:val="nil"/>
            </w:tcBorders>
            <w:noWrap/>
            <w:tcMar>
              <w:left w:w="270" w:type="dxa"/>
              <w:right w:w="0" w:type="dxa"/>
            </w:tcMar>
            <w:vAlign w:val="bottom"/>
          </w:tcPr>
          <w:p w14:paraId="71F3EEFB"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EFC"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2023</w:t>
            </w:r>
          </w:p>
        </w:tc>
      </w:tr>
      <w:tr w:rsidR="00510CAA" w14:paraId="71F3EF0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EFE" w14:textId="77777777" w:rsidR="00510CAA" w:rsidRDefault="003A4815">
            <w:pPr>
              <w:keepNext/>
              <w:rPr>
                <w:rFonts w:ascii="Arial" w:eastAsia="Arial" w:hAnsi="Arial" w:cs="Arial"/>
                <w:b/>
                <w:color w:val="000000"/>
                <w:sz w:val="18"/>
              </w:rPr>
            </w:pPr>
            <w:r>
              <w:rPr>
                <w:rFonts w:ascii="Arial" w:eastAsia="Arial" w:hAnsi="Arial" w:cs="Arial"/>
                <w:b/>
                <w:color w:val="000000"/>
                <w:sz w:val="18"/>
              </w:rPr>
              <w:t>REVENUES:</w:t>
            </w:r>
          </w:p>
        </w:tc>
        <w:tc>
          <w:tcPr>
            <w:tcW w:w="210" w:type="dxa"/>
            <w:tcBorders>
              <w:top w:val="nil"/>
              <w:left w:val="nil"/>
              <w:bottom w:val="nil"/>
              <w:right w:val="nil"/>
              <w:tl2br w:val="nil"/>
              <w:tr2bl w:val="nil"/>
            </w:tcBorders>
            <w:noWrap/>
            <w:tcMar>
              <w:left w:w="0" w:type="dxa"/>
              <w:right w:w="0" w:type="dxa"/>
            </w:tcMar>
            <w:vAlign w:val="bottom"/>
          </w:tcPr>
          <w:p w14:paraId="71F3EEFF" w14:textId="77777777" w:rsidR="00510CAA" w:rsidRDefault="00510CAA">
            <w:pPr>
              <w:keepNext/>
              <w:jc w:val="both"/>
              <w:rPr>
                <w:rFonts w:ascii="Arial" w:eastAsia="Arial" w:hAnsi="Arial" w:cs="Arial"/>
                <w:b/>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EF00" w14:textId="77777777" w:rsidR="00510CAA" w:rsidRDefault="00510CAA">
            <w:pPr>
              <w:keepNext/>
              <w:jc w:val="both"/>
              <w:rPr>
                <w:rFonts w:ascii="Arial" w:eastAsia="Arial" w:hAnsi="Arial" w:cs="Arial"/>
                <w:b/>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01" w14:textId="77777777" w:rsidR="00510CAA" w:rsidRDefault="00510CAA">
            <w:pPr>
              <w:keepNext/>
              <w:jc w:val="both"/>
              <w:rPr>
                <w:rFonts w:ascii="Arial" w:eastAsia="Arial" w:hAnsi="Arial" w:cs="Arial"/>
                <w:b/>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EF02" w14:textId="77777777" w:rsidR="00510CAA" w:rsidRDefault="00510CAA">
            <w:pPr>
              <w:keepNext/>
              <w:jc w:val="both"/>
              <w:rPr>
                <w:rFonts w:ascii="Arial" w:eastAsia="Arial" w:hAnsi="Arial" w:cs="Arial"/>
                <w:b/>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03" w14:textId="77777777" w:rsidR="00510CAA" w:rsidRDefault="00510CAA">
            <w:pPr>
              <w:keepNext/>
              <w:jc w:val="both"/>
              <w:rPr>
                <w:rFonts w:ascii="Arial" w:eastAsia="Arial" w:hAnsi="Arial" w:cs="Arial"/>
                <w:b/>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EF04" w14:textId="77777777" w:rsidR="00510CAA" w:rsidRDefault="00510CAA">
            <w:pPr>
              <w:keepNext/>
              <w:jc w:val="both"/>
              <w:rPr>
                <w:rFonts w:ascii="Arial" w:eastAsia="Arial" w:hAnsi="Arial" w:cs="Arial"/>
                <w:b/>
                <w:color w:val="000000"/>
                <w:sz w:val="18"/>
              </w:rPr>
            </w:pPr>
          </w:p>
        </w:tc>
      </w:tr>
      <w:tr w:rsidR="00510CAA" w14:paraId="71F3EF0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06" w14:textId="77777777" w:rsidR="00510CAA" w:rsidRDefault="003A4815">
            <w:pPr>
              <w:keepNext/>
              <w:rPr>
                <w:rFonts w:ascii="Arial" w:eastAsia="Arial" w:hAnsi="Arial" w:cs="Arial"/>
                <w:color w:val="000000"/>
                <w:sz w:val="18"/>
              </w:rPr>
            </w:pPr>
            <w:r>
              <w:rPr>
                <w:rFonts w:ascii="Arial" w:eastAsia="Arial" w:hAnsi="Arial" w:cs="Arial"/>
                <w:color w:val="000000"/>
                <w:sz w:val="18"/>
              </w:rPr>
              <w:t>Time charter revenues</w:t>
            </w:r>
          </w:p>
        </w:tc>
        <w:tc>
          <w:tcPr>
            <w:tcW w:w="210" w:type="dxa"/>
            <w:tcBorders>
              <w:top w:val="nil"/>
              <w:left w:val="nil"/>
              <w:bottom w:val="nil"/>
              <w:right w:val="nil"/>
              <w:tl2br w:val="nil"/>
              <w:tr2bl w:val="nil"/>
            </w:tcBorders>
            <w:noWrap/>
            <w:tcMar>
              <w:left w:w="40" w:type="dxa"/>
              <w:right w:w="40" w:type="dxa"/>
            </w:tcMar>
            <w:vAlign w:val="bottom"/>
          </w:tcPr>
          <w:p w14:paraId="71F3EF0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EF0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213,541</w:t>
            </w:r>
          </w:p>
        </w:tc>
        <w:tc>
          <w:tcPr>
            <w:tcW w:w="345" w:type="dxa"/>
            <w:tcBorders>
              <w:top w:val="nil"/>
              <w:left w:val="nil"/>
              <w:bottom w:val="nil"/>
              <w:right w:val="nil"/>
              <w:tl2br w:val="nil"/>
              <w:tr2bl w:val="nil"/>
            </w:tcBorders>
            <w:noWrap/>
            <w:tcMar>
              <w:left w:w="40" w:type="dxa"/>
              <w:right w:w="100" w:type="dxa"/>
            </w:tcMar>
            <w:vAlign w:val="bottom"/>
          </w:tcPr>
          <w:p w14:paraId="71F3EF09"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EF0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228,209</w:t>
            </w:r>
          </w:p>
        </w:tc>
        <w:tc>
          <w:tcPr>
            <w:tcW w:w="345" w:type="dxa"/>
            <w:tcBorders>
              <w:top w:val="nil"/>
              <w:left w:val="nil"/>
              <w:bottom w:val="nil"/>
              <w:right w:val="nil"/>
              <w:tl2br w:val="nil"/>
              <w:tr2bl w:val="nil"/>
            </w:tcBorders>
            <w:noWrap/>
            <w:tcMar>
              <w:left w:w="40" w:type="dxa"/>
              <w:right w:w="100" w:type="dxa"/>
            </w:tcMar>
            <w:vAlign w:val="bottom"/>
          </w:tcPr>
          <w:p w14:paraId="71F3EF0B"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EF0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262,098</w:t>
            </w:r>
          </w:p>
        </w:tc>
      </w:tr>
      <w:tr w:rsidR="00510CAA" w14:paraId="71F3EF1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tcMar>
              <w:left w:w="0" w:type="dxa"/>
              <w:right w:w="0" w:type="dxa"/>
            </w:tcMar>
            <w:vAlign w:val="bottom"/>
          </w:tcPr>
          <w:p w14:paraId="71F3EF0E"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tcMar>
              <w:left w:w="0" w:type="dxa"/>
              <w:right w:w="0" w:type="dxa"/>
            </w:tcMar>
            <w:vAlign w:val="bottom"/>
          </w:tcPr>
          <w:p w14:paraId="71F3EF0F" w14:textId="77777777" w:rsidR="00510CAA" w:rsidRDefault="00510CAA">
            <w:pPr>
              <w:keepNext/>
              <w:rPr>
                <w:rFonts w:ascii="Arial" w:eastAsia="Arial" w:hAnsi="Arial" w:cs="Arial"/>
                <w:color w:val="000000"/>
                <w:sz w:val="18"/>
              </w:rPr>
            </w:pPr>
          </w:p>
        </w:tc>
        <w:tc>
          <w:tcPr>
            <w:tcW w:w="210" w:type="dxa"/>
            <w:tcBorders>
              <w:top w:val="nil"/>
              <w:left w:val="nil"/>
              <w:bottom w:val="nil"/>
              <w:right w:val="nil"/>
              <w:tl2br w:val="nil"/>
              <w:tr2bl w:val="nil"/>
            </w:tcBorders>
            <w:noWrap/>
            <w:tcMar>
              <w:left w:w="0" w:type="dxa"/>
              <w:right w:w="0" w:type="dxa"/>
            </w:tcMar>
            <w:vAlign w:val="bottom"/>
          </w:tcPr>
          <w:p w14:paraId="71F3EF1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1"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1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3"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1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5" w14:textId="77777777" w:rsidR="00510CAA" w:rsidRDefault="00510CAA">
            <w:pPr>
              <w:keepNext/>
              <w:rPr>
                <w:rFonts w:ascii="Arial" w:eastAsia="Arial" w:hAnsi="Arial" w:cs="Arial"/>
                <w:color w:val="000000"/>
                <w:sz w:val="18"/>
              </w:rPr>
            </w:pPr>
          </w:p>
        </w:tc>
      </w:tr>
      <w:tr w:rsidR="00510CAA" w14:paraId="71F3EF1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17" w14:textId="77777777" w:rsidR="00510CAA" w:rsidRDefault="003A4815">
            <w:pPr>
              <w:keepNext/>
              <w:rPr>
                <w:rFonts w:ascii="Arial" w:eastAsia="Arial" w:hAnsi="Arial" w:cs="Arial"/>
                <w:b/>
                <w:color w:val="000000"/>
                <w:sz w:val="18"/>
              </w:rPr>
            </w:pPr>
            <w:r>
              <w:rPr>
                <w:rFonts w:ascii="Arial" w:eastAsia="Arial" w:hAnsi="Arial" w:cs="Arial"/>
                <w:b/>
                <w:color w:val="000000"/>
                <w:sz w:val="18"/>
              </w:rPr>
              <w:t>OPERATING EXPENSES</w:t>
            </w:r>
          </w:p>
        </w:tc>
        <w:tc>
          <w:tcPr>
            <w:tcW w:w="210" w:type="dxa"/>
            <w:tcBorders>
              <w:top w:val="nil"/>
              <w:left w:val="nil"/>
              <w:bottom w:val="nil"/>
              <w:right w:val="nil"/>
              <w:tl2br w:val="nil"/>
              <w:tr2bl w:val="nil"/>
            </w:tcBorders>
            <w:noWrap/>
            <w:tcMar>
              <w:left w:w="0" w:type="dxa"/>
              <w:right w:w="0" w:type="dxa"/>
            </w:tcMar>
            <w:vAlign w:val="bottom"/>
          </w:tcPr>
          <w:p w14:paraId="71F3EF18"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9"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1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B"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1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1D" w14:textId="77777777" w:rsidR="00510CAA" w:rsidRDefault="00510CAA">
            <w:pPr>
              <w:keepNext/>
              <w:rPr>
                <w:rFonts w:ascii="Arial" w:eastAsia="Arial" w:hAnsi="Arial" w:cs="Arial"/>
                <w:color w:val="000000"/>
                <w:sz w:val="18"/>
              </w:rPr>
            </w:pPr>
          </w:p>
        </w:tc>
      </w:tr>
      <w:tr w:rsidR="00510CAA" w14:paraId="71F3EF2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1F" w14:textId="77777777" w:rsidR="00510CAA" w:rsidRDefault="003A4815">
            <w:pPr>
              <w:keepNext/>
              <w:rPr>
                <w:rFonts w:ascii="Arial" w:eastAsia="Arial" w:hAnsi="Arial" w:cs="Arial"/>
                <w:color w:val="000000"/>
                <w:sz w:val="18"/>
              </w:rPr>
            </w:pPr>
            <w:r>
              <w:rPr>
                <w:rFonts w:ascii="Arial" w:eastAsia="Arial" w:hAnsi="Arial" w:cs="Arial"/>
                <w:color w:val="000000"/>
                <w:sz w:val="18"/>
              </w:rPr>
              <w:t>Voyage expenses</w:t>
            </w:r>
          </w:p>
        </w:tc>
        <w:tc>
          <w:tcPr>
            <w:tcW w:w="210" w:type="dxa"/>
            <w:tcBorders>
              <w:top w:val="nil"/>
              <w:left w:val="nil"/>
              <w:bottom w:val="nil"/>
              <w:right w:val="nil"/>
              <w:tl2br w:val="nil"/>
              <w:tr2bl w:val="nil"/>
            </w:tcBorders>
            <w:noWrap/>
            <w:tcMar>
              <w:left w:w="0" w:type="dxa"/>
              <w:right w:w="0" w:type="dxa"/>
            </w:tcMar>
            <w:vAlign w:val="bottom"/>
          </w:tcPr>
          <w:p w14:paraId="71F3EF2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12,417</w:t>
            </w:r>
          </w:p>
        </w:tc>
        <w:tc>
          <w:tcPr>
            <w:tcW w:w="345" w:type="dxa"/>
            <w:tcBorders>
              <w:top w:val="nil"/>
              <w:left w:val="nil"/>
              <w:bottom w:val="nil"/>
              <w:right w:val="nil"/>
              <w:tl2br w:val="nil"/>
              <w:tr2bl w:val="nil"/>
            </w:tcBorders>
            <w:noWrap/>
            <w:tcMar>
              <w:left w:w="0" w:type="dxa"/>
              <w:right w:w="0" w:type="dxa"/>
            </w:tcMar>
            <w:vAlign w:val="bottom"/>
          </w:tcPr>
          <w:p w14:paraId="71F3EF2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13,607</w:t>
            </w:r>
          </w:p>
        </w:tc>
        <w:tc>
          <w:tcPr>
            <w:tcW w:w="345" w:type="dxa"/>
            <w:tcBorders>
              <w:top w:val="nil"/>
              <w:left w:val="nil"/>
              <w:bottom w:val="nil"/>
              <w:right w:val="nil"/>
              <w:tl2br w:val="nil"/>
              <w:tr2bl w:val="nil"/>
            </w:tcBorders>
            <w:noWrap/>
            <w:tcMar>
              <w:left w:w="0" w:type="dxa"/>
              <w:right w:w="0" w:type="dxa"/>
            </w:tcMar>
            <w:vAlign w:val="bottom"/>
          </w:tcPr>
          <w:p w14:paraId="71F3EF2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13,621</w:t>
            </w:r>
          </w:p>
        </w:tc>
      </w:tr>
      <w:tr w:rsidR="00510CAA" w14:paraId="71F3EF2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27" w14:textId="77777777" w:rsidR="00510CAA" w:rsidRDefault="003A4815">
            <w:pPr>
              <w:keepNext/>
              <w:rPr>
                <w:rFonts w:ascii="Arial" w:eastAsia="Arial" w:hAnsi="Arial" w:cs="Arial"/>
                <w:color w:val="000000"/>
                <w:sz w:val="18"/>
              </w:rPr>
            </w:pPr>
            <w:r>
              <w:rPr>
                <w:rFonts w:ascii="Arial" w:eastAsia="Arial" w:hAnsi="Arial" w:cs="Arial"/>
                <w:color w:val="000000"/>
                <w:sz w:val="18"/>
              </w:rPr>
              <w:t>Vessel operating expenses (Note 3)</w:t>
            </w:r>
          </w:p>
        </w:tc>
        <w:tc>
          <w:tcPr>
            <w:tcW w:w="210" w:type="dxa"/>
            <w:tcBorders>
              <w:top w:val="nil"/>
              <w:left w:val="nil"/>
              <w:bottom w:val="nil"/>
              <w:right w:val="nil"/>
              <w:tl2br w:val="nil"/>
              <w:tr2bl w:val="nil"/>
            </w:tcBorders>
            <w:noWrap/>
            <w:tcMar>
              <w:left w:w="0" w:type="dxa"/>
              <w:right w:w="0" w:type="dxa"/>
            </w:tcMar>
            <w:vAlign w:val="bottom"/>
          </w:tcPr>
          <w:p w14:paraId="71F3EF28"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80,244</w:t>
            </w:r>
          </w:p>
        </w:tc>
        <w:tc>
          <w:tcPr>
            <w:tcW w:w="345" w:type="dxa"/>
            <w:tcBorders>
              <w:top w:val="nil"/>
              <w:left w:val="nil"/>
              <w:bottom w:val="nil"/>
              <w:right w:val="nil"/>
              <w:tl2br w:val="nil"/>
              <w:tr2bl w:val="nil"/>
            </w:tcBorders>
            <w:noWrap/>
            <w:tcMar>
              <w:left w:w="0" w:type="dxa"/>
              <w:right w:w="0" w:type="dxa"/>
            </w:tcMar>
            <w:vAlign w:val="bottom"/>
          </w:tcPr>
          <w:p w14:paraId="71F3EF2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82,587</w:t>
            </w:r>
          </w:p>
        </w:tc>
        <w:tc>
          <w:tcPr>
            <w:tcW w:w="345" w:type="dxa"/>
            <w:tcBorders>
              <w:top w:val="nil"/>
              <w:left w:val="nil"/>
              <w:bottom w:val="nil"/>
              <w:right w:val="nil"/>
              <w:tl2br w:val="nil"/>
              <w:tr2bl w:val="nil"/>
            </w:tcBorders>
            <w:noWrap/>
            <w:tcMar>
              <w:left w:w="0" w:type="dxa"/>
              <w:right w:w="0" w:type="dxa"/>
            </w:tcMar>
            <w:vAlign w:val="bottom"/>
          </w:tcPr>
          <w:p w14:paraId="71F3EF2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2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85,486</w:t>
            </w:r>
          </w:p>
        </w:tc>
      </w:tr>
      <w:tr w:rsidR="00510CAA" w14:paraId="71F3EF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2F" w14:textId="77777777" w:rsidR="00510CAA" w:rsidRDefault="003A4815">
            <w:pPr>
              <w:keepNext/>
              <w:rPr>
                <w:rFonts w:ascii="Arial" w:eastAsia="Arial" w:hAnsi="Arial" w:cs="Arial"/>
                <w:color w:val="000000"/>
                <w:sz w:val="18"/>
              </w:rPr>
            </w:pPr>
            <w:r>
              <w:rPr>
                <w:rFonts w:ascii="Arial" w:eastAsia="Arial" w:hAnsi="Arial" w:cs="Arial"/>
                <w:color w:val="000000"/>
                <w:sz w:val="18"/>
              </w:rPr>
              <w:t xml:space="preserve">Depreciation and amortization of deferred charges </w:t>
            </w:r>
          </w:p>
        </w:tc>
        <w:tc>
          <w:tcPr>
            <w:tcW w:w="210" w:type="dxa"/>
            <w:tcBorders>
              <w:top w:val="nil"/>
              <w:left w:val="nil"/>
              <w:bottom w:val="nil"/>
              <w:right w:val="nil"/>
              <w:tl2br w:val="nil"/>
              <w:tr2bl w:val="nil"/>
            </w:tcBorders>
            <w:noWrap/>
            <w:tcMar>
              <w:left w:w="0" w:type="dxa"/>
              <w:right w:w="0" w:type="dxa"/>
            </w:tcMar>
            <w:vAlign w:val="bottom"/>
          </w:tcPr>
          <w:p w14:paraId="71F3EF3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46,525</w:t>
            </w:r>
          </w:p>
        </w:tc>
        <w:tc>
          <w:tcPr>
            <w:tcW w:w="345" w:type="dxa"/>
            <w:tcBorders>
              <w:top w:val="nil"/>
              <w:left w:val="nil"/>
              <w:bottom w:val="nil"/>
              <w:right w:val="nil"/>
              <w:tl2br w:val="nil"/>
              <w:tr2bl w:val="nil"/>
            </w:tcBorders>
            <w:noWrap/>
            <w:tcMar>
              <w:left w:w="0" w:type="dxa"/>
              <w:right w:w="0" w:type="dxa"/>
            </w:tcMar>
            <w:vAlign w:val="bottom"/>
          </w:tcPr>
          <w:p w14:paraId="71F3EF3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44,691</w:t>
            </w:r>
          </w:p>
        </w:tc>
        <w:tc>
          <w:tcPr>
            <w:tcW w:w="345" w:type="dxa"/>
            <w:tcBorders>
              <w:top w:val="nil"/>
              <w:left w:val="nil"/>
              <w:bottom w:val="nil"/>
              <w:right w:val="nil"/>
              <w:tl2br w:val="nil"/>
              <w:tr2bl w:val="nil"/>
            </w:tcBorders>
            <w:noWrap/>
            <w:tcMar>
              <w:left w:w="0" w:type="dxa"/>
              <w:right w:w="0" w:type="dxa"/>
            </w:tcMar>
            <w:vAlign w:val="bottom"/>
          </w:tcPr>
          <w:p w14:paraId="71F3EF3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49,785</w:t>
            </w:r>
          </w:p>
        </w:tc>
      </w:tr>
      <w:tr w:rsidR="00510CAA" w14:paraId="71F3EF3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37" w14:textId="77777777" w:rsidR="00510CAA" w:rsidRDefault="003A4815">
            <w:pPr>
              <w:keepNext/>
              <w:rPr>
                <w:rFonts w:ascii="Arial" w:eastAsia="Arial" w:hAnsi="Arial" w:cs="Arial"/>
                <w:color w:val="000000"/>
                <w:sz w:val="18"/>
              </w:rPr>
            </w:pPr>
            <w:r>
              <w:rPr>
                <w:rFonts w:ascii="Arial" w:eastAsia="Arial" w:hAnsi="Arial" w:cs="Arial"/>
                <w:color w:val="000000"/>
                <w:sz w:val="18"/>
              </w:rPr>
              <w:t>General and administrative expenses (Note 3)</w:t>
            </w:r>
          </w:p>
        </w:tc>
        <w:tc>
          <w:tcPr>
            <w:tcW w:w="210" w:type="dxa"/>
            <w:tcBorders>
              <w:top w:val="nil"/>
              <w:left w:val="nil"/>
              <w:bottom w:val="nil"/>
              <w:right w:val="nil"/>
              <w:tl2br w:val="nil"/>
              <w:tr2bl w:val="nil"/>
            </w:tcBorders>
            <w:noWrap/>
            <w:tcMar>
              <w:left w:w="0" w:type="dxa"/>
              <w:right w:w="0" w:type="dxa"/>
            </w:tcMar>
            <w:vAlign w:val="bottom"/>
          </w:tcPr>
          <w:p w14:paraId="71F3EF38"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34,099</w:t>
            </w:r>
          </w:p>
        </w:tc>
        <w:tc>
          <w:tcPr>
            <w:tcW w:w="345" w:type="dxa"/>
            <w:tcBorders>
              <w:top w:val="nil"/>
              <w:left w:val="nil"/>
              <w:bottom w:val="nil"/>
              <w:right w:val="nil"/>
              <w:tl2br w:val="nil"/>
              <w:tr2bl w:val="nil"/>
            </w:tcBorders>
            <w:noWrap/>
            <w:tcMar>
              <w:left w:w="0" w:type="dxa"/>
              <w:right w:w="0" w:type="dxa"/>
            </w:tcMar>
            <w:vAlign w:val="bottom"/>
          </w:tcPr>
          <w:p w14:paraId="71F3EF3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33,435</w:t>
            </w:r>
          </w:p>
        </w:tc>
        <w:tc>
          <w:tcPr>
            <w:tcW w:w="345" w:type="dxa"/>
            <w:tcBorders>
              <w:top w:val="nil"/>
              <w:left w:val="nil"/>
              <w:bottom w:val="nil"/>
              <w:right w:val="nil"/>
              <w:tl2br w:val="nil"/>
              <w:tr2bl w:val="nil"/>
            </w:tcBorders>
            <w:noWrap/>
            <w:tcMar>
              <w:left w:w="0" w:type="dxa"/>
              <w:right w:w="0" w:type="dxa"/>
            </w:tcMar>
            <w:vAlign w:val="bottom"/>
          </w:tcPr>
          <w:p w14:paraId="71F3EF3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3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32,968</w:t>
            </w:r>
          </w:p>
        </w:tc>
      </w:tr>
      <w:tr w:rsidR="00510CAA" w14:paraId="71F3EF4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3F" w14:textId="77777777" w:rsidR="00510CAA" w:rsidRDefault="003A4815">
            <w:pPr>
              <w:keepNext/>
              <w:rPr>
                <w:rFonts w:ascii="Arial" w:eastAsia="Arial" w:hAnsi="Arial" w:cs="Arial"/>
                <w:color w:val="000000"/>
                <w:sz w:val="18"/>
              </w:rPr>
            </w:pPr>
            <w:r>
              <w:rPr>
                <w:rFonts w:ascii="Arial" w:eastAsia="Arial" w:hAnsi="Arial" w:cs="Arial"/>
                <w:color w:val="000000"/>
                <w:sz w:val="18"/>
              </w:rPr>
              <w:t>Management fees to a related party (Note 4(a))</w:t>
            </w:r>
          </w:p>
        </w:tc>
        <w:tc>
          <w:tcPr>
            <w:tcW w:w="210" w:type="dxa"/>
            <w:tcBorders>
              <w:top w:val="nil"/>
              <w:left w:val="nil"/>
              <w:bottom w:val="nil"/>
              <w:right w:val="nil"/>
              <w:tl2br w:val="nil"/>
              <w:tr2bl w:val="nil"/>
            </w:tcBorders>
            <w:noWrap/>
            <w:tcMar>
              <w:left w:w="0" w:type="dxa"/>
              <w:right w:w="0" w:type="dxa"/>
            </w:tcMar>
            <w:vAlign w:val="bottom"/>
          </w:tcPr>
          <w:p w14:paraId="71F3EF4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4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1,191</w:t>
            </w:r>
          </w:p>
        </w:tc>
        <w:tc>
          <w:tcPr>
            <w:tcW w:w="345" w:type="dxa"/>
            <w:tcBorders>
              <w:top w:val="nil"/>
              <w:left w:val="nil"/>
              <w:bottom w:val="nil"/>
              <w:right w:val="nil"/>
              <w:tl2br w:val="nil"/>
              <w:tr2bl w:val="nil"/>
            </w:tcBorders>
            <w:noWrap/>
            <w:tcMar>
              <w:left w:w="0" w:type="dxa"/>
              <w:right w:w="0" w:type="dxa"/>
            </w:tcMar>
            <w:vAlign w:val="bottom"/>
          </w:tcPr>
          <w:p w14:paraId="71F3EF4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4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1,332</w:t>
            </w:r>
          </w:p>
        </w:tc>
        <w:tc>
          <w:tcPr>
            <w:tcW w:w="345" w:type="dxa"/>
            <w:tcBorders>
              <w:top w:val="nil"/>
              <w:left w:val="nil"/>
              <w:bottom w:val="nil"/>
              <w:right w:val="nil"/>
              <w:tl2br w:val="nil"/>
              <w:tr2bl w:val="nil"/>
            </w:tcBorders>
            <w:noWrap/>
            <w:tcMar>
              <w:left w:w="0" w:type="dxa"/>
              <w:right w:w="0" w:type="dxa"/>
            </w:tcMar>
            <w:vAlign w:val="bottom"/>
          </w:tcPr>
          <w:p w14:paraId="71F3EF4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4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1,313</w:t>
            </w:r>
          </w:p>
        </w:tc>
      </w:tr>
      <w:tr w:rsidR="00510CAA" w14:paraId="71F3EF4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47" w14:textId="77777777" w:rsidR="00510CAA" w:rsidRDefault="003A4815">
            <w:pPr>
              <w:keepNext/>
              <w:rPr>
                <w:rFonts w:ascii="Arial" w:eastAsia="Arial" w:hAnsi="Arial" w:cs="Arial"/>
                <w:color w:val="000000"/>
                <w:sz w:val="18"/>
              </w:rPr>
            </w:pPr>
            <w:r>
              <w:rPr>
                <w:rFonts w:ascii="Arial" w:eastAsia="Arial" w:hAnsi="Arial" w:cs="Arial"/>
                <w:color w:val="000000"/>
                <w:sz w:val="18"/>
              </w:rPr>
              <w:t>Gain on sale of vessels (Note 3 and 6)</w:t>
            </w:r>
          </w:p>
        </w:tc>
        <w:tc>
          <w:tcPr>
            <w:tcW w:w="210" w:type="dxa"/>
            <w:tcBorders>
              <w:top w:val="nil"/>
              <w:left w:val="nil"/>
              <w:bottom w:val="nil"/>
              <w:right w:val="nil"/>
              <w:tl2br w:val="nil"/>
              <w:tr2bl w:val="nil"/>
            </w:tcBorders>
            <w:noWrap/>
            <w:tcMar>
              <w:left w:w="0" w:type="dxa"/>
              <w:right w:w="0" w:type="dxa"/>
            </w:tcMar>
            <w:vAlign w:val="bottom"/>
          </w:tcPr>
          <w:p w14:paraId="71F3EF48"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4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(3,663)</w:t>
            </w:r>
          </w:p>
        </w:tc>
        <w:tc>
          <w:tcPr>
            <w:tcW w:w="345" w:type="dxa"/>
            <w:tcBorders>
              <w:top w:val="nil"/>
              <w:left w:val="nil"/>
              <w:bottom w:val="nil"/>
              <w:right w:val="nil"/>
              <w:tl2br w:val="nil"/>
              <w:tr2bl w:val="nil"/>
            </w:tcBorders>
            <w:noWrap/>
            <w:tcMar>
              <w:left w:w="0" w:type="dxa"/>
              <w:right w:w="0" w:type="dxa"/>
            </w:tcMar>
            <w:vAlign w:val="bottom"/>
          </w:tcPr>
          <w:p w14:paraId="71F3EF4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4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(5,799)</w:t>
            </w:r>
          </w:p>
        </w:tc>
        <w:tc>
          <w:tcPr>
            <w:tcW w:w="345" w:type="dxa"/>
            <w:tcBorders>
              <w:top w:val="nil"/>
              <w:left w:val="nil"/>
              <w:bottom w:val="nil"/>
              <w:right w:val="nil"/>
              <w:tl2br w:val="nil"/>
              <w:tr2bl w:val="nil"/>
            </w:tcBorders>
            <w:noWrap/>
            <w:tcMar>
              <w:left w:w="0" w:type="dxa"/>
              <w:right w:w="0" w:type="dxa"/>
            </w:tcMar>
            <w:vAlign w:val="bottom"/>
          </w:tcPr>
          <w:p w14:paraId="71F3EF4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4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(5,323)</w:t>
            </w:r>
          </w:p>
        </w:tc>
      </w:tr>
      <w:tr w:rsidR="00510CAA" w14:paraId="71F3EF5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4F" w14:textId="77777777" w:rsidR="00510CAA" w:rsidRDefault="003A4815">
            <w:pPr>
              <w:keepNext/>
              <w:rPr>
                <w:rFonts w:ascii="Arial" w:eastAsia="Arial" w:hAnsi="Arial" w:cs="Arial"/>
                <w:color w:val="000000"/>
                <w:sz w:val="18"/>
              </w:rPr>
            </w:pPr>
            <w:r>
              <w:rPr>
                <w:rFonts w:ascii="Arial" w:eastAsia="Arial" w:hAnsi="Arial" w:cs="Arial"/>
                <w:color w:val="000000"/>
                <w:sz w:val="18"/>
              </w:rPr>
              <w:t>Other operating loss/(income)</w:t>
            </w:r>
          </w:p>
        </w:tc>
        <w:tc>
          <w:tcPr>
            <w:tcW w:w="210" w:type="dxa"/>
            <w:tcBorders>
              <w:top w:val="nil"/>
              <w:left w:val="nil"/>
              <w:bottom w:val="nil"/>
              <w:right w:val="nil"/>
              <w:tl2br w:val="nil"/>
              <w:tr2bl w:val="nil"/>
            </w:tcBorders>
            <w:noWrap/>
            <w:tcMar>
              <w:left w:w="0" w:type="dxa"/>
              <w:right w:w="0" w:type="dxa"/>
            </w:tcMar>
            <w:vAlign w:val="bottom"/>
          </w:tcPr>
          <w:p w14:paraId="71F3EF50"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100" w:type="dxa"/>
            </w:tcMar>
            <w:vAlign w:val="bottom"/>
          </w:tcPr>
          <w:p w14:paraId="71F3EF5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538</w:t>
            </w:r>
          </w:p>
        </w:tc>
        <w:tc>
          <w:tcPr>
            <w:tcW w:w="345" w:type="dxa"/>
            <w:tcBorders>
              <w:top w:val="nil"/>
              <w:left w:val="nil"/>
              <w:bottom w:val="nil"/>
              <w:right w:val="nil"/>
              <w:tl2br w:val="nil"/>
              <w:tr2bl w:val="nil"/>
            </w:tcBorders>
            <w:noWrap/>
            <w:tcMar>
              <w:left w:w="0" w:type="dxa"/>
              <w:right w:w="0" w:type="dxa"/>
            </w:tcMar>
            <w:vAlign w:val="bottom"/>
          </w:tcPr>
          <w:p w14:paraId="71F3EF52"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F5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(422)</w:t>
            </w:r>
          </w:p>
        </w:tc>
        <w:tc>
          <w:tcPr>
            <w:tcW w:w="345" w:type="dxa"/>
            <w:tcBorders>
              <w:top w:val="nil"/>
              <w:left w:val="nil"/>
              <w:bottom w:val="nil"/>
              <w:right w:val="nil"/>
              <w:tl2br w:val="nil"/>
              <w:tr2bl w:val="nil"/>
            </w:tcBorders>
            <w:noWrap/>
            <w:tcMar>
              <w:left w:w="0" w:type="dxa"/>
              <w:right w:w="0" w:type="dxa"/>
            </w:tcMar>
            <w:vAlign w:val="bottom"/>
          </w:tcPr>
          <w:p w14:paraId="71F3EF54"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F5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(1,464)</w:t>
            </w:r>
          </w:p>
        </w:tc>
      </w:tr>
      <w:tr w:rsidR="00510CAA" w14:paraId="71F3EF5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tcMar>
              <w:left w:w="0" w:type="dxa"/>
              <w:right w:w="0" w:type="dxa"/>
            </w:tcMar>
            <w:vAlign w:val="bottom"/>
          </w:tcPr>
          <w:p w14:paraId="71F3EF57"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tcMar>
              <w:left w:w="40" w:type="dxa"/>
              <w:right w:w="40" w:type="dxa"/>
            </w:tcMar>
            <w:vAlign w:val="bottom"/>
          </w:tcPr>
          <w:p w14:paraId="71F3EF58" w14:textId="77777777" w:rsidR="00510CAA" w:rsidRDefault="003A4815">
            <w:pPr>
              <w:keepNext/>
              <w:rPr>
                <w:rFonts w:ascii="Arial" w:eastAsia="Arial" w:hAnsi="Arial" w:cs="Arial"/>
                <w:b/>
                <w:color w:val="000000"/>
                <w:sz w:val="18"/>
              </w:rPr>
            </w:pPr>
            <w:r>
              <w:rPr>
                <w:rFonts w:ascii="Arial" w:eastAsia="Arial" w:hAnsi="Arial" w:cs="Arial"/>
                <w:b/>
                <w:color w:val="000000"/>
                <w:sz w:val="18"/>
              </w:rPr>
              <w:t>Operating income, total</w:t>
            </w:r>
          </w:p>
        </w:tc>
        <w:tc>
          <w:tcPr>
            <w:tcW w:w="210" w:type="dxa"/>
            <w:tcBorders>
              <w:top w:val="nil"/>
              <w:left w:val="nil"/>
              <w:bottom w:val="nil"/>
              <w:right w:val="nil"/>
              <w:tl2br w:val="nil"/>
              <w:tr2bl w:val="nil"/>
            </w:tcBorders>
            <w:noWrap/>
            <w:tcMar>
              <w:left w:w="40" w:type="dxa"/>
              <w:right w:w="40" w:type="dxa"/>
            </w:tcMar>
            <w:vAlign w:val="bottom"/>
          </w:tcPr>
          <w:p w14:paraId="71F3EF59"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EF5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42,190</w:t>
            </w:r>
          </w:p>
        </w:tc>
        <w:tc>
          <w:tcPr>
            <w:tcW w:w="345" w:type="dxa"/>
            <w:tcBorders>
              <w:top w:val="nil"/>
              <w:left w:val="nil"/>
              <w:bottom w:val="nil"/>
              <w:right w:val="nil"/>
              <w:tl2br w:val="nil"/>
              <w:tr2bl w:val="nil"/>
            </w:tcBorders>
            <w:noWrap/>
            <w:tcMar>
              <w:left w:w="40" w:type="dxa"/>
              <w:right w:w="100" w:type="dxa"/>
            </w:tcMar>
            <w:vAlign w:val="bottom"/>
          </w:tcPr>
          <w:p w14:paraId="71F3EF5B"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EF5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58,778</w:t>
            </w:r>
          </w:p>
        </w:tc>
        <w:tc>
          <w:tcPr>
            <w:tcW w:w="345" w:type="dxa"/>
            <w:tcBorders>
              <w:top w:val="nil"/>
              <w:left w:val="nil"/>
              <w:bottom w:val="nil"/>
              <w:right w:val="nil"/>
              <w:tl2br w:val="nil"/>
              <w:tr2bl w:val="nil"/>
            </w:tcBorders>
            <w:noWrap/>
            <w:tcMar>
              <w:left w:w="40" w:type="dxa"/>
              <w:right w:w="100" w:type="dxa"/>
            </w:tcMar>
            <w:vAlign w:val="bottom"/>
          </w:tcPr>
          <w:p w14:paraId="71F3EF5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EF5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85,712</w:t>
            </w:r>
          </w:p>
        </w:tc>
      </w:tr>
      <w:tr w:rsidR="00510CAA" w14:paraId="71F3EF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tcMar>
              <w:left w:w="0" w:type="dxa"/>
              <w:right w:w="0" w:type="dxa"/>
            </w:tcMar>
            <w:vAlign w:val="bottom"/>
          </w:tcPr>
          <w:p w14:paraId="71F3EF60"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tcMar>
              <w:left w:w="0" w:type="dxa"/>
              <w:right w:w="0" w:type="dxa"/>
            </w:tcMar>
            <w:vAlign w:val="bottom"/>
          </w:tcPr>
          <w:p w14:paraId="71F3EF61" w14:textId="77777777" w:rsidR="00510CAA" w:rsidRDefault="00510CAA">
            <w:pPr>
              <w:keepNext/>
              <w:rPr>
                <w:rFonts w:ascii="Arial" w:eastAsia="Arial" w:hAnsi="Arial" w:cs="Arial"/>
                <w:b/>
                <w:color w:val="000000"/>
                <w:sz w:val="18"/>
              </w:rPr>
            </w:pPr>
          </w:p>
        </w:tc>
        <w:tc>
          <w:tcPr>
            <w:tcW w:w="210" w:type="dxa"/>
            <w:tcBorders>
              <w:top w:val="nil"/>
              <w:left w:val="nil"/>
              <w:bottom w:val="nil"/>
              <w:right w:val="nil"/>
              <w:tl2br w:val="nil"/>
              <w:tr2bl w:val="nil"/>
            </w:tcBorders>
            <w:noWrap/>
            <w:tcMar>
              <w:left w:w="0" w:type="dxa"/>
              <w:right w:w="0" w:type="dxa"/>
            </w:tcMar>
            <w:vAlign w:val="bottom"/>
          </w:tcPr>
          <w:p w14:paraId="71F3EF62"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EF63"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64"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EF65"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66"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EF67" w14:textId="77777777" w:rsidR="00510CAA" w:rsidRDefault="00510CAA">
            <w:pPr>
              <w:keepNext/>
              <w:rPr>
                <w:rFonts w:ascii="Arial" w:eastAsia="Arial" w:hAnsi="Arial" w:cs="Arial"/>
                <w:color w:val="000000"/>
                <w:sz w:val="18"/>
              </w:rPr>
            </w:pPr>
          </w:p>
        </w:tc>
      </w:tr>
      <w:tr w:rsidR="00510CAA" w14:paraId="71F3EF7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69" w14:textId="77777777" w:rsidR="00510CAA" w:rsidRDefault="003A4815">
            <w:pPr>
              <w:keepNext/>
              <w:rPr>
                <w:rFonts w:ascii="Arial" w:eastAsia="Arial" w:hAnsi="Arial" w:cs="Arial"/>
                <w:b/>
                <w:color w:val="000000"/>
                <w:sz w:val="18"/>
              </w:rPr>
            </w:pPr>
            <w:r>
              <w:rPr>
                <w:rFonts w:ascii="Arial" w:eastAsia="Arial" w:hAnsi="Arial" w:cs="Arial"/>
                <w:b/>
                <w:color w:val="000000"/>
                <w:sz w:val="18"/>
              </w:rPr>
              <w:t>OTHER INCOME/(EXPENSE)</w:t>
            </w:r>
          </w:p>
        </w:tc>
        <w:tc>
          <w:tcPr>
            <w:tcW w:w="210" w:type="dxa"/>
            <w:tcBorders>
              <w:top w:val="nil"/>
              <w:left w:val="nil"/>
              <w:bottom w:val="nil"/>
              <w:right w:val="nil"/>
              <w:tl2br w:val="nil"/>
              <w:tr2bl w:val="nil"/>
            </w:tcBorders>
            <w:noWrap/>
            <w:tcMar>
              <w:left w:w="0" w:type="dxa"/>
              <w:right w:w="0" w:type="dxa"/>
            </w:tcMar>
            <w:vAlign w:val="bottom"/>
          </w:tcPr>
          <w:p w14:paraId="71F3EF6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6B"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6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6D" w14:textId="77777777" w:rsidR="00510CAA" w:rsidRDefault="00510CAA">
            <w:pPr>
              <w:keepNext/>
              <w:rPr>
                <w:rFonts w:ascii="Arial" w:eastAsia="Arial" w:hAnsi="Arial" w:cs="Arial"/>
                <w:color w:val="000000"/>
                <w:sz w:val="18"/>
              </w:rPr>
            </w:pPr>
          </w:p>
        </w:tc>
        <w:tc>
          <w:tcPr>
            <w:tcW w:w="345" w:type="dxa"/>
            <w:tcBorders>
              <w:top w:val="nil"/>
              <w:left w:val="nil"/>
              <w:bottom w:val="nil"/>
              <w:right w:val="nil"/>
              <w:tl2br w:val="nil"/>
              <w:tr2bl w:val="nil"/>
            </w:tcBorders>
            <w:noWrap/>
            <w:tcMar>
              <w:left w:w="0" w:type="dxa"/>
              <w:right w:w="0" w:type="dxa"/>
            </w:tcMar>
            <w:vAlign w:val="bottom"/>
          </w:tcPr>
          <w:p w14:paraId="71F3EF6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EF6F" w14:textId="77777777" w:rsidR="00510CAA" w:rsidRDefault="00510CAA">
            <w:pPr>
              <w:keepNext/>
              <w:rPr>
                <w:rFonts w:ascii="Arial" w:eastAsia="Arial" w:hAnsi="Arial" w:cs="Arial"/>
                <w:color w:val="000000"/>
                <w:sz w:val="18"/>
              </w:rPr>
            </w:pPr>
          </w:p>
        </w:tc>
      </w:tr>
      <w:tr w:rsidR="00510CAA" w14:paraId="71F3EF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71" w14:textId="77777777" w:rsidR="00510CAA" w:rsidRDefault="003A4815">
            <w:pPr>
              <w:keepNext/>
              <w:rPr>
                <w:rFonts w:ascii="Arial" w:eastAsia="Arial" w:hAnsi="Arial" w:cs="Arial"/>
                <w:color w:val="000000"/>
                <w:sz w:val="18"/>
              </w:rPr>
            </w:pPr>
            <w:r>
              <w:rPr>
                <w:rFonts w:ascii="Arial" w:eastAsia="Arial" w:hAnsi="Arial" w:cs="Arial"/>
                <w:color w:val="000000"/>
                <w:sz w:val="18"/>
              </w:rPr>
              <w:t>Interest expense and finance costs (Note 12)</w:t>
            </w:r>
          </w:p>
        </w:tc>
        <w:tc>
          <w:tcPr>
            <w:tcW w:w="210" w:type="dxa"/>
            <w:tcBorders>
              <w:top w:val="nil"/>
              <w:left w:val="nil"/>
              <w:bottom w:val="nil"/>
              <w:right w:val="nil"/>
              <w:tl2br w:val="nil"/>
              <w:tr2bl w:val="nil"/>
            </w:tcBorders>
            <w:noWrap/>
            <w:tcMar>
              <w:left w:w="0" w:type="dxa"/>
              <w:right w:w="0" w:type="dxa"/>
            </w:tcMar>
            <w:vAlign w:val="bottom"/>
          </w:tcPr>
          <w:p w14:paraId="71F3EF7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7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(42,951)</w:t>
            </w:r>
          </w:p>
        </w:tc>
        <w:tc>
          <w:tcPr>
            <w:tcW w:w="345" w:type="dxa"/>
            <w:tcBorders>
              <w:top w:val="nil"/>
              <w:left w:val="nil"/>
              <w:bottom w:val="nil"/>
              <w:right w:val="nil"/>
              <w:tl2br w:val="nil"/>
              <w:tr2bl w:val="nil"/>
            </w:tcBorders>
            <w:noWrap/>
            <w:tcMar>
              <w:left w:w="0" w:type="dxa"/>
              <w:right w:w="0" w:type="dxa"/>
            </w:tcMar>
            <w:vAlign w:val="bottom"/>
          </w:tcPr>
          <w:p w14:paraId="71F3EF7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7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(47,468)</w:t>
            </w:r>
          </w:p>
        </w:tc>
        <w:tc>
          <w:tcPr>
            <w:tcW w:w="345" w:type="dxa"/>
            <w:tcBorders>
              <w:top w:val="nil"/>
              <w:left w:val="nil"/>
              <w:bottom w:val="nil"/>
              <w:right w:val="nil"/>
              <w:tl2br w:val="nil"/>
              <w:tr2bl w:val="nil"/>
            </w:tcBorders>
            <w:noWrap/>
            <w:tcMar>
              <w:left w:w="0" w:type="dxa"/>
              <w:right w:w="0" w:type="dxa"/>
            </w:tcMar>
            <w:vAlign w:val="bottom"/>
          </w:tcPr>
          <w:p w14:paraId="71F3EF7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7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(49,331)</w:t>
            </w:r>
          </w:p>
        </w:tc>
      </w:tr>
      <w:tr w:rsidR="00510CAA" w14:paraId="71F3EF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79" w14:textId="77777777" w:rsidR="00510CAA" w:rsidRDefault="003A4815">
            <w:pPr>
              <w:keepNext/>
              <w:rPr>
                <w:rFonts w:ascii="Arial" w:eastAsia="Arial" w:hAnsi="Arial" w:cs="Arial"/>
                <w:color w:val="000000"/>
                <w:sz w:val="18"/>
              </w:rPr>
            </w:pPr>
            <w:r>
              <w:rPr>
                <w:rFonts w:ascii="Arial" w:eastAsia="Arial" w:hAnsi="Arial" w:cs="Arial"/>
                <w:color w:val="000000"/>
                <w:sz w:val="18"/>
              </w:rPr>
              <w:t>Interest and other income</w:t>
            </w:r>
          </w:p>
        </w:tc>
        <w:tc>
          <w:tcPr>
            <w:tcW w:w="210" w:type="dxa"/>
            <w:tcBorders>
              <w:top w:val="nil"/>
              <w:left w:val="nil"/>
              <w:bottom w:val="nil"/>
              <w:right w:val="nil"/>
              <w:tl2br w:val="nil"/>
              <w:tr2bl w:val="nil"/>
            </w:tcBorders>
            <w:noWrap/>
            <w:tcMar>
              <w:left w:w="0" w:type="dxa"/>
              <w:right w:w="0" w:type="dxa"/>
            </w:tcMar>
            <w:vAlign w:val="bottom"/>
          </w:tcPr>
          <w:p w14:paraId="71F3EF7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7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7,505</w:t>
            </w:r>
          </w:p>
        </w:tc>
        <w:tc>
          <w:tcPr>
            <w:tcW w:w="345" w:type="dxa"/>
            <w:tcBorders>
              <w:top w:val="nil"/>
              <w:left w:val="nil"/>
              <w:bottom w:val="nil"/>
              <w:right w:val="nil"/>
              <w:tl2br w:val="nil"/>
              <w:tr2bl w:val="nil"/>
            </w:tcBorders>
            <w:noWrap/>
            <w:tcMar>
              <w:left w:w="0" w:type="dxa"/>
              <w:right w:w="0" w:type="dxa"/>
            </w:tcMar>
            <w:vAlign w:val="bottom"/>
          </w:tcPr>
          <w:p w14:paraId="71F3EF7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7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8,369</w:t>
            </w:r>
          </w:p>
        </w:tc>
        <w:tc>
          <w:tcPr>
            <w:tcW w:w="345" w:type="dxa"/>
            <w:tcBorders>
              <w:top w:val="nil"/>
              <w:left w:val="nil"/>
              <w:bottom w:val="nil"/>
              <w:right w:val="nil"/>
              <w:tl2br w:val="nil"/>
              <w:tr2bl w:val="nil"/>
            </w:tcBorders>
            <w:noWrap/>
            <w:tcMar>
              <w:left w:w="0" w:type="dxa"/>
              <w:right w:w="0" w:type="dxa"/>
            </w:tcMar>
            <w:vAlign w:val="bottom"/>
          </w:tcPr>
          <w:p w14:paraId="71F3EF7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7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8,170</w:t>
            </w:r>
          </w:p>
        </w:tc>
      </w:tr>
      <w:tr w:rsidR="00510CAA" w14:paraId="71F3EF8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81" w14:textId="77777777" w:rsidR="00510CAA" w:rsidRDefault="003A4815">
            <w:pPr>
              <w:keepNext/>
              <w:rPr>
                <w:rFonts w:ascii="Arial" w:eastAsia="Arial" w:hAnsi="Arial" w:cs="Arial"/>
                <w:color w:val="000000"/>
                <w:sz w:val="18"/>
              </w:rPr>
            </w:pPr>
            <w:r>
              <w:rPr>
                <w:rFonts w:ascii="Arial" w:eastAsia="Arial" w:hAnsi="Arial" w:cs="Arial"/>
                <w:color w:val="000000"/>
                <w:sz w:val="18"/>
              </w:rPr>
              <w:t>Gain/(loss) on derivative instruments (Note 8)</w:t>
            </w:r>
          </w:p>
        </w:tc>
        <w:tc>
          <w:tcPr>
            <w:tcW w:w="210" w:type="dxa"/>
            <w:tcBorders>
              <w:top w:val="nil"/>
              <w:left w:val="nil"/>
              <w:bottom w:val="nil"/>
              <w:right w:val="nil"/>
              <w:tl2br w:val="nil"/>
              <w:tr2bl w:val="nil"/>
            </w:tcBorders>
            <w:noWrap/>
            <w:tcMar>
              <w:left w:w="0" w:type="dxa"/>
              <w:right w:w="0" w:type="dxa"/>
            </w:tcMar>
            <w:vAlign w:val="bottom"/>
          </w:tcPr>
          <w:p w14:paraId="71F3EF8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8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(196)</w:t>
            </w:r>
          </w:p>
        </w:tc>
        <w:tc>
          <w:tcPr>
            <w:tcW w:w="345" w:type="dxa"/>
            <w:tcBorders>
              <w:top w:val="nil"/>
              <w:left w:val="nil"/>
              <w:bottom w:val="nil"/>
              <w:right w:val="nil"/>
              <w:tl2br w:val="nil"/>
              <w:tr2bl w:val="nil"/>
            </w:tcBorders>
            <w:noWrap/>
            <w:tcMar>
              <w:left w:w="0" w:type="dxa"/>
              <w:right w:w="0" w:type="dxa"/>
            </w:tcMar>
            <w:vAlign w:val="bottom"/>
          </w:tcPr>
          <w:p w14:paraId="71F3EF8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8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274</w:t>
            </w:r>
          </w:p>
        </w:tc>
        <w:tc>
          <w:tcPr>
            <w:tcW w:w="345" w:type="dxa"/>
            <w:tcBorders>
              <w:top w:val="nil"/>
              <w:left w:val="nil"/>
              <w:bottom w:val="nil"/>
              <w:right w:val="nil"/>
              <w:tl2br w:val="nil"/>
              <w:tr2bl w:val="nil"/>
            </w:tcBorders>
            <w:noWrap/>
            <w:tcMar>
              <w:left w:w="0" w:type="dxa"/>
              <w:right w:w="0" w:type="dxa"/>
            </w:tcMar>
            <w:vAlign w:val="bottom"/>
          </w:tcPr>
          <w:p w14:paraId="71F3EF8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8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(439)</w:t>
            </w:r>
          </w:p>
        </w:tc>
      </w:tr>
      <w:tr w:rsidR="00510CAA" w14:paraId="71F3EF9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89" w14:textId="77777777" w:rsidR="00510CAA" w:rsidRDefault="003A4815">
            <w:pPr>
              <w:keepNext/>
              <w:rPr>
                <w:rFonts w:ascii="Arial" w:eastAsia="Arial" w:hAnsi="Arial" w:cs="Arial"/>
                <w:color w:val="000000"/>
                <w:sz w:val="18"/>
              </w:rPr>
            </w:pPr>
            <w:r>
              <w:rPr>
                <w:rFonts w:ascii="Arial" w:eastAsia="Arial" w:hAnsi="Arial" w:cs="Arial"/>
                <w:color w:val="000000"/>
                <w:sz w:val="18"/>
              </w:rPr>
              <w:t>Loss on extinguishment of debt (Note 8)</w:t>
            </w:r>
          </w:p>
        </w:tc>
        <w:tc>
          <w:tcPr>
            <w:tcW w:w="210" w:type="dxa"/>
            <w:tcBorders>
              <w:top w:val="nil"/>
              <w:left w:val="nil"/>
              <w:bottom w:val="nil"/>
              <w:right w:val="nil"/>
              <w:tl2br w:val="nil"/>
              <w:tr2bl w:val="nil"/>
            </w:tcBorders>
            <w:noWrap/>
            <w:tcMar>
              <w:left w:w="0" w:type="dxa"/>
              <w:right w:w="0" w:type="dxa"/>
            </w:tcMar>
            <w:vAlign w:val="bottom"/>
          </w:tcPr>
          <w:p w14:paraId="71F3EF8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8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345" w:type="dxa"/>
            <w:tcBorders>
              <w:top w:val="nil"/>
              <w:left w:val="nil"/>
              <w:bottom w:val="nil"/>
              <w:right w:val="nil"/>
              <w:tl2br w:val="nil"/>
              <w:tr2bl w:val="nil"/>
            </w:tcBorders>
            <w:noWrap/>
            <w:tcMar>
              <w:left w:w="0" w:type="dxa"/>
              <w:right w:w="0" w:type="dxa"/>
            </w:tcMar>
            <w:vAlign w:val="bottom"/>
          </w:tcPr>
          <w:p w14:paraId="71F3EF8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8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(3,475)</w:t>
            </w:r>
          </w:p>
        </w:tc>
        <w:tc>
          <w:tcPr>
            <w:tcW w:w="345" w:type="dxa"/>
            <w:tcBorders>
              <w:top w:val="nil"/>
              <w:left w:val="nil"/>
              <w:bottom w:val="nil"/>
              <w:right w:val="nil"/>
              <w:tl2br w:val="nil"/>
              <w:tr2bl w:val="nil"/>
            </w:tcBorders>
            <w:noWrap/>
            <w:tcMar>
              <w:left w:w="0" w:type="dxa"/>
              <w:right w:w="0" w:type="dxa"/>
            </w:tcMar>
            <w:vAlign w:val="bottom"/>
          </w:tcPr>
          <w:p w14:paraId="71F3EF8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8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(748)</w:t>
            </w:r>
          </w:p>
        </w:tc>
      </w:tr>
      <w:tr w:rsidR="00510CAA" w14:paraId="71F3EF9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91" w14:textId="77777777" w:rsidR="00510CAA" w:rsidRDefault="003A4815">
            <w:pPr>
              <w:keepNext/>
              <w:rPr>
                <w:rFonts w:ascii="Arial" w:eastAsia="Arial" w:hAnsi="Arial" w:cs="Arial"/>
                <w:color w:val="000000"/>
                <w:sz w:val="18"/>
              </w:rPr>
            </w:pPr>
            <w:r>
              <w:rPr>
                <w:rFonts w:ascii="Arial" w:eastAsia="Arial" w:hAnsi="Arial" w:cs="Arial"/>
                <w:color w:val="000000"/>
                <w:sz w:val="18"/>
              </w:rPr>
              <w:t>Gain on deconsolidation of subsidiary (Note 4 (b))</w:t>
            </w:r>
          </w:p>
        </w:tc>
        <w:tc>
          <w:tcPr>
            <w:tcW w:w="210" w:type="dxa"/>
            <w:tcBorders>
              <w:top w:val="nil"/>
              <w:left w:val="nil"/>
              <w:bottom w:val="nil"/>
              <w:right w:val="nil"/>
              <w:tl2br w:val="nil"/>
              <w:tr2bl w:val="nil"/>
            </w:tcBorders>
            <w:noWrap/>
            <w:tcMar>
              <w:left w:w="0" w:type="dxa"/>
              <w:right w:w="0" w:type="dxa"/>
            </w:tcMar>
            <w:vAlign w:val="bottom"/>
          </w:tcPr>
          <w:p w14:paraId="71F3EF9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9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345" w:type="dxa"/>
            <w:tcBorders>
              <w:top w:val="nil"/>
              <w:left w:val="nil"/>
              <w:bottom w:val="nil"/>
              <w:right w:val="nil"/>
              <w:tl2br w:val="nil"/>
              <w:tr2bl w:val="nil"/>
            </w:tcBorders>
            <w:noWrap/>
            <w:tcMar>
              <w:left w:w="0" w:type="dxa"/>
              <w:right w:w="0" w:type="dxa"/>
            </w:tcMar>
            <w:vAlign w:val="bottom"/>
          </w:tcPr>
          <w:p w14:paraId="71F3EF9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9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345" w:type="dxa"/>
            <w:tcBorders>
              <w:top w:val="nil"/>
              <w:left w:val="nil"/>
              <w:bottom w:val="nil"/>
              <w:right w:val="nil"/>
              <w:tl2br w:val="nil"/>
              <w:tr2bl w:val="nil"/>
            </w:tcBorders>
            <w:noWrap/>
            <w:tcMar>
              <w:left w:w="0" w:type="dxa"/>
              <w:right w:w="0" w:type="dxa"/>
            </w:tcMar>
            <w:vAlign w:val="bottom"/>
          </w:tcPr>
          <w:p w14:paraId="71F3EF9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9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844</w:t>
            </w:r>
          </w:p>
        </w:tc>
      </w:tr>
      <w:tr w:rsidR="00510CAA" w14:paraId="71F3EFA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99" w14:textId="77777777" w:rsidR="00510CAA" w:rsidRDefault="003A4815">
            <w:pPr>
              <w:keepNext/>
              <w:rPr>
                <w:rFonts w:ascii="Arial" w:eastAsia="Arial" w:hAnsi="Arial" w:cs="Arial"/>
                <w:color w:val="000000"/>
                <w:sz w:val="18"/>
              </w:rPr>
            </w:pPr>
            <w:r>
              <w:rPr>
                <w:rFonts w:ascii="Arial" w:eastAsia="Arial" w:hAnsi="Arial" w:cs="Arial"/>
                <w:color w:val="000000"/>
                <w:sz w:val="18"/>
              </w:rPr>
              <w:t>Gain/(loss) on related party investments (Note 5(a))</w:t>
            </w:r>
          </w:p>
        </w:tc>
        <w:tc>
          <w:tcPr>
            <w:tcW w:w="210" w:type="dxa"/>
            <w:tcBorders>
              <w:top w:val="nil"/>
              <w:left w:val="nil"/>
              <w:bottom w:val="nil"/>
              <w:right w:val="nil"/>
              <w:tl2br w:val="nil"/>
              <w:tr2bl w:val="nil"/>
            </w:tcBorders>
            <w:noWrap/>
            <w:tcMar>
              <w:left w:w="0" w:type="dxa"/>
              <w:right w:w="0" w:type="dxa"/>
            </w:tcMar>
            <w:vAlign w:val="bottom"/>
          </w:tcPr>
          <w:p w14:paraId="71F3EF9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9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(1,072)</w:t>
            </w:r>
          </w:p>
        </w:tc>
        <w:tc>
          <w:tcPr>
            <w:tcW w:w="345" w:type="dxa"/>
            <w:tcBorders>
              <w:top w:val="nil"/>
              <w:left w:val="nil"/>
              <w:bottom w:val="nil"/>
              <w:right w:val="nil"/>
              <w:tl2br w:val="nil"/>
              <w:tr2bl w:val="nil"/>
            </w:tcBorders>
            <w:noWrap/>
            <w:tcMar>
              <w:left w:w="0" w:type="dxa"/>
              <w:right w:w="0" w:type="dxa"/>
            </w:tcMar>
            <w:vAlign w:val="bottom"/>
          </w:tcPr>
          <w:p w14:paraId="71F3EF9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9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(3,905)</w:t>
            </w:r>
          </w:p>
        </w:tc>
        <w:tc>
          <w:tcPr>
            <w:tcW w:w="345" w:type="dxa"/>
            <w:tcBorders>
              <w:top w:val="nil"/>
              <w:left w:val="nil"/>
              <w:bottom w:val="nil"/>
              <w:right w:val="nil"/>
              <w:tl2br w:val="nil"/>
              <w:tr2bl w:val="nil"/>
            </w:tcBorders>
            <w:noWrap/>
            <w:tcMar>
              <w:left w:w="0" w:type="dxa"/>
              <w:right w:w="0" w:type="dxa"/>
            </w:tcMar>
            <w:vAlign w:val="bottom"/>
          </w:tcPr>
          <w:p w14:paraId="71F3EF9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9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1,502</w:t>
            </w:r>
          </w:p>
        </w:tc>
      </w:tr>
      <w:tr w:rsidR="00510CAA" w14:paraId="71F3EFA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A1" w14:textId="77777777" w:rsidR="00510CAA" w:rsidRDefault="003A4815">
            <w:pPr>
              <w:keepNext/>
              <w:rPr>
                <w:rFonts w:ascii="Arial" w:eastAsia="Arial" w:hAnsi="Arial" w:cs="Arial"/>
                <w:color w:val="000000"/>
                <w:sz w:val="18"/>
              </w:rPr>
            </w:pPr>
            <w:r>
              <w:rPr>
                <w:rFonts w:ascii="Arial" w:eastAsia="Arial" w:hAnsi="Arial" w:cs="Arial"/>
                <w:color w:val="000000"/>
                <w:sz w:val="18"/>
              </w:rPr>
              <w:t>Gain/(loss) on equity securities (Note 5(b))</w:t>
            </w:r>
          </w:p>
        </w:tc>
        <w:tc>
          <w:tcPr>
            <w:tcW w:w="210" w:type="dxa"/>
            <w:tcBorders>
              <w:top w:val="nil"/>
              <w:left w:val="nil"/>
              <w:bottom w:val="nil"/>
              <w:right w:val="nil"/>
              <w:tl2br w:val="nil"/>
              <w:tr2bl w:val="nil"/>
            </w:tcBorders>
            <w:noWrap/>
            <w:tcMar>
              <w:left w:w="0" w:type="dxa"/>
              <w:right w:w="0" w:type="dxa"/>
            </w:tcMar>
            <w:vAlign w:val="bottom"/>
          </w:tcPr>
          <w:p w14:paraId="71F3EFA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A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14,671</w:t>
            </w:r>
          </w:p>
        </w:tc>
        <w:tc>
          <w:tcPr>
            <w:tcW w:w="345" w:type="dxa"/>
            <w:tcBorders>
              <w:top w:val="nil"/>
              <w:left w:val="nil"/>
              <w:bottom w:val="nil"/>
              <w:right w:val="nil"/>
              <w:tl2br w:val="nil"/>
              <w:tr2bl w:val="nil"/>
            </w:tcBorders>
            <w:noWrap/>
            <w:tcMar>
              <w:left w:w="0" w:type="dxa"/>
              <w:right w:w="0" w:type="dxa"/>
            </w:tcMar>
            <w:vAlign w:val="bottom"/>
          </w:tcPr>
          <w:p w14:paraId="71F3EFA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40" w:type="dxa"/>
            </w:tcMar>
            <w:vAlign w:val="bottom"/>
          </w:tcPr>
          <w:p w14:paraId="71F3EFA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(400)</w:t>
            </w:r>
          </w:p>
        </w:tc>
        <w:tc>
          <w:tcPr>
            <w:tcW w:w="345" w:type="dxa"/>
            <w:tcBorders>
              <w:top w:val="nil"/>
              <w:left w:val="nil"/>
              <w:bottom w:val="nil"/>
              <w:right w:val="nil"/>
              <w:tl2br w:val="nil"/>
              <w:tr2bl w:val="nil"/>
            </w:tcBorders>
            <w:noWrap/>
            <w:tcMar>
              <w:left w:w="0" w:type="dxa"/>
              <w:right w:w="0" w:type="dxa"/>
            </w:tcMar>
            <w:vAlign w:val="bottom"/>
          </w:tcPr>
          <w:p w14:paraId="71F3EFA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A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2,813</w:t>
            </w:r>
          </w:p>
        </w:tc>
      </w:tr>
      <w:tr w:rsidR="00510CAA" w14:paraId="71F3EFB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A9" w14:textId="77777777" w:rsidR="00510CAA" w:rsidRDefault="003A4815">
            <w:pPr>
              <w:keepNext/>
              <w:rPr>
                <w:rFonts w:ascii="Arial" w:eastAsia="Arial" w:hAnsi="Arial" w:cs="Arial"/>
                <w:color w:val="000000"/>
                <w:sz w:val="18"/>
              </w:rPr>
            </w:pPr>
            <w:r>
              <w:rPr>
                <w:rFonts w:ascii="Arial" w:eastAsia="Arial" w:hAnsi="Arial" w:cs="Arial"/>
                <w:color w:val="000000"/>
                <w:sz w:val="18"/>
              </w:rPr>
              <w:t>Gain on warrants (Note 11(h))</w:t>
            </w:r>
          </w:p>
        </w:tc>
        <w:tc>
          <w:tcPr>
            <w:tcW w:w="210" w:type="dxa"/>
            <w:tcBorders>
              <w:top w:val="nil"/>
              <w:left w:val="nil"/>
              <w:bottom w:val="nil"/>
              <w:right w:val="nil"/>
              <w:tl2br w:val="nil"/>
              <w:tr2bl w:val="nil"/>
            </w:tcBorders>
            <w:noWrap/>
            <w:tcMar>
              <w:left w:w="0" w:type="dxa"/>
              <w:right w:w="0" w:type="dxa"/>
            </w:tcMar>
            <w:vAlign w:val="bottom"/>
          </w:tcPr>
          <w:p w14:paraId="71F3EFA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A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490</w:t>
            </w:r>
          </w:p>
        </w:tc>
        <w:tc>
          <w:tcPr>
            <w:tcW w:w="345" w:type="dxa"/>
            <w:tcBorders>
              <w:top w:val="nil"/>
              <w:left w:val="nil"/>
              <w:bottom w:val="nil"/>
              <w:right w:val="nil"/>
              <w:tl2br w:val="nil"/>
              <w:tr2bl w:val="nil"/>
            </w:tcBorders>
            <w:noWrap/>
            <w:tcMar>
              <w:left w:w="0" w:type="dxa"/>
              <w:right w:w="0" w:type="dxa"/>
            </w:tcMar>
            <w:vAlign w:val="bottom"/>
          </w:tcPr>
          <w:p w14:paraId="71F3EFA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A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719</w:t>
            </w:r>
          </w:p>
        </w:tc>
        <w:tc>
          <w:tcPr>
            <w:tcW w:w="345" w:type="dxa"/>
            <w:tcBorders>
              <w:top w:val="nil"/>
              <w:left w:val="nil"/>
              <w:bottom w:val="nil"/>
              <w:right w:val="nil"/>
              <w:tl2br w:val="nil"/>
              <w:tr2bl w:val="nil"/>
            </w:tcBorders>
            <w:noWrap/>
            <w:tcMar>
              <w:left w:w="0" w:type="dxa"/>
              <w:right w:w="0" w:type="dxa"/>
            </w:tcMar>
            <w:vAlign w:val="bottom"/>
          </w:tcPr>
          <w:p w14:paraId="71F3EFA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EFA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1,583</w:t>
            </w:r>
          </w:p>
        </w:tc>
      </w:tr>
      <w:tr w:rsidR="00510CAA" w14:paraId="71F3EFB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5190" w:type="dxa"/>
            <w:gridSpan w:val="2"/>
            <w:tcBorders>
              <w:top w:val="nil"/>
              <w:left w:val="nil"/>
              <w:bottom w:val="nil"/>
              <w:right w:val="nil"/>
              <w:tl2br w:val="nil"/>
              <w:tr2bl w:val="nil"/>
            </w:tcBorders>
            <w:tcMar>
              <w:left w:w="40" w:type="dxa"/>
              <w:right w:w="40" w:type="dxa"/>
            </w:tcMar>
            <w:vAlign w:val="bottom"/>
          </w:tcPr>
          <w:p w14:paraId="71F3EFB1" w14:textId="77777777" w:rsidR="00510CAA" w:rsidRDefault="003A4815">
            <w:pPr>
              <w:keepNext/>
              <w:rPr>
                <w:rFonts w:ascii="Arial" w:eastAsia="Arial" w:hAnsi="Arial" w:cs="Arial"/>
                <w:color w:val="000000"/>
                <w:sz w:val="18"/>
              </w:rPr>
            </w:pPr>
            <w:r>
              <w:rPr>
                <w:rFonts w:ascii="Arial" w:eastAsia="Arial" w:hAnsi="Arial" w:cs="Arial"/>
                <w:color w:val="000000"/>
                <w:sz w:val="18"/>
              </w:rPr>
              <w:t>Loss from equity method investments (Note 4)</w:t>
            </w:r>
          </w:p>
        </w:tc>
        <w:tc>
          <w:tcPr>
            <w:tcW w:w="210" w:type="dxa"/>
            <w:tcBorders>
              <w:top w:val="nil"/>
              <w:left w:val="nil"/>
              <w:bottom w:val="nil"/>
              <w:right w:val="nil"/>
              <w:tl2br w:val="nil"/>
              <w:tr2bl w:val="nil"/>
            </w:tcBorders>
            <w:noWrap/>
            <w:tcMar>
              <w:left w:w="0" w:type="dxa"/>
              <w:right w:w="0" w:type="dxa"/>
            </w:tcMar>
            <w:vAlign w:val="bottom"/>
          </w:tcPr>
          <w:p w14:paraId="71F3EFB2"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FB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(2,810)</w:t>
            </w:r>
          </w:p>
        </w:tc>
        <w:tc>
          <w:tcPr>
            <w:tcW w:w="345" w:type="dxa"/>
            <w:tcBorders>
              <w:top w:val="nil"/>
              <w:left w:val="nil"/>
              <w:bottom w:val="nil"/>
              <w:right w:val="nil"/>
              <w:tl2br w:val="nil"/>
              <w:tr2bl w:val="nil"/>
            </w:tcBorders>
            <w:noWrap/>
            <w:tcMar>
              <w:left w:w="0" w:type="dxa"/>
              <w:right w:w="0" w:type="dxa"/>
            </w:tcMar>
            <w:vAlign w:val="bottom"/>
          </w:tcPr>
          <w:p w14:paraId="71F3EFB4"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FB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(146)</w:t>
            </w:r>
          </w:p>
        </w:tc>
        <w:tc>
          <w:tcPr>
            <w:tcW w:w="345" w:type="dxa"/>
            <w:tcBorders>
              <w:top w:val="nil"/>
              <w:left w:val="nil"/>
              <w:bottom w:val="nil"/>
              <w:right w:val="nil"/>
              <w:tl2br w:val="nil"/>
              <w:tr2bl w:val="nil"/>
            </w:tcBorders>
            <w:noWrap/>
            <w:tcMar>
              <w:left w:w="0" w:type="dxa"/>
              <w:right w:w="0" w:type="dxa"/>
            </w:tcMar>
            <w:vAlign w:val="bottom"/>
          </w:tcPr>
          <w:p w14:paraId="71F3EFB6"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40" w:type="dxa"/>
            </w:tcMar>
            <w:vAlign w:val="bottom"/>
          </w:tcPr>
          <w:p w14:paraId="71F3EFB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(262)</w:t>
            </w:r>
          </w:p>
        </w:tc>
      </w:tr>
      <w:tr w:rsidR="00510CAA" w14:paraId="71F3EFC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285" w:type="dxa"/>
            <w:tcBorders>
              <w:top w:val="nil"/>
              <w:left w:val="nil"/>
              <w:bottom w:val="nil"/>
              <w:right w:val="nil"/>
              <w:tl2br w:val="nil"/>
              <w:tr2bl w:val="nil"/>
            </w:tcBorders>
            <w:tcMar>
              <w:left w:w="0" w:type="dxa"/>
              <w:right w:w="0" w:type="dxa"/>
            </w:tcMar>
            <w:vAlign w:val="bottom"/>
          </w:tcPr>
          <w:p w14:paraId="71F3EFB9" w14:textId="77777777" w:rsidR="00510CAA" w:rsidRDefault="00510CAA">
            <w:pPr>
              <w:keepNext/>
              <w:rPr>
                <w:rFonts w:ascii="Arial" w:eastAsia="Arial" w:hAnsi="Arial" w:cs="Arial"/>
                <w:b/>
                <w:color w:val="000000"/>
                <w:sz w:val="18"/>
              </w:rPr>
            </w:pPr>
          </w:p>
        </w:tc>
        <w:tc>
          <w:tcPr>
            <w:tcW w:w="4905" w:type="dxa"/>
            <w:tcBorders>
              <w:top w:val="nil"/>
              <w:left w:val="nil"/>
              <w:bottom w:val="nil"/>
              <w:right w:val="nil"/>
              <w:tl2br w:val="nil"/>
              <w:tr2bl w:val="nil"/>
            </w:tcBorders>
            <w:tcMar>
              <w:left w:w="40" w:type="dxa"/>
              <w:right w:w="40" w:type="dxa"/>
            </w:tcMar>
            <w:vAlign w:val="bottom"/>
          </w:tcPr>
          <w:p w14:paraId="71F3EFBA" w14:textId="77777777" w:rsidR="00510CAA" w:rsidRDefault="003A4815">
            <w:pPr>
              <w:keepNext/>
              <w:rPr>
                <w:rFonts w:ascii="Arial" w:eastAsia="Arial" w:hAnsi="Arial" w:cs="Arial"/>
                <w:b/>
                <w:color w:val="000000"/>
                <w:sz w:val="18"/>
              </w:rPr>
            </w:pPr>
            <w:r>
              <w:rPr>
                <w:rFonts w:ascii="Arial" w:eastAsia="Arial" w:hAnsi="Arial" w:cs="Arial"/>
                <w:b/>
                <w:color w:val="000000"/>
                <w:sz w:val="18"/>
              </w:rPr>
              <w:t>Total other expenses, net</w:t>
            </w:r>
          </w:p>
        </w:tc>
        <w:tc>
          <w:tcPr>
            <w:tcW w:w="210" w:type="dxa"/>
            <w:tcBorders>
              <w:top w:val="nil"/>
              <w:left w:val="nil"/>
              <w:bottom w:val="nil"/>
              <w:right w:val="nil"/>
              <w:tl2br w:val="nil"/>
              <w:tr2bl w:val="nil"/>
            </w:tcBorders>
            <w:noWrap/>
            <w:tcMar>
              <w:left w:w="40" w:type="dxa"/>
              <w:right w:w="40" w:type="dxa"/>
            </w:tcMar>
            <w:vAlign w:val="bottom"/>
          </w:tcPr>
          <w:p w14:paraId="71F3EFBB"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40" w:type="dxa"/>
            </w:tcMar>
            <w:vAlign w:val="bottom"/>
          </w:tcPr>
          <w:p w14:paraId="71F3EFB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(24,363)</w:t>
            </w:r>
          </w:p>
        </w:tc>
        <w:tc>
          <w:tcPr>
            <w:tcW w:w="345" w:type="dxa"/>
            <w:tcBorders>
              <w:top w:val="nil"/>
              <w:left w:val="nil"/>
              <w:bottom w:val="nil"/>
              <w:right w:val="nil"/>
              <w:tl2br w:val="nil"/>
              <w:tr2bl w:val="nil"/>
            </w:tcBorders>
            <w:noWrap/>
            <w:tcMar>
              <w:left w:w="40" w:type="dxa"/>
              <w:right w:w="100" w:type="dxa"/>
            </w:tcMar>
            <w:vAlign w:val="bottom"/>
          </w:tcPr>
          <w:p w14:paraId="71F3EFB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40" w:type="dxa"/>
            </w:tcMar>
            <w:vAlign w:val="bottom"/>
          </w:tcPr>
          <w:p w14:paraId="71F3EFB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(46,032)</w:t>
            </w:r>
          </w:p>
        </w:tc>
        <w:tc>
          <w:tcPr>
            <w:tcW w:w="345" w:type="dxa"/>
            <w:tcBorders>
              <w:top w:val="nil"/>
              <w:left w:val="nil"/>
              <w:bottom w:val="nil"/>
              <w:right w:val="nil"/>
              <w:tl2br w:val="nil"/>
              <w:tr2bl w:val="nil"/>
            </w:tcBorders>
            <w:noWrap/>
            <w:tcMar>
              <w:left w:w="40" w:type="dxa"/>
              <w:right w:w="100" w:type="dxa"/>
            </w:tcMar>
            <w:vAlign w:val="bottom"/>
          </w:tcPr>
          <w:p w14:paraId="71F3EFBF"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40" w:type="dxa"/>
            </w:tcMar>
            <w:vAlign w:val="bottom"/>
          </w:tcPr>
          <w:p w14:paraId="71F3EFC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(35,868)</w:t>
            </w:r>
          </w:p>
        </w:tc>
      </w:tr>
      <w:tr w:rsidR="00510CAA" w14:paraId="71F3EFC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5190" w:type="dxa"/>
            <w:gridSpan w:val="2"/>
            <w:tcBorders>
              <w:top w:val="nil"/>
              <w:left w:val="nil"/>
              <w:bottom w:val="nil"/>
              <w:right w:val="nil"/>
              <w:tl2br w:val="nil"/>
              <w:tr2bl w:val="nil"/>
            </w:tcBorders>
            <w:tcMar>
              <w:left w:w="40" w:type="dxa"/>
              <w:right w:w="40" w:type="dxa"/>
            </w:tcMar>
            <w:vAlign w:val="bottom"/>
          </w:tcPr>
          <w:p w14:paraId="71F3EFC2" w14:textId="77777777" w:rsidR="00510CAA" w:rsidRDefault="003A4815">
            <w:pPr>
              <w:keepNext/>
              <w:rPr>
                <w:rFonts w:ascii="Arial" w:eastAsia="Arial" w:hAnsi="Arial" w:cs="Arial"/>
                <w:b/>
                <w:color w:val="000000"/>
                <w:sz w:val="18"/>
              </w:rPr>
            </w:pPr>
            <w:r>
              <w:rPr>
                <w:rFonts w:ascii="Arial" w:eastAsia="Arial" w:hAnsi="Arial" w:cs="Arial"/>
                <w:b/>
                <w:color w:val="000000"/>
                <w:sz w:val="18"/>
              </w:rPr>
              <w:t>Net income</w:t>
            </w:r>
          </w:p>
        </w:tc>
        <w:tc>
          <w:tcPr>
            <w:tcW w:w="210" w:type="dxa"/>
            <w:tcBorders>
              <w:top w:val="nil"/>
              <w:left w:val="nil"/>
              <w:bottom w:val="nil"/>
              <w:right w:val="nil"/>
              <w:tl2br w:val="nil"/>
              <w:tr2bl w:val="nil"/>
            </w:tcBorders>
            <w:noWrap/>
            <w:tcMar>
              <w:left w:w="40" w:type="dxa"/>
              <w:right w:w="40" w:type="dxa"/>
            </w:tcMar>
            <w:vAlign w:val="bottom"/>
          </w:tcPr>
          <w:p w14:paraId="71F3EFC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tted" w:sz="8" w:space="0" w:color="000000"/>
              <w:left w:val="nil"/>
              <w:bottom w:val="double" w:sz="6" w:space="0" w:color="000000"/>
              <w:right w:val="nil"/>
              <w:tl2br w:val="nil"/>
              <w:tr2bl w:val="nil"/>
            </w:tcBorders>
            <w:noWrap/>
            <w:tcMar>
              <w:left w:w="40" w:type="dxa"/>
              <w:right w:w="100" w:type="dxa"/>
            </w:tcMar>
            <w:vAlign w:val="bottom"/>
          </w:tcPr>
          <w:p w14:paraId="71F3EFC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17,827</w:t>
            </w:r>
          </w:p>
        </w:tc>
        <w:tc>
          <w:tcPr>
            <w:tcW w:w="345" w:type="dxa"/>
            <w:tcBorders>
              <w:top w:val="nil"/>
              <w:left w:val="nil"/>
              <w:bottom w:val="nil"/>
              <w:right w:val="nil"/>
              <w:tl2br w:val="nil"/>
              <w:tr2bl w:val="nil"/>
            </w:tcBorders>
            <w:noWrap/>
            <w:tcMar>
              <w:left w:w="40" w:type="dxa"/>
              <w:right w:w="100" w:type="dxa"/>
            </w:tcMar>
            <w:vAlign w:val="bottom"/>
          </w:tcPr>
          <w:p w14:paraId="71F3EFC5"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tted" w:sz="8" w:space="0" w:color="000000"/>
              <w:left w:val="nil"/>
              <w:bottom w:val="double" w:sz="6" w:space="0" w:color="000000"/>
              <w:right w:val="nil"/>
              <w:tl2br w:val="nil"/>
              <w:tr2bl w:val="nil"/>
            </w:tcBorders>
            <w:noWrap/>
            <w:tcMar>
              <w:left w:w="40" w:type="dxa"/>
              <w:right w:w="100" w:type="dxa"/>
            </w:tcMar>
            <w:vAlign w:val="bottom"/>
          </w:tcPr>
          <w:p w14:paraId="71F3EFC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12,746</w:t>
            </w:r>
          </w:p>
        </w:tc>
        <w:tc>
          <w:tcPr>
            <w:tcW w:w="345" w:type="dxa"/>
            <w:tcBorders>
              <w:top w:val="nil"/>
              <w:left w:val="nil"/>
              <w:bottom w:val="nil"/>
              <w:right w:val="nil"/>
              <w:tl2br w:val="nil"/>
              <w:tr2bl w:val="nil"/>
            </w:tcBorders>
            <w:noWrap/>
            <w:tcMar>
              <w:left w:w="40" w:type="dxa"/>
              <w:right w:w="100" w:type="dxa"/>
            </w:tcMar>
            <w:vAlign w:val="bottom"/>
          </w:tcPr>
          <w:p w14:paraId="71F3EFC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tted" w:sz="8" w:space="0" w:color="000000"/>
              <w:left w:val="nil"/>
              <w:bottom w:val="double" w:sz="6" w:space="0" w:color="000000"/>
              <w:right w:val="nil"/>
              <w:tl2br w:val="nil"/>
              <w:tr2bl w:val="nil"/>
            </w:tcBorders>
            <w:noWrap/>
            <w:tcMar>
              <w:left w:w="40" w:type="dxa"/>
              <w:right w:w="100" w:type="dxa"/>
            </w:tcMar>
            <w:vAlign w:val="bottom"/>
          </w:tcPr>
          <w:p w14:paraId="71F3EFC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49,844</w:t>
            </w:r>
          </w:p>
        </w:tc>
      </w:tr>
      <w:tr w:rsidR="00510CAA" w14:paraId="71F3EFD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5190" w:type="dxa"/>
            <w:gridSpan w:val="2"/>
            <w:tcBorders>
              <w:top w:val="nil"/>
              <w:left w:val="nil"/>
              <w:bottom w:val="nil"/>
              <w:right w:val="nil"/>
              <w:tl2br w:val="nil"/>
              <w:tr2bl w:val="nil"/>
            </w:tcBorders>
            <w:tcMar>
              <w:left w:w="40" w:type="dxa"/>
              <w:right w:w="40" w:type="dxa"/>
            </w:tcMar>
            <w:vAlign w:val="bottom"/>
          </w:tcPr>
          <w:p w14:paraId="71F3EFCA" w14:textId="77777777" w:rsidR="00510CAA" w:rsidRDefault="003A4815">
            <w:pPr>
              <w:keepNext/>
              <w:rPr>
                <w:rFonts w:ascii="Arial" w:eastAsia="Arial" w:hAnsi="Arial" w:cs="Arial"/>
                <w:color w:val="000000"/>
                <w:sz w:val="18"/>
              </w:rPr>
            </w:pPr>
            <w:r>
              <w:rPr>
                <w:rFonts w:ascii="Arial" w:eastAsia="Arial" w:hAnsi="Arial" w:cs="Arial"/>
                <w:color w:val="000000"/>
                <w:sz w:val="18"/>
              </w:rPr>
              <w:t>Dividends on series B preferred shares (Notes 11(b) and 13)</w:t>
            </w:r>
          </w:p>
        </w:tc>
        <w:tc>
          <w:tcPr>
            <w:tcW w:w="210" w:type="dxa"/>
            <w:tcBorders>
              <w:top w:val="nil"/>
              <w:left w:val="nil"/>
              <w:bottom w:val="nil"/>
              <w:right w:val="nil"/>
              <w:tl2br w:val="nil"/>
              <w:tr2bl w:val="nil"/>
            </w:tcBorders>
            <w:noWrap/>
            <w:tcMar>
              <w:left w:w="0" w:type="dxa"/>
              <w:right w:w="0" w:type="dxa"/>
            </w:tcMar>
            <w:vAlign w:val="bottom"/>
          </w:tcPr>
          <w:p w14:paraId="71F3EFCB"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nil"/>
              <w:right w:val="nil"/>
              <w:tl2br w:val="nil"/>
              <w:tr2bl w:val="nil"/>
            </w:tcBorders>
            <w:noWrap/>
            <w:tcMar>
              <w:left w:w="40" w:type="dxa"/>
              <w:right w:w="40" w:type="dxa"/>
            </w:tcMar>
            <w:vAlign w:val="bottom"/>
          </w:tcPr>
          <w:p w14:paraId="71F3EFC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c>
          <w:tcPr>
            <w:tcW w:w="345" w:type="dxa"/>
            <w:tcBorders>
              <w:top w:val="nil"/>
              <w:left w:val="nil"/>
              <w:bottom w:val="nil"/>
              <w:right w:val="nil"/>
              <w:tl2br w:val="nil"/>
              <w:tr2bl w:val="nil"/>
            </w:tcBorders>
            <w:noWrap/>
            <w:tcMar>
              <w:left w:w="0" w:type="dxa"/>
              <w:right w:w="0" w:type="dxa"/>
            </w:tcMar>
            <w:vAlign w:val="bottom"/>
          </w:tcPr>
          <w:p w14:paraId="71F3EFCD"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tted" w:sz="2" w:space="0" w:color="000000"/>
              <w:right w:val="nil"/>
              <w:tl2br w:val="nil"/>
              <w:tr2bl w:val="nil"/>
            </w:tcBorders>
            <w:noWrap/>
            <w:tcMar>
              <w:left w:w="40" w:type="dxa"/>
              <w:right w:w="40" w:type="dxa"/>
            </w:tcMar>
            <w:vAlign w:val="bottom"/>
          </w:tcPr>
          <w:p w14:paraId="71F3EFC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c>
          <w:tcPr>
            <w:tcW w:w="345" w:type="dxa"/>
            <w:tcBorders>
              <w:top w:val="nil"/>
              <w:left w:val="nil"/>
              <w:bottom w:val="nil"/>
              <w:right w:val="nil"/>
              <w:tl2br w:val="nil"/>
              <w:tr2bl w:val="nil"/>
            </w:tcBorders>
            <w:noWrap/>
            <w:tcMar>
              <w:left w:w="0" w:type="dxa"/>
              <w:right w:w="0" w:type="dxa"/>
            </w:tcMar>
            <w:vAlign w:val="bottom"/>
          </w:tcPr>
          <w:p w14:paraId="71F3EFCF"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tted" w:sz="2" w:space="0" w:color="000000"/>
              <w:right w:val="nil"/>
              <w:tl2br w:val="nil"/>
              <w:tr2bl w:val="nil"/>
            </w:tcBorders>
            <w:noWrap/>
            <w:tcMar>
              <w:left w:w="40" w:type="dxa"/>
              <w:right w:w="40" w:type="dxa"/>
            </w:tcMar>
            <w:vAlign w:val="bottom"/>
          </w:tcPr>
          <w:p w14:paraId="71F3EFD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r>
      <w:tr w:rsidR="00510CAA" w14:paraId="71F3EFD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5190" w:type="dxa"/>
            <w:gridSpan w:val="2"/>
            <w:tcBorders>
              <w:top w:val="nil"/>
              <w:left w:val="nil"/>
              <w:bottom w:val="nil"/>
              <w:right w:val="nil"/>
              <w:tl2br w:val="nil"/>
              <w:tr2bl w:val="nil"/>
            </w:tcBorders>
            <w:tcMar>
              <w:left w:w="40" w:type="dxa"/>
              <w:right w:w="40" w:type="dxa"/>
            </w:tcMar>
            <w:vAlign w:val="bottom"/>
          </w:tcPr>
          <w:p w14:paraId="71F3EFD2" w14:textId="77777777" w:rsidR="00510CAA" w:rsidRDefault="003A4815">
            <w:pPr>
              <w:keepNext/>
              <w:rPr>
                <w:rFonts w:ascii="Arial" w:eastAsia="Arial" w:hAnsi="Arial" w:cs="Arial"/>
                <w:b/>
                <w:color w:val="000000"/>
                <w:sz w:val="18"/>
              </w:rPr>
            </w:pPr>
            <w:r>
              <w:rPr>
                <w:rFonts w:ascii="Arial" w:eastAsia="Arial" w:hAnsi="Arial" w:cs="Arial"/>
                <w:b/>
                <w:color w:val="000000"/>
                <w:sz w:val="18"/>
              </w:rPr>
              <w:t>Net income attributable to common stockholders</w:t>
            </w:r>
          </w:p>
        </w:tc>
        <w:tc>
          <w:tcPr>
            <w:tcW w:w="210" w:type="dxa"/>
            <w:tcBorders>
              <w:top w:val="nil"/>
              <w:left w:val="nil"/>
              <w:bottom w:val="nil"/>
              <w:right w:val="nil"/>
              <w:tl2br w:val="nil"/>
              <w:tr2bl w:val="nil"/>
            </w:tcBorders>
            <w:noWrap/>
            <w:tcMar>
              <w:left w:w="40" w:type="dxa"/>
              <w:right w:w="40" w:type="dxa"/>
            </w:tcMar>
            <w:vAlign w:val="bottom"/>
          </w:tcPr>
          <w:p w14:paraId="71F3EFD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double" w:sz="6" w:space="0" w:color="000000"/>
              <w:right w:val="nil"/>
              <w:tl2br w:val="nil"/>
              <w:tr2bl w:val="nil"/>
            </w:tcBorders>
            <w:noWrap/>
            <w:tcMar>
              <w:left w:w="40" w:type="dxa"/>
              <w:right w:w="100" w:type="dxa"/>
            </w:tcMar>
            <w:vAlign w:val="bottom"/>
          </w:tcPr>
          <w:p w14:paraId="71F3EFD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12,058</w:t>
            </w:r>
          </w:p>
        </w:tc>
        <w:tc>
          <w:tcPr>
            <w:tcW w:w="345" w:type="dxa"/>
            <w:tcBorders>
              <w:top w:val="nil"/>
              <w:left w:val="nil"/>
              <w:bottom w:val="nil"/>
              <w:right w:val="nil"/>
              <w:tl2br w:val="nil"/>
              <w:tr2bl w:val="nil"/>
            </w:tcBorders>
            <w:noWrap/>
            <w:tcMar>
              <w:left w:w="40" w:type="dxa"/>
              <w:right w:w="100" w:type="dxa"/>
            </w:tcMar>
            <w:vAlign w:val="bottom"/>
          </w:tcPr>
          <w:p w14:paraId="71F3EFD5"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tted" w:sz="2" w:space="0" w:color="000000"/>
              <w:left w:val="nil"/>
              <w:bottom w:val="double" w:sz="6" w:space="0" w:color="000000"/>
              <w:right w:val="nil"/>
              <w:tl2br w:val="nil"/>
              <w:tr2bl w:val="nil"/>
            </w:tcBorders>
            <w:noWrap/>
            <w:tcMar>
              <w:left w:w="40" w:type="dxa"/>
              <w:right w:w="100" w:type="dxa"/>
            </w:tcMar>
            <w:vAlign w:val="bottom"/>
          </w:tcPr>
          <w:p w14:paraId="71F3EFD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6,977</w:t>
            </w:r>
          </w:p>
        </w:tc>
        <w:tc>
          <w:tcPr>
            <w:tcW w:w="345" w:type="dxa"/>
            <w:tcBorders>
              <w:top w:val="nil"/>
              <w:left w:val="nil"/>
              <w:bottom w:val="nil"/>
              <w:right w:val="nil"/>
              <w:tl2br w:val="nil"/>
              <w:tr2bl w:val="nil"/>
            </w:tcBorders>
            <w:noWrap/>
            <w:tcMar>
              <w:left w:w="40" w:type="dxa"/>
              <w:right w:w="100" w:type="dxa"/>
            </w:tcMar>
            <w:vAlign w:val="bottom"/>
          </w:tcPr>
          <w:p w14:paraId="71F3EFD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tted" w:sz="2" w:space="0" w:color="000000"/>
              <w:left w:val="nil"/>
              <w:bottom w:val="double" w:sz="6" w:space="0" w:color="000000"/>
              <w:right w:val="nil"/>
              <w:tl2br w:val="nil"/>
              <w:tr2bl w:val="nil"/>
            </w:tcBorders>
            <w:noWrap/>
            <w:tcMar>
              <w:left w:w="40" w:type="dxa"/>
              <w:right w:w="100" w:type="dxa"/>
            </w:tcMar>
            <w:vAlign w:val="bottom"/>
          </w:tcPr>
          <w:p w14:paraId="71F3EFD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44,075</w:t>
            </w:r>
          </w:p>
        </w:tc>
      </w:tr>
      <w:tr w:rsidR="00510CAA" w14:paraId="71F3EFE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30"/>
        </w:trPr>
        <w:tc>
          <w:tcPr>
            <w:tcW w:w="5190" w:type="dxa"/>
            <w:gridSpan w:val="2"/>
            <w:tcBorders>
              <w:top w:val="nil"/>
              <w:left w:val="nil"/>
              <w:bottom w:val="nil"/>
              <w:right w:val="nil"/>
              <w:tl2br w:val="nil"/>
              <w:tr2bl w:val="nil"/>
            </w:tcBorders>
            <w:tcMar>
              <w:left w:w="40" w:type="dxa"/>
              <w:right w:w="40" w:type="dxa"/>
            </w:tcMar>
            <w:vAlign w:val="bottom"/>
          </w:tcPr>
          <w:p w14:paraId="71F3EFDA" w14:textId="77777777" w:rsidR="00510CAA" w:rsidRDefault="003A4815">
            <w:pPr>
              <w:keepNext/>
              <w:rPr>
                <w:rFonts w:ascii="Arial" w:eastAsia="Arial" w:hAnsi="Arial" w:cs="Arial"/>
                <w:b/>
                <w:color w:val="000000"/>
                <w:sz w:val="18"/>
              </w:rPr>
            </w:pPr>
            <w:r>
              <w:rPr>
                <w:rFonts w:ascii="Arial" w:eastAsia="Arial" w:hAnsi="Arial" w:cs="Arial"/>
                <w:b/>
                <w:color w:val="000000"/>
                <w:sz w:val="18"/>
              </w:rPr>
              <w:t>Earnings per common share, basic</w:t>
            </w:r>
            <w:r>
              <w:rPr>
                <w:rFonts w:ascii="Arial" w:eastAsia="Arial" w:hAnsi="Arial" w:cs="Arial"/>
                <w:color w:val="000000"/>
                <w:sz w:val="18"/>
              </w:rPr>
              <w:t xml:space="preserve"> (Note 13)</w:t>
            </w:r>
          </w:p>
        </w:tc>
        <w:tc>
          <w:tcPr>
            <w:tcW w:w="210" w:type="dxa"/>
            <w:tcBorders>
              <w:top w:val="nil"/>
              <w:left w:val="nil"/>
              <w:bottom w:val="nil"/>
              <w:right w:val="nil"/>
              <w:tl2br w:val="nil"/>
              <w:tr2bl w:val="nil"/>
            </w:tcBorders>
            <w:noWrap/>
            <w:tcMar>
              <w:left w:w="40" w:type="dxa"/>
              <w:right w:w="40" w:type="dxa"/>
            </w:tcMar>
            <w:vAlign w:val="bottom"/>
          </w:tcPr>
          <w:p w14:paraId="71F3EFDB"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D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0.11</w:t>
            </w:r>
          </w:p>
        </w:tc>
        <w:tc>
          <w:tcPr>
            <w:tcW w:w="345" w:type="dxa"/>
            <w:tcBorders>
              <w:top w:val="nil"/>
              <w:left w:val="nil"/>
              <w:bottom w:val="nil"/>
              <w:right w:val="nil"/>
              <w:tl2br w:val="nil"/>
              <w:tr2bl w:val="nil"/>
            </w:tcBorders>
            <w:noWrap/>
            <w:tcMar>
              <w:left w:w="40" w:type="dxa"/>
              <w:right w:w="100" w:type="dxa"/>
            </w:tcMar>
            <w:vAlign w:val="bottom"/>
          </w:tcPr>
          <w:p w14:paraId="71F3EFD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D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0.06</w:t>
            </w:r>
          </w:p>
        </w:tc>
        <w:tc>
          <w:tcPr>
            <w:tcW w:w="345" w:type="dxa"/>
            <w:tcBorders>
              <w:top w:val="nil"/>
              <w:left w:val="nil"/>
              <w:bottom w:val="nil"/>
              <w:right w:val="nil"/>
              <w:tl2br w:val="nil"/>
              <w:tr2bl w:val="nil"/>
            </w:tcBorders>
            <w:noWrap/>
            <w:tcMar>
              <w:left w:w="40" w:type="dxa"/>
              <w:right w:w="100" w:type="dxa"/>
            </w:tcMar>
            <w:vAlign w:val="bottom"/>
          </w:tcPr>
          <w:p w14:paraId="71F3EFDF"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0.44</w:t>
            </w:r>
          </w:p>
        </w:tc>
      </w:tr>
      <w:tr w:rsidR="00510CAA" w14:paraId="71F3EF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30"/>
        </w:trPr>
        <w:tc>
          <w:tcPr>
            <w:tcW w:w="5190" w:type="dxa"/>
            <w:gridSpan w:val="2"/>
            <w:tcBorders>
              <w:top w:val="nil"/>
              <w:left w:val="nil"/>
              <w:bottom w:val="nil"/>
              <w:right w:val="nil"/>
              <w:tl2br w:val="nil"/>
              <w:tr2bl w:val="nil"/>
            </w:tcBorders>
            <w:tcMar>
              <w:left w:w="40" w:type="dxa"/>
              <w:right w:w="40" w:type="dxa"/>
            </w:tcMar>
            <w:vAlign w:val="bottom"/>
          </w:tcPr>
          <w:p w14:paraId="71F3EFE2" w14:textId="77777777" w:rsidR="00510CAA" w:rsidRDefault="003A4815">
            <w:pPr>
              <w:keepNext/>
              <w:rPr>
                <w:rFonts w:ascii="Arial" w:eastAsia="Arial" w:hAnsi="Arial" w:cs="Arial"/>
                <w:b/>
                <w:color w:val="000000"/>
                <w:sz w:val="18"/>
              </w:rPr>
            </w:pPr>
            <w:r>
              <w:rPr>
                <w:rFonts w:ascii="Arial" w:eastAsia="Arial" w:hAnsi="Arial" w:cs="Arial"/>
                <w:b/>
                <w:color w:val="000000"/>
                <w:sz w:val="18"/>
              </w:rPr>
              <w:t>Earnings per common share, diluted</w:t>
            </w:r>
            <w:r>
              <w:rPr>
                <w:rFonts w:ascii="Arial" w:eastAsia="Arial" w:hAnsi="Arial" w:cs="Arial"/>
                <w:color w:val="000000"/>
                <w:sz w:val="18"/>
              </w:rPr>
              <w:t xml:space="preserve"> (Note 13)</w:t>
            </w:r>
          </w:p>
        </w:tc>
        <w:tc>
          <w:tcPr>
            <w:tcW w:w="210" w:type="dxa"/>
            <w:tcBorders>
              <w:top w:val="nil"/>
              <w:left w:val="nil"/>
              <w:bottom w:val="nil"/>
              <w:right w:val="nil"/>
              <w:tl2br w:val="nil"/>
              <w:tr2bl w:val="nil"/>
            </w:tcBorders>
            <w:noWrap/>
            <w:tcMar>
              <w:left w:w="40" w:type="dxa"/>
              <w:right w:w="40" w:type="dxa"/>
            </w:tcMar>
            <w:vAlign w:val="bottom"/>
          </w:tcPr>
          <w:p w14:paraId="71F3EFE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0.11</w:t>
            </w:r>
          </w:p>
        </w:tc>
        <w:tc>
          <w:tcPr>
            <w:tcW w:w="345" w:type="dxa"/>
            <w:tcBorders>
              <w:top w:val="nil"/>
              <w:left w:val="nil"/>
              <w:bottom w:val="nil"/>
              <w:right w:val="nil"/>
              <w:tl2br w:val="nil"/>
              <w:tr2bl w:val="nil"/>
            </w:tcBorders>
            <w:noWrap/>
            <w:tcMar>
              <w:left w:w="40" w:type="dxa"/>
              <w:right w:w="100" w:type="dxa"/>
            </w:tcMar>
            <w:vAlign w:val="bottom"/>
          </w:tcPr>
          <w:p w14:paraId="71F3EFE5"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0.05</w:t>
            </w:r>
          </w:p>
        </w:tc>
        <w:tc>
          <w:tcPr>
            <w:tcW w:w="345" w:type="dxa"/>
            <w:tcBorders>
              <w:top w:val="nil"/>
              <w:left w:val="nil"/>
              <w:bottom w:val="nil"/>
              <w:right w:val="nil"/>
              <w:tl2br w:val="nil"/>
              <w:tr2bl w:val="nil"/>
            </w:tcBorders>
            <w:noWrap/>
            <w:tcMar>
              <w:left w:w="40" w:type="dxa"/>
              <w:right w:w="100" w:type="dxa"/>
            </w:tcMar>
            <w:vAlign w:val="bottom"/>
          </w:tcPr>
          <w:p w14:paraId="71F3EFE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0.42</w:t>
            </w:r>
          </w:p>
        </w:tc>
      </w:tr>
      <w:tr w:rsidR="00510CAA" w14:paraId="71F3EFF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40"/>
        </w:trPr>
        <w:tc>
          <w:tcPr>
            <w:tcW w:w="5190" w:type="dxa"/>
            <w:gridSpan w:val="2"/>
            <w:tcBorders>
              <w:top w:val="nil"/>
              <w:left w:val="nil"/>
              <w:bottom w:val="nil"/>
              <w:right w:val="nil"/>
              <w:tl2br w:val="nil"/>
              <w:tr2bl w:val="nil"/>
            </w:tcBorders>
            <w:tcMar>
              <w:left w:w="40" w:type="dxa"/>
              <w:right w:w="40" w:type="dxa"/>
            </w:tcMar>
            <w:vAlign w:val="bottom"/>
          </w:tcPr>
          <w:p w14:paraId="71F3EFEA" w14:textId="77777777" w:rsidR="00510CAA" w:rsidRDefault="003A4815">
            <w:pPr>
              <w:keepNext/>
              <w:rPr>
                <w:rFonts w:ascii="Arial" w:eastAsia="Arial" w:hAnsi="Arial" w:cs="Arial"/>
                <w:b/>
                <w:color w:val="000000"/>
                <w:sz w:val="18"/>
              </w:rPr>
            </w:pPr>
            <w:r>
              <w:rPr>
                <w:rFonts w:ascii="Arial" w:eastAsia="Arial" w:hAnsi="Arial" w:cs="Arial"/>
                <w:b/>
                <w:color w:val="000000"/>
                <w:sz w:val="18"/>
              </w:rPr>
              <w:t>Weighted average number of common shares outstanding, basic</w:t>
            </w:r>
            <w:r>
              <w:rPr>
                <w:rFonts w:ascii="Arial" w:eastAsia="Arial" w:hAnsi="Arial" w:cs="Arial"/>
                <w:color w:val="000000"/>
                <w:sz w:val="18"/>
              </w:rPr>
              <w:t xml:space="preserve"> (Note 13)</w:t>
            </w:r>
          </w:p>
        </w:tc>
        <w:tc>
          <w:tcPr>
            <w:tcW w:w="210" w:type="dxa"/>
            <w:tcBorders>
              <w:top w:val="nil"/>
              <w:left w:val="nil"/>
              <w:bottom w:val="nil"/>
              <w:right w:val="nil"/>
              <w:tl2br w:val="nil"/>
              <w:tr2bl w:val="nil"/>
            </w:tcBorders>
            <w:tcMar>
              <w:left w:w="0" w:type="dxa"/>
              <w:right w:w="0" w:type="dxa"/>
            </w:tcMar>
            <w:vAlign w:val="bottom"/>
          </w:tcPr>
          <w:p w14:paraId="71F3EFEB"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110,459,096</w:t>
            </w:r>
          </w:p>
        </w:tc>
        <w:tc>
          <w:tcPr>
            <w:tcW w:w="345" w:type="dxa"/>
            <w:tcBorders>
              <w:top w:val="nil"/>
              <w:left w:val="nil"/>
              <w:bottom w:val="nil"/>
              <w:right w:val="nil"/>
              <w:tl2br w:val="nil"/>
              <w:tr2bl w:val="nil"/>
            </w:tcBorders>
            <w:tcMar>
              <w:left w:w="0" w:type="dxa"/>
              <w:right w:w="0" w:type="dxa"/>
            </w:tcMar>
            <w:vAlign w:val="bottom"/>
          </w:tcPr>
          <w:p w14:paraId="71F3EFED"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E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115,956,249</w:t>
            </w:r>
          </w:p>
        </w:tc>
        <w:tc>
          <w:tcPr>
            <w:tcW w:w="345" w:type="dxa"/>
            <w:tcBorders>
              <w:top w:val="nil"/>
              <w:left w:val="nil"/>
              <w:bottom w:val="nil"/>
              <w:right w:val="nil"/>
              <w:tl2br w:val="nil"/>
              <w:tr2bl w:val="nil"/>
            </w:tcBorders>
            <w:noWrap/>
            <w:tcMar>
              <w:left w:w="0" w:type="dxa"/>
              <w:right w:w="0" w:type="dxa"/>
            </w:tcMar>
            <w:vAlign w:val="bottom"/>
          </w:tcPr>
          <w:p w14:paraId="71F3EFEF"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F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100,166,629</w:t>
            </w:r>
          </w:p>
        </w:tc>
      </w:tr>
      <w:tr w:rsidR="00510CAA" w14:paraId="71F3EFF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25"/>
        </w:trPr>
        <w:tc>
          <w:tcPr>
            <w:tcW w:w="5190" w:type="dxa"/>
            <w:gridSpan w:val="2"/>
            <w:tcBorders>
              <w:top w:val="nil"/>
              <w:left w:val="nil"/>
              <w:bottom w:val="nil"/>
              <w:right w:val="nil"/>
              <w:tl2br w:val="nil"/>
              <w:tr2bl w:val="nil"/>
            </w:tcBorders>
            <w:tcMar>
              <w:left w:w="40" w:type="dxa"/>
              <w:right w:w="40" w:type="dxa"/>
            </w:tcMar>
            <w:vAlign w:val="bottom"/>
          </w:tcPr>
          <w:p w14:paraId="71F3EFF2" w14:textId="77777777" w:rsidR="00510CAA" w:rsidRDefault="003A4815">
            <w:pPr>
              <w:keepNext/>
              <w:rPr>
                <w:rFonts w:ascii="Arial" w:eastAsia="Arial" w:hAnsi="Arial" w:cs="Arial"/>
                <w:b/>
                <w:color w:val="000000"/>
                <w:sz w:val="18"/>
              </w:rPr>
            </w:pPr>
            <w:r>
              <w:rPr>
                <w:rFonts w:ascii="Arial" w:eastAsia="Arial" w:hAnsi="Arial" w:cs="Arial"/>
                <w:b/>
                <w:color w:val="000000"/>
                <w:sz w:val="18"/>
              </w:rPr>
              <w:t>Weighted average number of common shares outstanding, diluted</w:t>
            </w:r>
            <w:r>
              <w:rPr>
                <w:rFonts w:ascii="Arial" w:eastAsia="Arial" w:hAnsi="Arial" w:cs="Arial"/>
                <w:color w:val="000000"/>
                <w:sz w:val="18"/>
              </w:rPr>
              <w:t xml:space="preserve"> (Note 13)</w:t>
            </w:r>
          </w:p>
        </w:tc>
        <w:tc>
          <w:tcPr>
            <w:tcW w:w="210" w:type="dxa"/>
            <w:tcBorders>
              <w:top w:val="nil"/>
              <w:left w:val="nil"/>
              <w:bottom w:val="nil"/>
              <w:right w:val="nil"/>
              <w:tl2br w:val="nil"/>
              <w:tr2bl w:val="nil"/>
            </w:tcBorders>
            <w:tcMar>
              <w:left w:w="0" w:type="dxa"/>
              <w:right w:w="0" w:type="dxa"/>
            </w:tcMar>
            <w:vAlign w:val="bottom"/>
          </w:tcPr>
          <w:p w14:paraId="71F3EFF3"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F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110,497,640</w:t>
            </w:r>
          </w:p>
        </w:tc>
        <w:tc>
          <w:tcPr>
            <w:tcW w:w="345" w:type="dxa"/>
            <w:tcBorders>
              <w:top w:val="nil"/>
              <w:left w:val="nil"/>
              <w:bottom w:val="nil"/>
              <w:right w:val="nil"/>
              <w:tl2br w:val="nil"/>
              <w:tr2bl w:val="nil"/>
            </w:tcBorders>
            <w:tcMar>
              <w:left w:w="0" w:type="dxa"/>
              <w:right w:w="0" w:type="dxa"/>
            </w:tcMar>
            <w:vAlign w:val="bottom"/>
          </w:tcPr>
          <w:p w14:paraId="71F3EFF5"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F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118,655,243</w:t>
            </w:r>
          </w:p>
        </w:tc>
        <w:tc>
          <w:tcPr>
            <w:tcW w:w="345" w:type="dxa"/>
            <w:tcBorders>
              <w:top w:val="nil"/>
              <w:left w:val="nil"/>
              <w:bottom w:val="nil"/>
              <w:right w:val="nil"/>
              <w:tl2br w:val="nil"/>
              <w:tr2bl w:val="nil"/>
            </w:tcBorders>
            <w:noWrap/>
            <w:tcMar>
              <w:left w:w="0" w:type="dxa"/>
              <w:right w:w="0" w:type="dxa"/>
            </w:tcMar>
            <w:vAlign w:val="bottom"/>
          </w:tcPr>
          <w:p w14:paraId="71F3EFF7" w14:textId="77777777" w:rsidR="00510CAA" w:rsidRDefault="00510CAA">
            <w:pPr>
              <w:keepNext/>
              <w:rPr>
                <w:rFonts w:ascii="Arial" w:eastAsia="Arial" w:hAnsi="Arial" w:cs="Arial"/>
                <w:color w:val="000000"/>
                <w:sz w:val="18"/>
              </w:rPr>
            </w:pPr>
          </w:p>
        </w:tc>
        <w:tc>
          <w:tcPr>
            <w:tcW w:w="1440" w:type="dxa"/>
            <w:tcBorders>
              <w:top w:val="double" w:sz="6" w:space="0" w:color="000000"/>
              <w:left w:val="nil"/>
              <w:bottom w:val="double" w:sz="6" w:space="0" w:color="000000"/>
              <w:right w:val="nil"/>
              <w:tl2br w:val="nil"/>
              <w:tr2bl w:val="nil"/>
            </w:tcBorders>
            <w:noWrap/>
            <w:tcMar>
              <w:left w:w="40" w:type="dxa"/>
              <w:right w:w="100" w:type="dxa"/>
            </w:tcMar>
            <w:vAlign w:val="bottom"/>
          </w:tcPr>
          <w:p w14:paraId="71F3EFF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101,877,142</w:t>
            </w:r>
          </w:p>
        </w:tc>
      </w:tr>
      <w:tr w:rsidR="00510CAA" w14:paraId="71F3EF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10410" w:type="dxa"/>
            <w:gridSpan w:val="8"/>
            <w:tcBorders>
              <w:top w:val="nil"/>
              <w:left w:val="nil"/>
              <w:bottom w:val="nil"/>
              <w:right w:val="nil"/>
              <w:tl2br w:val="nil"/>
              <w:tr2bl w:val="nil"/>
            </w:tcBorders>
            <w:noWrap/>
            <w:tcMar>
              <w:left w:w="40" w:type="dxa"/>
              <w:right w:w="40" w:type="dxa"/>
            </w:tcMar>
            <w:vAlign w:val="bottom"/>
          </w:tcPr>
          <w:p w14:paraId="71F3EFFA"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The accompanying notes are an integral part of these consolidated financial statements.</w:t>
            </w:r>
          </w:p>
        </w:tc>
      </w:tr>
    </w:tbl>
    <w:p w14:paraId="71F3EFFC" w14:textId="77777777" w:rsidR="00510CAA" w:rsidRDefault="00510CAA">
      <w:pPr>
        <w:rPr>
          <w:rFonts w:ascii="Arial" w:eastAsia="Arial" w:hAnsi="Arial" w:cs="Arial"/>
        </w:rPr>
      </w:pPr>
    </w:p>
    <w:p w14:paraId="71F3EFFD" w14:textId="77777777" w:rsidR="00510CAA" w:rsidRDefault="00510CAA">
      <w:pPr>
        <w:rPr>
          <w:rFonts w:ascii="Arial" w:eastAsia="Arial" w:hAnsi="Arial" w:cs="Arial"/>
        </w:rPr>
      </w:pPr>
    </w:p>
    <w:tbl>
      <w:tblPr>
        <w:tblStyle w:val="CDMRange1"/>
        <w:tblW w:w="10050" w:type="dxa"/>
        <w:tblLayout w:type="fixed"/>
        <w:tblLook w:val="0600" w:firstRow="0" w:lastRow="0" w:firstColumn="0" w:lastColumn="0" w:noHBand="1" w:noVBand="1"/>
      </w:tblPr>
      <w:tblGrid>
        <w:gridCol w:w="277"/>
        <w:gridCol w:w="4730"/>
        <w:gridCol w:w="290"/>
        <w:gridCol w:w="1391"/>
        <w:gridCol w:w="290"/>
        <w:gridCol w:w="1391"/>
        <w:gridCol w:w="290"/>
        <w:gridCol w:w="1391"/>
      </w:tblGrid>
      <w:tr w:rsidR="00510CAA" w14:paraId="71F3F005" w14:textId="77777777">
        <w:trPr>
          <w:cantSplit/>
          <w:trHeight w:hRule="exact" w:val="240"/>
        </w:trPr>
        <w:tc>
          <w:tcPr>
            <w:tcW w:w="5190" w:type="dxa"/>
            <w:gridSpan w:val="2"/>
            <w:tcBorders>
              <w:top w:val="nil"/>
              <w:left w:val="nil"/>
              <w:bottom w:val="nil"/>
              <w:right w:val="nil"/>
              <w:tl2br w:val="nil"/>
              <w:tr2bl w:val="nil"/>
            </w:tcBorders>
            <w:noWrap/>
            <w:tcMar>
              <w:left w:w="0" w:type="dxa"/>
              <w:right w:w="0" w:type="dxa"/>
            </w:tcMar>
            <w:vAlign w:val="bottom"/>
          </w:tcPr>
          <w:p w14:paraId="71F3EFFE" w14:textId="77777777" w:rsidR="00510CAA" w:rsidRDefault="003A4815">
            <w:pPr>
              <w:keepNext/>
              <w:rPr>
                <w:rFonts w:ascii="Arial" w:eastAsia="Arial" w:hAnsi="Arial" w:cs="Arial"/>
                <w:b/>
                <w:color w:val="000000"/>
                <w:sz w:val="18"/>
              </w:rPr>
            </w:pPr>
            <w:bookmarkStart w:id="388" w:name="RG_MARKER_22957"/>
            <w:r>
              <w:rPr>
                <w:rFonts w:ascii="Arial" w:eastAsia="Arial" w:hAnsi="Arial" w:cs="Arial"/>
                <w:b/>
                <w:color w:val="000000"/>
                <w:sz w:val="18"/>
              </w:rPr>
              <w:t>DIANA SHIPPING INC.</w:t>
            </w:r>
            <w:bookmarkEnd w:id="388"/>
          </w:p>
        </w:tc>
        <w:tc>
          <w:tcPr>
            <w:tcW w:w="180" w:type="dxa"/>
            <w:tcBorders>
              <w:top w:val="nil"/>
              <w:left w:val="nil"/>
              <w:bottom w:val="nil"/>
              <w:right w:val="nil"/>
              <w:tl2br w:val="nil"/>
              <w:tr2bl w:val="nil"/>
            </w:tcBorders>
            <w:tcMar>
              <w:left w:w="0" w:type="dxa"/>
              <w:right w:w="0" w:type="dxa"/>
            </w:tcMar>
            <w:vAlign w:val="bottom"/>
          </w:tcPr>
          <w:p w14:paraId="71F3EFFF"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F000" w14:textId="77777777" w:rsidR="00510CAA" w:rsidRDefault="00510CAA">
            <w:pPr>
              <w:keepNext/>
              <w:jc w:val="both"/>
              <w:rPr>
                <w:rFonts w:ascii="Arial" w:eastAsia="Arial" w:hAnsi="Arial" w:cs="Arial"/>
                <w:b/>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001"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F002" w14:textId="77777777" w:rsidR="00510CAA" w:rsidRDefault="00510CAA">
            <w:pPr>
              <w:keepNext/>
              <w:jc w:val="both"/>
              <w:rPr>
                <w:rFonts w:ascii="Arial" w:eastAsia="Arial" w:hAnsi="Arial" w:cs="Arial"/>
                <w:b/>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003"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004" w14:textId="77777777" w:rsidR="00510CAA" w:rsidRDefault="00510CAA">
            <w:pPr>
              <w:keepNext/>
              <w:rPr>
                <w:rFonts w:ascii="Arial" w:eastAsia="Arial" w:hAnsi="Arial" w:cs="Arial"/>
                <w:color w:val="000000"/>
                <w:sz w:val="18"/>
              </w:rPr>
            </w:pPr>
          </w:p>
        </w:tc>
      </w:tr>
      <w:tr w:rsidR="00510CAA" w14:paraId="71F3F00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8430" w:type="dxa"/>
            <w:gridSpan w:val="6"/>
            <w:tcBorders>
              <w:top w:val="nil"/>
              <w:left w:val="nil"/>
              <w:bottom w:val="nil"/>
              <w:right w:val="nil"/>
              <w:tl2br w:val="nil"/>
              <w:tr2bl w:val="nil"/>
            </w:tcBorders>
            <w:noWrap/>
            <w:tcMar>
              <w:left w:w="0" w:type="dxa"/>
              <w:right w:w="0" w:type="dxa"/>
            </w:tcMar>
            <w:vAlign w:val="bottom"/>
          </w:tcPr>
          <w:p w14:paraId="71F3F006" w14:textId="77777777" w:rsidR="00510CAA" w:rsidRDefault="003A4815">
            <w:pPr>
              <w:keepNext/>
              <w:rPr>
                <w:rFonts w:ascii="Arial" w:eastAsia="Arial" w:hAnsi="Arial" w:cs="Arial"/>
                <w:color w:val="000000"/>
                <w:sz w:val="18"/>
              </w:rPr>
            </w:pPr>
            <w:r>
              <w:rPr>
                <w:rFonts w:ascii="Arial" w:eastAsia="Arial" w:hAnsi="Arial" w:cs="Arial"/>
                <w:color w:val="000000"/>
                <w:sz w:val="18"/>
              </w:rPr>
              <w:t>CONSOLIDATED STATEMENTS OF COMPREHENSIVE INCOME</w:t>
            </w:r>
          </w:p>
        </w:tc>
        <w:tc>
          <w:tcPr>
            <w:tcW w:w="180" w:type="dxa"/>
            <w:tcBorders>
              <w:top w:val="nil"/>
              <w:left w:val="nil"/>
              <w:bottom w:val="nil"/>
              <w:right w:val="nil"/>
              <w:tl2br w:val="nil"/>
              <w:tr2bl w:val="nil"/>
            </w:tcBorders>
            <w:noWrap/>
            <w:tcMar>
              <w:left w:w="0" w:type="dxa"/>
              <w:right w:w="0" w:type="dxa"/>
            </w:tcMar>
            <w:vAlign w:val="bottom"/>
          </w:tcPr>
          <w:p w14:paraId="71F3F007"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008" w14:textId="77777777" w:rsidR="00510CAA" w:rsidRDefault="00510CAA">
            <w:pPr>
              <w:keepNext/>
              <w:rPr>
                <w:rFonts w:ascii="Arial" w:eastAsia="Arial" w:hAnsi="Arial" w:cs="Arial"/>
                <w:color w:val="000000"/>
                <w:sz w:val="18"/>
              </w:rPr>
            </w:pPr>
          </w:p>
        </w:tc>
      </w:tr>
      <w:tr w:rsidR="00510CAA" w14:paraId="71F3F00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8430" w:type="dxa"/>
            <w:gridSpan w:val="6"/>
            <w:tcBorders>
              <w:top w:val="nil"/>
              <w:left w:val="nil"/>
              <w:bottom w:val="nil"/>
              <w:right w:val="nil"/>
              <w:tl2br w:val="nil"/>
              <w:tr2bl w:val="nil"/>
            </w:tcBorders>
            <w:noWrap/>
            <w:tcMar>
              <w:left w:w="0" w:type="dxa"/>
              <w:right w:w="0" w:type="dxa"/>
            </w:tcMar>
            <w:vAlign w:val="bottom"/>
          </w:tcPr>
          <w:p w14:paraId="71F3F00A" w14:textId="77777777" w:rsidR="00510CAA" w:rsidRDefault="003A4815">
            <w:pPr>
              <w:keepNext/>
              <w:rPr>
                <w:rFonts w:ascii="Arial" w:eastAsia="Arial" w:hAnsi="Arial" w:cs="Arial"/>
                <w:color w:val="000000"/>
                <w:sz w:val="18"/>
              </w:rPr>
            </w:pPr>
            <w:r>
              <w:rPr>
                <w:rFonts w:ascii="Arial" w:eastAsia="Arial" w:hAnsi="Arial" w:cs="Arial"/>
                <w:color w:val="000000"/>
                <w:sz w:val="18"/>
              </w:rPr>
              <w:t xml:space="preserve">For the years ended December 31, 2025, 2024 and 2023 </w:t>
            </w:r>
          </w:p>
        </w:tc>
        <w:tc>
          <w:tcPr>
            <w:tcW w:w="180" w:type="dxa"/>
            <w:tcBorders>
              <w:top w:val="nil"/>
              <w:left w:val="nil"/>
              <w:bottom w:val="nil"/>
              <w:right w:val="nil"/>
              <w:tl2br w:val="nil"/>
              <w:tr2bl w:val="nil"/>
            </w:tcBorders>
            <w:noWrap/>
            <w:tcMar>
              <w:left w:w="0" w:type="dxa"/>
              <w:right w:w="0" w:type="dxa"/>
            </w:tcMar>
            <w:vAlign w:val="bottom"/>
          </w:tcPr>
          <w:p w14:paraId="71F3F00B"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00C" w14:textId="77777777" w:rsidR="00510CAA" w:rsidRDefault="00510CAA">
            <w:pPr>
              <w:keepNext/>
              <w:rPr>
                <w:rFonts w:ascii="Arial" w:eastAsia="Arial" w:hAnsi="Arial" w:cs="Arial"/>
                <w:color w:val="000000"/>
                <w:sz w:val="18"/>
              </w:rPr>
            </w:pPr>
          </w:p>
        </w:tc>
      </w:tr>
      <w:tr w:rsidR="00510CAA" w14:paraId="71F3F01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6810" w:type="dxa"/>
            <w:gridSpan w:val="4"/>
            <w:tcBorders>
              <w:top w:val="nil"/>
              <w:left w:val="nil"/>
              <w:bottom w:val="nil"/>
              <w:right w:val="nil"/>
              <w:tl2br w:val="nil"/>
              <w:tr2bl w:val="nil"/>
            </w:tcBorders>
            <w:noWrap/>
            <w:tcMar>
              <w:left w:w="0" w:type="dxa"/>
              <w:right w:w="0" w:type="dxa"/>
            </w:tcMar>
            <w:vAlign w:val="bottom"/>
          </w:tcPr>
          <w:p w14:paraId="71F3F00E" w14:textId="77777777" w:rsidR="00510CAA" w:rsidRDefault="003A4815">
            <w:pPr>
              <w:keepNext/>
              <w:rPr>
                <w:rFonts w:ascii="Arial" w:eastAsia="Arial" w:hAnsi="Arial" w:cs="Arial"/>
                <w:color w:val="000000"/>
                <w:sz w:val="18"/>
              </w:rPr>
            </w:pPr>
            <w:r>
              <w:rPr>
                <w:rFonts w:ascii="Arial" w:eastAsia="Arial" w:hAnsi="Arial" w:cs="Arial"/>
                <w:color w:val="000000"/>
                <w:sz w:val="18"/>
              </w:rPr>
              <w:t>(Expressed in thousands of U.S. Dollars)</w:t>
            </w:r>
          </w:p>
        </w:tc>
        <w:tc>
          <w:tcPr>
            <w:tcW w:w="180" w:type="dxa"/>
            <w:tcBorders>
              <w:top w:val="nil"/>
              <w:left w:val="nil"/>
              <w:bottom w:val="nil"/>
              <w:right w:val="nil"/>
              <w:tl2br w:val="nil"/>
              <w:tr2bl w:val="nil"/>
            </w:tcBorders>
            <w:tcMar>
              <w:left w:w="0" w:type="dxa"/>
              <w:right w:w="0" w:type="dxa"/>
            </w:tcMar>
            <w:vAlign w:val="bottom"/>
          </w:tcPr>
          <w:p w14:paraId="71F3F00F"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F010" w14:textId="77777777" w:rsidR="00510CAA" w:rsidRDefault="00510CAA">
            <w:pPr>
              <w:keepNext/>
              <w:jc w:val="both"/>
              <w:rPr>
                <w:rFonts w:ascii="Arial" w:eastAsia="Arial" w:hAnsi="Arial" w:cs="Arial"/>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011"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012" w14:textId="77777777" w:rsidR="00510CAA" w:rsidRDefault="00510CAA">
            <w:pPr>
              <w:keepNext/>
              <w:rPr>
                <w:rFonts w:ascii="Arial" w:eastAsia="Arial" w:hAnsi="Arial" w:cs="Arial"/>
                <w:color w:val="000000"/>
                <w:sz w:val="18"/>
              </w:rPr>
            </w:pPr>
          </w:p>
        </w:tc>
      </w:tr>
      <w:tr w:rsidR="00510CAA" w14:paraId="71F3F01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285" w:type="dxa"/>
            <w:tcBorders>
              <w:top w:val="nil"/>
              <w:left w:val="nil"/>
              <w:bottom w:val="nil"/>
              <w:right w:val="nil"/>
              <w:tl2br w:val="nil"/>
              <w:tr2bl w:val="nil"/>
            </w:tcBorders>
            <w:noWrap/>
            <w:tcMar>
              <w:left w:w="0" w:type="dxa"/>
              <w:right w:w="0" w:type="dxa"/>
            </w:tcMar>
            <w:vAlign w:val="bottom"/>
          </w:tcPr>
          <w:p w14:paraId="71F3F014"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F015"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270" w:type="dxa"/>
              <w:right w:w="0" w:type="dxa"/>
            </w:tcMar>
            <w:vAlign w:val="bottom"/>
          </w:tcPr>
          <w:p w14:paraId="71F3F016"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17"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2025</w:t>
            </w:r>
          </w:p>
        </w:tc>
        <w:tc>
          <w:tcPr>
            <w:tcW w:w="180" w:type="dxa"/>
            <w:tcBorders>
              <w:top w:val="nil"/>
              <w:left w:val="nil"/>
              <w:bottom w:val="nil"/>
              <w:right w:val="nil"/>
              <w:tl2br w:val="nil"/>
              <w:tr2bl w:val="nil"/>
            </w:tcBorders>
            <w:noWrap/>
            <w:tcMar>
              <w:left w:w="270" w:type="dxa"/>
              <w:right w:w="0" w:type="dxa"/>
            </w:tcMar>
            <w:vAlign w:val="bottom"/>
          </w:tcPr>
          <w:p w14:paraId="71F3F018"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19"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2024</w:t>
            </w:r>
          </w:p>
        </w:tc>
        <w:tc>
          <w:tcPr>
            <w:tcW w:w="180" w:type="dxa"/>
            <w:tcBorders>
              <w:top w:val="nil"/>
              <w:left w:val="nil"/>
              <w:bottom w:val="nil"/>
              <w:right w:val="nil"/>
              <w:tl2br w:val="nil"/>
              <w:tr2bl w:val="nil"/>
            </w:tcBorders>
            <w:noWrap/>
            <w:tcMar>
              <w:left w:w="270" w:type="dxa"/>
              <w:right w:w="0" w:type="dxa"/>
            </w:tcMar>
            <w:vAlign w:val="bottom"/>
          </w:tcPr>
          <w:p w14:paraId="71F3F01A"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1B"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2023</w:t>
            </w:r>
          </w:p>
        </w:tc>
      </w:tr>
      <w:tr w:rsidR="00510CAA" w14:paraId="71F3F02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285" w:type="dxa"/>
            <w:tcBorders>
              <w:top w:val="nil"/>
              <w:left w:val="nil"/>
              <w:bottom w:val="nil"/>
              <w:right w:val="nil"/>
              <w:tl2br w:val="nil"/>
              <w:tr2bl w:val="nil"/>
            </w:tcBorders>
            <w:noWrap/>
            <w:tcMar>
              <w:left w:w="0" w:type="dxa"/>
              <w:right w:w="0" w:type="dxa"/>
            </w:tcMar>
            <w:vAlign w:val="bottom"/>
          </w:tcPr>
          <w:p w14:paraId="71F3F01D"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F01E" w14:textId="77777777" w:rsidR="00510CAA" w:rsidRDefault="003A4815">
            <w:pPr>
              <w:keepNext/>
              <w:rPr>
                <w:rFonts w:ascii="Arial" w:eastAsia="Arial" w:hAnsi="Arial" w:cs="Arial"/>
                <w:b/>
                <w:color w:val="000000"/>
                <w:sz w:val="18"/>
              </w:rPr>
            </w:pPr>
            <w:r>
              <w:rPr>
                <w:rFonts w:ascii="Arial" w:eastAsia="Arial" w:hAnsi="Arial" w:cs="Arial"/>
                <w:b/>
                <w:color w:val="000000"/>
                <w:sz w:val="18"/>
              </w:rPr>
              <w:t>Net income</w:t>
            </w:r>
          </w:p>
        </w:tc>
        <w:tc>
          <w:tcPr>
            <w:tcW w:w="180" w:type="dxa"/>
            <w:tcBorders>
              <w:top w:val="nil"/>
              <w:left w:val="nil"/>
              <w:bottom w:val="nil"/>
              <w:right w:val="nil"/>
              <w:tl2br w:val="nil"/>
              <w:tr2bl w:val="nil"/>
            </w:tcBorders>
            <w:noWrap/>
            <w:tcMar>
              <w:left w:w="0" w:type="dxa"/>
              <w:right w:w="0" w:type="dxa"/>
            </w:tcMar>
            <w:vAlign w:val="bottom"/>
          </w:tcPr>
          <w:p w14:paraId="71F3F01F"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2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17,827</w:t>
            </w:r>
          </w:p>
        </w:tc>
        <w:tc>
          <w:tcPr>
            <w:tcW w:w="180" w:type="dxa"/>
            <w:tcBorders>
              <w:top w:val="nil"/>
              <w:left w:val="nil"/>
              <w:bottom w:val="nil"/>
              <w:right w:val="nil"/>
              <w:tl2br w:val="nil"/>
              <w:tr2bl w:val="nil"/>
            </w:tcBorders>
            <w:noWrap/>
            <w:tcMar>
              <w:left w:w="0" w:type="dxa"/>
              <w:right w:w="0" w:type="dxa"/>
            </w:tcMar>
            <w:vAlign w:val="bottom"/>
          </w:tcPr>
          <w:p w14:paraId="71F3F021"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2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12,746</w:t>
            </w:r>
          </w:p>
        </w:tc>
        <w:tc>
          <w:tcPr>
            <w:tcW w:w="180" w:type="dxa"/>
            <w:tcBorders>
              <w:top w:val="nil"/>
              <w:left w:val="nil"/>
              <w:bottom w:val="nil"/>
              <w:right w:val="nil"/>
              <w:tl2br w:val="nil"/>
              <w:tr2bl w:val="nil"/>
            </w:tcBorders>
            <w:noWrap/>
            <w:tcMar>
              <w:left w:w="0" w:type="dxa"/>
              <w:right w:w="0" w:type="dxa"/>
            </w:tcMar>
            <w:vAlign w:val="bottom"/>
          </w:tcPr>
          <w:p w14:paraId="71F3F02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2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49,844</w:t>
            </w:r>
          </w:p>
        </w:tc>
      </w:tr>
      <w:tr w:rsidR="00510CAA" w14:paraId="71F3F02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0"/>
        </w:trPr>
        <w:tc>
          <w:tcPr>
            <w:tcW w:w="285" w:type="dxa"/>
            <w:tcBorders>
              <w:top w:val="nil"/>
              <w:left w:val="nil"/>
              <w:bottom w:val="nil"/>
              <w:right w:val="nil"/>
              <w:tl2br w:val="nil"/>
              <w:tr2bl w:val="nil"/>
            </w:tcBorders>
            <w:noWrap/>
            <w:tcMar>
              <w:left w:w="0" w:type="dxa"/>
              <w:right w:w="0" w:type="dxa"/>
            </w:tcMar>
            <w:vAlign w:val="bottom"/>
          </w:tcPr>
          <w:p w14:paraId="71F3F026"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F027" w14:textId="77777777" w:rsidR="00510CAA" w:rsidRDefault="00510CAA">
            <w:pPr>
              <w:keepNext/>
              <w:rPr>
                <w:rFonts w:ascii="Arial" w:eastAsia="Arial" w:hAnsi="Arial" w:cs="Arial"/>
                <w:b/>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28" w14:textId="77777777" w:rsidR="00510CAA" w:rsidRDefault="00510CAA">
            <w:pPr>
              <w:keepNext/>
              <w:jc w:val="both"/>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29"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2A" w14:textId="77777777" w:rsidR="00510CAA" w:rsidRDefault="00510CAA">
            <w:pPr>
              <w:keepNext/>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2B"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2C" w14:textId="77777777" w:rsidR="00510CAA" w:rsidRDefault="00510CAA">
            <w:pPr>
              <w:keepNext/>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2D" w14:textId="77777777" w:rsidR="00510CAA" w:rsidRDefault="00510CAA">
            <w:pPr>
              <w:keepNext/>
              <w:rPr>
                <w:rFonts w:ascii="Arial" w:eastAsia="Arial" w:hAnsi="Arial" w:cs="Arial"/>
                <w:color w:val="000000"/>
                <w:sz w:val="18"/>
              </w:rPr>
            </w:pPr>
          </w:p>
        </w:tc>
      </w:tr>
      <w:tr w:rsidR="00510CAA" w14:paraId="71F3F0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5190" w:type="dxa"/>
            <w:gridSpan w:val="2"/>
            <w:tcBorders>
              <w:top w:val="nil"/>
              <w:left w:val="nil"/>
              <w:bottom w:val="nil"/>
              <w:right w:val="nil"/>
              <w:tl2br w:val="nil"/>
              <w:tr2bl w:val="nil"/>
            </w:tcBorders>
            <w:tcMar>
              <w:left w:w="0" w:type="dxa"/>
              <w:right w:w="0" w:type="dxa"/>
            </w:tcMar>
            <w:vAlign w:val="bottom"/>
          </w:tcPr>
          <w:p w14:paraId="71F3F02F" w14:textId="77777777" w:rsidR="00510CAA" w:rsidRDefault="003A4815">
            <w:pPr>
              <w:keepNext/>
              <w:rPr>
                <w:rFonts w:ascii="Arial" w:eastAsia="Arial" w:hAnsi="Arial" w:cs="Arial"/>
                <w:color w:val="000000"/>
                <w:sz w:val="18"/>
              </w:rPr>
            </w:pPr>
            <w:r>
              <w:rPr>
                <w:rFonts w:ascii="Arial" w:eastAsia="Arial" w:hAnsi="Arial" w:cs="Arial"/>
                <w:color w:val="000000"/>
                <w:sz w:val="18"/>
              </w:rPr>
              <w:t>Other comprehensive income - Defined benefit plan</w:t>
            </w:r>
          </w:p>
        </w:tc>
        <w:tc>
          <w:tcPr>
            <w:tcW w:w="180" w:type="dxa"/>
            <w:tcBorders>
              <w:top w:val="nil"/>
              <w:left w:val="nil"/>
              <w:bottom w:val="nil"/>
              <w:right w:val="nil"/>
              <w:tl2br w:val="nil"/>
              <w:tr2bl w:val="nil"/>
            </w:tcBorders>
            <w:noWrap/>
            <w:tcMar>
              <w:left w:w="0" w:type="dxa"/>
              <w:right w:w="0" w:type="dxa"/>
            </w:tcMar>
            <w:vAlign w:val="bottom"/>
          </w:tcPr>
          <w:p w14:paraId="71F3F030"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w:t>
            </w:r>
          </w:p>
        </w:tc>
        <w:tc>
          <w:tcPr>
            <w:tcW w:w="180" w:type="dxa"/>
            <w:tcBorders>
              <w:top w:val="nil"/>
              <w:left w:val="nil"/>
              <w:bottom w:val="nil"/>
              <w:right w:val="nil"/>
              <w:tl2br w:val="nil"/>
              <w:tr2bl w:val="nil"/>
            </w:tcBorders>
            <w:noWrap/>
            <w:tcMar>
              <w:left w:w="0" w:type="dxa"/>
              <w:right w:w="0" w:type="dxa"/>
            </w:tcMar>
            <w:vAlign w:val="bottom"/>
          </w:tcPr>
          <w:p w14:paraId="71F3F03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w:t>
            </w:r>
          </w:p>
        </w:tc>
        <w:tc>
          <w:tcPr>
            <w:tcW w:w="180" w:type="dxa"/>
            <w:tcBorders>
              <w:top w:val="nil"/>
              <w:left w:val="nil"/>
              <w:bottom w:val="nil"/>
              <w:right w:val="nil"/>
              <w:tl2br w:val="nil"/>
              <w:tr2bl w:val="nil"/>
            </w:tcBorders>
            <w:noWrap/>
            <w:tcMar>
              <w:left w:w="0" w:type="dxa"/>
              <w:right w:w="0" w:type="dxa"/>
            </w:tcMar>
            <w:vAlign w:val="bottom"/>
          </w:tcPr>
          <w:p w14:paraId="71F3F03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55</w:t>
            </w:r>
          </w:p>
        </w:tc>
      </w:tr>
      <w:tr w:rsidR="00510CAA" w14:paraId="71F3F03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5190" w:type="dxa"/>
            <w:gridSpan w:val="2"/>
            <w:tcBorders>
              <w:top w:val="nil"/>
              <w:left w:val="nil"/>
              <w:bottom w:val="nil"/>
              <w:right w:val="nil"/>
              <w:tl2br w:val="nil"/>
              <w:tr2bl w:val="nil"/>
            </w:tcBorders>
            <w:tcMar>
              <w:left w:w="0" w:type="dxa"/>
              <w:right w:w="0" w:type="dxa"/>
            </w:tcMar>
            <w:vAlign w:val="bottom"/>
          </w:tcPr>
          <w:p w14:paraId="71F3F037" w14:textId="77777777" w:rsidR="00510CAA" w:rsidRDefault="003A4815">
            <w:pPr>
              <w:keepNext/>
              <w:rPr>
                <w:rFonts w:ascii="Arial" w:eastAsia="Arial" w:hAnsi="Arial" w:cs="Arial"/>
                <w:color w:val="000000"/>
                <w:sz w:val="18"/>
              </w:rPr>
            </w:pPr>
            <w:r>
              <w:rPr>
                <w:rFonts w:ascii="Arial" w:eastAsia="Arial" w:hAnsi="Arial" w:cs="Arial"/>
                <w:color w:val="000000"/>
                <w:sz w:val="18"/>
              </w:rPr>
              <w:t>Currency translation adjustment</w:t>
            </w:r>
          </w:p>
        </w:tc>
        <w:tc>
          <w:tcPr>
            <w:tcW w:w="180" w:type="dxa"/>
            <w:tcBorders>
              <w:top w:val="nil"/>
              <w:left w:val="nil"/>
              <w:bottom w:val="nil"/>
              <w:right w:val="nil"/>
              <w:tl2br w:val="nil"/>
              <w:tr2bl w:val="nil"/>
            </w:tcBorders>
            <w:noWrap/>
            <w:tcMar>
              <w:left w:w="0" w:type="dxa"/>
              <w:right w:w="0" w:type="dxa"/>
            </w:tcMar>
            <w:vAlign w:val="bottom"/>
          </w:tcPr>
          <w:p w14:paraId="71F3F038" w14:textId="77777777" w:rsidR="00510CAA" w:rsidRDefault="00510CAA">
            <w:pPr>
              <w:keepNext/>
              <w:jc w:val="both"/>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3,313</w:t>
            </w:r>
          </w:p>
        </w:tc>
        <w:tc>
          <w:tcPr>
            <w:tcW w:w="180" w:type="dxa"/>
            <w:tcBorders>
              <w:top w:val="nil"/>
              <w:left w:val="nil"/>
              <w:bottom w:val="nil"/>
              <w:right w:val="nil"/>
              <w:tl2br w:val="nil"/>
              <w:tr2bl w:val="nil"/>
            </w:tcBorders>
            <w:noWrap/>
            <w:tcMar>
              <w:left w:w="0" w:type="dxa"/>
              <w:right w:w="0" w:type="dxa"/>
            </w:tcMar>
            <w:vAlign w:val="bottom"/>
          </w:tcPr>
          <w:p w14:paraId="71F3F03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03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03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04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0"/>
        </w:trPr>
        <w:tc>
          <w:tcPr>
            <w:tcW w:w="285" w:type="dxa"/>
            <w:tcBorders>
              <w:top w:val="nil"/>
              <w:left w:val="nil"/>
              <w:bottom w:val="nil"/>
              <w:right w:val="nil"/>
              <w:tl2br w:val="nil"/>
              <w:tr2bl w:val="nil"/>
            </w:tcBorders>
            <w:tcMar>
              <w:left w:w="0" w:type="dxa"/>
              <w:right w:w="0" w:type="dxa"/>
            </w:tcMar>
            <w:vAlign w:val="bottom"/>
          </w:tcPr>
          <w:p w14:paraId="71F3F03F"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tcMar>
              <w:left w:w="0" w:type="dxa"/>
              <w:right w:w="0" w:type="dxa"/>
            </w:tcMar>
            <w:vAlign w:val="bottom"/>
          </w:tcPr>
          <w:p w14:paraId="71F3F040"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41" w14:textId="77777777" w:rsidR="00510CAA" w:rsidRDefault="00510CAA">
            <w:pPr>
              <w:keepNext/>
              <w:jc w:val="both"/>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42"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43"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44"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45"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046" w14:textId="77777777" w:rsidR="00510CAA" w:rsidRDefault="00510CAA">
            <w:pPr>
              <w:keepNext/>
              <w:rPr>
                <w:rFonts w:ascii="Arial" w:eastAsia="Arial" w:hAnsi="Arial" w:cs="Arial"/>
                <w:color w:val="000000"/>
                <w:sz w:val="18"/>
              </w:rPr>
            </w:pPr>
          </w:p>
        </w:tc>
      </w:tr>
      <w:tr w:rsidR="00510CAA" w14:paraId="71F3F0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285" w:type="dxa"/>
            <w:tcBorders>
              <w:top w:val="nil"/>
              <w:left w:val="nil"/>
              <w:bottom w:val="nil"/>
              <w:right w:val="nil"/>
              <w:tl2br w:val="nil"/>
              <w:tr2bl w:val="nil"/>
            </w:tcBorders>
            <w:tcMar>
              <w:left w:w="0" w:type="dxa"/>
              <w:right w:w="0" w:type="dxa"/>
            </w:tcMar>
            <w:vAlign w:val="bottom"/>
          </w:tcPr>
          <w:p w14:paraId="71F3F048"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F049" w14:textId="77777777" w:rsidR="00510CAA" w:rsidRDefault="003A4815">
            <w:pPr>
              <w:keepNext/>
              <w:rPr>
                <w:rFonts w:ascii="Arial" w:eastAsia="Arial" w:hAnsi="Arial" w:cs="Arial"/>
                <w:b/>
                <w:color w:val="000000"/>
                <w:sz w:val="18"/>
              </w:rPr>
            </w:pPr>
            <w:r>
              <w:rPr>
                <w:rFonts w:ascii="Arial" w:eastAsia="Arial" w:hAnsi="Arial" w:cs="Arial"/>
                <w:b/>
                <w:color w:val="000000"/>
                <w:sz w:val="18"/>
              </w:rPr>
              <w:t>Other comprehensive income</w:t>
            </w:r>
          </w:p>
        </w:tc>
        <w:tc>
          <w:tcPr>
            <w:tcW w:w="180" w:type="dxa"/>
            <w:tcBorders>
              <w:top w:val="nil"/>
              <w:left w:val="nil"/>
              <w:bottom w:val="nil"/>
              <w:right w:val="nil"/>
              <w:tl2br w:val="nil"/>
              <w:tr2bl w:val="nil"/>
            </w:tcBorders>
            <w:noWrap/>
            <w:tcMar>
              <w:left w:w="0" w:type="dxa"/>
              <w:right w:w="0" w:type="dxa"/>
            </w:tcMar>
            <w:vAlign w:val="bottom"/>
          </w:tcPr>
          <w:p w14:paraId="71F3F04A" w14:textId="77777777" w:rsidR="00510CAA" w:rsidRDefault="00510CAA">
            <w:pPr>
              <w:keepNext/>
              <w:jc w:val="both"/>
              <w:rPr>
                <w:rFonts w:ascii="Arial" w:eastAsia="Arial" w:hAnsi="Arial" w:cs="Arial"/>
                <w:color w:val="000000"/>
                <w:sz w:val="18"/>
              </w:rPr>
            </w:pP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4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3,336</w:t>
            </w:r>
          </w:p>
        </w:tc>
        <w:tc>
          <w:tcPr>
            <w:tcW w:w="180" w:type="dxa"/>
            <w:tcBorders>
              <w:top w:val="nil"/>
              <w:left w:val="nil"/>
              <w:bottom w:val="nil"/>
              <w:right w:val="nil"/>
              <w:tl2br w:val="nil"/>
              <w:tr2bl w:val="nil"/>
            </w:tcBorders>
            <w:noWrap/>
            <w:tcMar>
              <w:left w:w="0" w:type="dxa"/>
              <w:right w:w="0" w:type="dxa"/>
            </w:tcMar>
            <w:vAlign w:val="bottom"/>
          </w:tcPr>
          <w:p w14:paraId="71F3F04C"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4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w:t>
            </w:r>
          </w:p>
        </w:tc>
        <w:tc>
          <w:tcPr>
            <w:tcW w:w="180" w:type="dxa"/>
            <w:tcBorders>
              <w:top w:val="nil"/>
              <w:left w:val="nil"/>
              <w:bottom w:val="nil"/>
              <w:right w:val="nil"/>
              <w:tl2br w:val="nil"/>
              <w:tr2bl w:val="nil"/>
            </w:tcBorders>
            <w:noWrap/>
            <w:tcMar>
              <w:left w:w="0" w:type="dxa"/>
              <w:right w:w="0" w:type="dxa"/>
            </w:tcMar>
            <w:vAlign w:val="bottom"/>
          </w:tcPr>
          <w:p w14:paraId="71F3F04E"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04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55</w:t>
            </w:r>
          </w:p>
        </w:tc>
      </w:tr>
      <w:tr w:rsidR="00510CAA" w14:paraId="71F3F05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0"/>
        </w:trPr>
        <w:tc>
          <w:tcPr>
            <w:tcW w:w="285" w:type="dxa"/>
            <w:tcBorders>
              <w:top w:val="nil"/>
              <w:left w:val="nil"/>
              <w:bottom w:val="nil"/>
              <w:right w:val="nil"/>
              <w:tl2br w:val="nil"/>
              <w:tr2bl w:val="nil"/>
            </w:tcBorders>
            <w:tcMar>
              <w:left w:w="0" w:type="dxa"/>
              <w:right w:w="0" w:type="dxa"/>
            </w:tcMar>
            <w:vAlign w:val="bottom"/>
          </w:tcPr>
          <w:p w14:paraId="71F3F051" w14:textId="77777777" w:rsidR="00510CAA" w:rsidRDefault="00510CAA">
            <w:pPr>
              <w:keepNext/>
              <w:rPr>
                <w:rFonts w:ascii="Arial" w:eastAsia="Arial" w:hAnsi="Arial" w:cs="Arial"/>
                <w:color w:val="000000"/>
                <w:sz w:val="18"/>
              </w:rPr>
            </w:pPr>
          </w:p>
        </w:tc>
        <w:tc>
          <w:tcPr>
            <w:tcW w:w="4905" w:type="dxa"/>
            <w:tcBorders>
              <w:top w:val="nil"/>
              <w:left w:val="nil"/>
              <w:bottom w:val="nil"/>
              <w:right w:val="nil"/>
              <w:tl2br w:val="nil"/>
              <w:tr2bl w:val="nil"/>
            </w:tcBorders>
            <w:noWrap/>
            <w:tcMar>
              <w:left w:w="0" w:type="dxa"/>
              <w:right w:w="0" w:type="dxa"/>
            </w:tcMar>
            <w:vAlign w:val="bottom"/>
          </w:tcPr>
          <w:p w14:paraId="71F3F052" w14:textId="77777777" w:rsidR="00510CAA" w:rsidRDefault="00510CAA">
            <w:pPr>
              <w:keepNext/>
              <w:rPr>
                <w:rFonts w:ascii="Arial" w:eastAsia="Arial" w:hAnsi="Arial" w:cs="Arial"/>
                <w:b/>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53" w14:textId="77777777" w:rsidR="00510CAA" w:rsidRDefault="00510CAA">
            <w:pPr>
              <w:keepNext/>
              <w:jc w:val="both"/>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54"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55" w14:textId="77777777" w:rsidR="00510CAA" w:rsidRDefault="00510CAA">
            <w:pPr>
              <w:keepNext/>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56"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057" w14:textId="77777777" w:rsidR="00510CAA" w:rsidRDefault="00510CAA">
            <w:pPr>
              <w:keepNext/>
              <w:rPr>
                <w:rFonts w:ascii="Arial" w:eastAsia="Arial" w:hAnsi="Arial" w:cs="Arial"/>
                <w:color w:val="000000"/>
                <w:sz w:val="18"/>
              </w:rPr>
            </w:pPr>
          </w:p>
        </w:tc>
        <w:tc>
          <w:tcPr>
            <w:tcW w:w="1440" w:type="dxa"/>
            <w:tcBorders>
              <w:top w:val="dotted" w:sz="2" w:space="0" w:color="000000"/>
              <w:left w:val="nil"/>
              <w:bottom w:val="nil"/>
              <w:right w:val="nil"/>
              <w:tl2br w:val="nil"/>
              <w:tr2bl w:val="nil"/>
            </w:tcBorders>
            <w:noWrap/>
            <w:tcMar>
              <w:left w:w="0" w:type="dxa"/>
              <w:right w:w="0" w:type="dxa"/>
            </w:tcMar>
            <w:vAlign w:val="bottom"/>
          </w:tcPr>
          <w:p w14:paraId="71F3F058" w14:textId="77777777" w:rsidR="00510CAA" w:rsidRDefault="00510CAA">
            <w:pPr>
              <w:keepNext/>
              <w:rPr>
                <w:rFonts w:ascii="Arial" w:eastAsia="Arial" w:hAnsi="Arial" w:cs="Arial"/>
                <w:color w:val="000000"/>
                <w:sz w:val="18"/>
              </w:rPr>
            </w:pPr>
          </w:p>
        </w:tc>
      </w:tr>
      <w:tr w:rsidR="00510CAA" w14:paraId="71F3F06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90" w:type="dxa"/>
            <w:gridSpan w:val="2"/>
            <w:tcBorders>
              <w:top w:val="nil"/>
              <w:left w:val="nil"/>
              <w:bottom w:val="nil"/>
              <w:right w:val="nil"/>
              <w:tl2br w:val="nil"/>
              <w:tr2bl w:val="nil"/>
            </w:tcBorders>
            <w:noWrap/>
            <w:tcMar>
              <w:left w:w="0" w:type="dxa"/>
              <w:right w:w="0" w:type="dxa"/>
            </w:tcMar>
            <w:vAlign w:val="bottom"/>
          </w:tcPr>
          <w:p w14:paraId="71F3F05A" w14:textId="77777777" w:rsidR="00510CAA" w:rsidRDefault="003A4815">
            <w:pPr>
              <w:keepNext/>
              <w:rPr>
                <w:rFonts w:ascii="Arial" w:eastAsia="Arial" w:hAnsi="Arial" w:cs="Arial"/>
                <w:b/>
                <w:color w:val="000000"/>
                <w:sz w:val="18"/>
              </w:rPr>
            </w:pPr>
            <w:r>
              <w:rPr>
                <w:rFonts w:ascii="Arial" w:eastAsia="Arial" w:hAnsi="Arial" w:cs="Arial"/>
                <w:b/>
                <w:color w:val="000000"/>
                <w:sz w:val="18"/>
              </w:rPr>
              <w:t>Comprehensive income</w:t>
            </w:r>
          </w:p>
        </w:tc>
        <w:tc>
          <w:tcPr>
            <w:tcW w:w="180" w:type="dxa"/>
            <w:tcBorders>
              <w:top w:val="nil"/>
              <w:left w:val="nil"/>
              <w:bottom w:val="nil"/>
              <w:right w:val="nil"/>
              <w:tl2br w:val="nil"/>
              <w:tr2bl w:val="nil"/>
            </w:tcBorders>
            <w:noWrap/>
            <w:tcMar>
              <w:left w:w="0" w:type="dxa"/>
              <w:right w:w="0" w:type="dxa"/>
            </w:tcMar>
            <w:vAlign w:val="bottom"/>
          </w:tcPr>
          <w:p w14:paraId="71F3F05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05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21,163</w:t>
            </w:r>
          </w:p>
        </w:tc>
        <w:tc>
          <w:tcPr>
            <w:tcW w:w="180" w:type="dxa"/>
            <w:tcBorders>
              <w:top w:val="nil"/>
              <w:left w:val="nil"/>
              <w:bottom w:val="nil"/>
              <w:right w:val="nil"/>
              <w:tl2br w:val="nil"/>
              <w:tr2bl w:val="nil"/>
            </w:tcBorders>
            <w:noWrap/>
            <w:tcMar>
              <w:left w:w="0" w:type="dxa"/>
              <w:right w:w="0" w:type="dxa"/>
            </w:tcMar>
            <w:vAlign w:val="bottom"/>
          </w:tcPr>
          <w:p w14:paraId="71F3F05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05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12,750</w:t>
            </w:r>
          </w:p>
        </w:tc>
        <w:tc>
          <w:tcPr>
            <w:tcW w:w="180" w:type="dxa"/>
            <w:tcBorders>
              <w:top w:val="nil"/>
              <w:left w:val="nil"/>
              <w:bottom w:val="nil"/>
              <w:right w:val="nil"/>
              <w:tl2br w:val="nil"/>
              <w:tr2bl w:val="nil"/>
            </w:tcBorders>
            <w:noWrap/>
            <w:tcMar>
              <w:left w:w="0" w:type="dxa"/>
              <w:right w:w="0" w:type="dxa"/>
            </w:tcMar>
            <w:vAlign w:val="bottom"/>
          </w:tcPr>
          <w:p w14:paraId="71F3F05F"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06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49,899</w:t>
            </w:r>
          </w:p>
        </w:tc>
      </w:tr>
      <w:tr w:rsidR="00510CAA" w14:paraId="71F3F06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0"/>
        </w:trPr>
        <w:tc>
          <w:tcPr>
            <w:tcW w:w="285" w:type="dxa"/>
            <w:tcBorders>
              <w:top w:val="nil"/>
              <w:left w:val="nil"/>
              <w:bottom w:val="nil"/>
              <w:right w:val="nil"/>
              <w:tl2br w:val="nil"/>
              <w:tr2bl w:val="nil"/>
            </w:tcBorders>
            <w:noWrap/>
            <w:tcMar>
              <w:left w:w="0" w:type="dxa"/>
              <w:right w:w="0" w:type="dxa"/>
            </w:tcMar>
            <w:vAlign w:val="bottom"/>
          </w:tcPr>
          <w:p w14:paraId="71F3F062" w14:textId="77777777" w:rsidR="00510CAA" w:rsidRDefault="00510CAA">
            <w:pPr>
              <w:keepNext/>
              <w:rPr>
                <w:rFonts w:ascii="Arial" w:eastAsia="Arial" w:hAnsi="Arial" w:cs="Arial"/>
                <w:color w:val="000000"/>
                <w:sz w:val="4"/>
              </w:rPr>
            </w:pPr>
          </w:p>
        </w:tc>
        <w:tc>
          <w:tcPr>
            <w:tcW w:w="4905" w:type="dxa"/>
            <w:tcBorders>
              <w:top w:val="nil"/>
              <w:left w:val="nil"/>
              <w:bottom w:val="nil"/>
              <w:right w:val="nil"/>
              <w:tl2br w:val="nil"/>
              <w:tr2bl w:val="nil"/>
            </w:tcBorders>
            <w:noWrap/>
            <w:tcMar>
              <w:left w:w="0" w:type="dxa"/>
              <w:right w:w="0" w:type="dxa"/>
            </w:tcMar>
            <w:vAlign w:val="bottom"/>
          </w:tcPr>
          <w:p w14:paraId="71F3F063" w14:textId="77777777" w:rsidR="00510CAA" w:rsidRDefault="00510CAA">
            <w:pPr>
              <w:keepNext/>
              <w:rPr>
                <w:rFonts w:ascii="Arial" w:eastAsia="Arial" w:hAnsi="Arial" w:cs="Arial"/>
                <w:color w:val="000000"/>
                <w:sz w:val="4"/>
              </w:rPr>
            </w:pPr>
          </w:p>
        </w:tc>
        <w:tc>
          <w:tcPr>
            <w:tcW w:w="180" w:type="dxa"/>
            <w:tcBorders>
              <w:top w:val="nil"/>
              <w:left w:val="nil"/>
              <w:bottom w:val="nil"/>
              <w:right w:val="nil"/>
              <w:tl2br w:val="nil"/>
              <w:tr2bl w:val="nil"/>
            </w:tcBorders>
            <w:noWrap/>
            <w:tcMar>
              <w:left w:w="0" w:type="dxa"/>
              <w:right w:w="0" w:type="dxa"/>
            </w:tcMar>
            <w:vAlign w:val="bottom"/>
          </w:tcPr>
          <w:p w14:paraId="71F3F064" w14:textId="77777777" w:rsidR="00510CAA" w:rsidRDefault="00510CAA">
            <w:pPr>
              <w:keepNext/>
              <w:rPr>
                <w:rFonts w:ascii="Arial" w:eastAsia="Arial" w:hAnsi="Arial" w:cs="Arial"/>
                <w:color w:val="000000"/>
                <w:sz w:val="4"/>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065" w14:textId="77777777" w:rsidR="00510CAA" w:rsidRDefault="00510CAA">
            <w:pPr>
              <w:keepNext/>
              <w:rPr>
                <w:rFonts w:ascii="Arial" w:eastAsia="Arial" w:hAnsi="Arial" w:cs="Arial"/>
                <w:color w:val="000000"/>
                <w:sz w:val="4"/>
              </w:rPr>
            </w:pPr>
          </w:p>
        </w:tc>
        <w:tc>
          <w:tcPr>
            <w:tcW w:w="180" w:type="dxa"/>
            <w:tcBorders>
              <w:top w:val="nil"/>
              <w:left w:val="nil"/>
              <w:bottom w:val="nil"/>
              <w:right w:val="nil"/>
              <w:tl2br w:val="nil"/>
              <w:tr2bl w:val="nil"/>
            </w:tcBorders>
            <w:noWrap/>
            <w:tcMar>
              <w:left w:w="0" w:type="dxa"/>
              <w:right w:w="0" w:type="dxa"/>
            </w:tcMar>
            <w:vAlign w:val="bottom"/>
          </w:tcPr>
          <w:p w14:paraId="71F3F066" w14:textId="77777777" w:rsidR="00510CAA" w:rsidRDefault="00510CAA">
            <w:pPr>
              <w:keepNext/>
              <w:rPr>
                <w:rFonts w:ascii="Arial" w:eastAsia="Arial" w:hAnsi="Arial" w:cs="Arial"/>
                <w:color w:val="000000"/>
                <w:sz w:val="4"/>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067" w14:textId="77777777" w:rsidR="00510CAA" w:rsidRDefault="00510CAA">
            <w:pPr>
              <w:keepNext/>
              <w:rPr>
                <w:rFonts w:ascii="Arial" w:eastAsia="Arial" w:hAnsi="Arial" w:cs="Arial"/>
                <w:color w:val="000000"/>
                <w:sz w:val="4"/>
              </w:rPr>
            </w:pPr>
          </w:p>
        </w:tc>
        <w:tc>
          <w:tcPr>
            <w:tcW w:w="180" w:type="dxa"/>
            <w:tcBorders>
              <w:top w:val="nil"/>
              <w:left w:val="nil"/>
              <w:bottom w:val="nil"/>
              <w:right w:val="nil"/>
              <w:tl2br w:val="nil"/>
              <w:tr2bl w:val="nil"/>
            </w:tcBorders>
            <w:noWrap/>
            <w:tcMar>
              <w:left w:w="0" w:type="dxa"/>
              <w:right w:w="0" w:type="dxa"/>
            </w:tcMar>
            <w:vAlign w:val="bottom"/>
          </w:tcPr>
          <w:p w14:paraId="71F3F068" w14:textId="77777777" w:rsidR="00510CAA" w:rsidRDefault="00510CAA">
            <w:pPr>
              <w:keepNext/>
              <w:rPr>
                <w:rFonts w:ascii="Arial" w:eastAsia="Arial" w:hAnsi="Arial" w:cs="Arial"/>
                <w:color w:val="000000"/>
                <w:sz w:val="4"/>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069" w14:textId="77777777" w:rsidR="00510CAA" w:rsidRDefault="00510CAA">
            <w:pPr>
              <w:keepNext/>
              <w:rPr>
                <w:rFonts w:ascii="Arial" w:eastAsia="Arial" w:hAnsi="Arial" w:cs="Arial"/>
                <w:color w:val="000000"/>
                <w:sz w:val="4"/>
              </w:rPr>
            </w:pPr>
          </w:p>
        </w:tc>
      </w:tr>
      <w:tr w:rsidR="00510CAA" w14:paraId="71F3F06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10050" w:type="dxa"/>
            <w:gridSpan w:val="8"/>
            <w:tcBorders>
              <w:top w:val="nil"/>
              <w:left w:val="nil"/>
              <w:bottom w:val="nil"/>
              <w:right w:val="nil"/>
              <w:tl2br w:val="nil"/>
              <w:tr2bl w:val="nil"/>
            </w:tcBorders>
            <w:noWrap/>
            <w:tcMar>
              <w:left w:w="0" w:type="dxa"/>
              <w:right w:w="0" w:type="dxa"/>
            </w:tcMar>
            <w:vAlign w:val="bottom"/>
          </w:tcPr>
          <w:p w14:paraId="71F3F06B"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The accompanying notes are an integral part of these consolidated financial statements.</w:t>
            </w:r>
          </w:p>
        </w:tc>
      </w:tr>
    </w:tbl>
    <w:p w14:paraId="71F3F06D" w14:textId="77777777" w:rsidR="00510CAA" w:rsidRDefault="00510CAA">
      <w:pPr>
        <w:rPr>
          <w:rFonts w:ascii="Arial" w:eastAsia="Arial" w:hAnsi="Arial" w:cs="Arial"/>
        </w:rPr>
        <w:sectPr w:rsidR="00510CAA" w:rsidSect="00982C6E">
          <w:headerReference w:type="even" r:id="rId67"/>
          <w:headerReference w:type="default" r:id="rId68"/>
          <w:footerReference w:type="even" r:id="rId69"/>
          <w:footerReference w:type="default" r:id="rId70"/>
          <w:headerReference w:type="first" r:id="rId71"/>
          <w:footerReference w:type="first" r:id="rId72"/>
          <w:type w:val="continuous"/>
          <w:pgSz w:w="12240" w:h="15840"/>
          <w:pgMar w:top="1134" w:right="1134" w:bottom="1134" w:left="851" w:header="720" w:footer="720" w:gutter="0"/>
          <w:pgBorders>
            <w:top w:val="nil"/>
            <w:left w:val="nil"/>
            <w:bottom w:val="nil"/>
            <w:right w:val="nil"/>
          </w:pgBorders>
          <w:pgNumType w:start="1"/>
          <w:cols w:space="720"/>
          <w:docGrid w:linePitch="360"/>
        </w:sectPr>
      </w:pPr>
    </w:p>
    <w:tbl>
      <w:tblPr>
        <w:tblStyle w:val="CDMRange2"/>
        <w:tblW w:w="14610" w:type="dxa"/>
        <w:tblLayout w:type="fixed"/>
        <w:tblLook w:val="0600" w:firstRow="0" w:lastRow="0" w:firstColumn="0" w:lastColumn="0" w:noHBand="1" w:noVBand="1"/>
      </w:tblPr>
      <w:tblGrid>
        <w:gridCol w:w="120"/>
        <w:gridCol w:w="1755"/>
        <w:gridCol w:w="285"/>
        <w:gridCol w:w="975"/>
        <w:gridCol w:w="180"/>
        <w:gridCol w:w="600"/>
        <w:gridCol w:w="165"/>
        <w:gridCol w:w="810"/>
        <w:gridCol w:w="180"/>
        <w:gridCol w:w="600"/>
        <w:gridCol w:w="165"/>
        <w:gridCol w:w="810"/>
        <w:gridCol w:w="285"/>
        <w:gridCol w:w="600"/>
        <w:gridCol w:w="180"/>
        <w:gridCol w:w="1170"/>
        <w:gridCol w:w="285"/>
        <w:gridCol w:w="600"/>
        <w:gridCol w:w="180"/>
        <w:gridCol w:w="945"/>
        <w:gridCol w:w="180"/>
        <w:gridCol w:w="960"/>
        <w:gridCol w:w="180"/>
        <w:gridCol w:w="1140"/>
        <w:gridCol w:w="285"/>
        <w:gridCol w:w="975"/>
      </w:tblGrid>
      <w:tr w:rsidR="00510CAA" w14:paraId="71F3F077" w14:textId="77777777">
        <w:trPr>
          <w:cantSplit/>
          <w:trHeight w:hRule="exact" w:val="180"/>
        </w:trPr>
        <w:tc>
          <w:tcPr>
            <w:tcW w:w="9765" w:type="dxa"/>
            <w:gridSpan w:val="18"/>
            <w:tcBorders>
              <w:top w:val="nil"/>
              <w:left w:val="nil"/>
              <w:bottom w:val="nil"/>
              <w:right w:val="nil"/>
              <w:tl2br w:val="nil"/>
              <w:tr2bl w:val="nil"/>
            </w:tcBorders>
            <w:noWrap/>
            <w:tcMar>
              <w:left w:w="43" w:type="dxa"/>
              <w:right w:w="43" w:type="dxa"/>
            </w:tcMar>
            <w:vAlign w:val="bottom"/>
          </w:tcPr>
          <w:p w14:paraId="71F3F06E" w14:textId="77777777" w:rsidR="00510CAA" w:rsidRDefault="003A4815">
            <w:pPr>
              <w:keepNext/>
              <w:pageBreakBefore/>
              <w:rPr>
                <w:rFonts w:ascii="Arial" w:eastAsia="Arial" w:hAnsi="Arial" w:cs="Arial"/>
                <w:b/>
                <w:color w:val="000000"/>
                <w:sz w:val="16"/>
              </w:rPr>
            </w:pPr>
            <w:bookmarkStart w:id="389" w:name="RG_MARKER_22973"/>
            <w:r>
              <w:rPr>
                <w:rFonts w:ascii="Arial" w:eastAsia="Arial" w:hAnsi="Arial" w:cs="Arial"/>
                <w:b/>
                <w:color w:val="000000"/>
                <w:sz w:val="16"/>
              </w:rPr>
              <w:t xml:space="preserve">DIANA SHIPPING INC. </w:t>
            </w:r>
            <w:bookmarkEnd w:id="389"/>
          </w:p>
        </w:tc>
        <w:tc>
          <w:tcPr>
            <w:tcW w:w="180" w:type="dxa"/>
            <w:tcBorders>
              <w:top w:val="nil"/>
              <w:left w:val="nil"/>
              <w:bottom w:val="nil"/>
              <w:right w:val="nil"/>
              <w:tl2br w:val="nil"/>
              <w:tr2bl w:val="nil"/>
            </w:tcBorders>
            <w:noWrap/>
            <w:tcMar>
              <w:left w:w="0" w:type="dxa"/>
              <w:right w:w="0" w:type="dxa"/>
            </w:tcMar>
            <w:vAlign w:val="bottom"/>
          </w:tcPr>
          <w:p w14:paraId="71F3F06F" w14:textId="77777777" w:rsidR="00510CAA" w:rsidRDefault="00510CAA">
            <w:pPr>
              <w:keepNext/>
              <w:rPr>
                <w:rFonts w:ascii="Arial" w:eastAsia="Arial" w:hAnsi="Arial" w:cs="Arial"/>
                <w:b/>
                <w:color w:val="000000"/>
                <w:sz w:val="16"/>
              </w:rPr>
            </w:pPr>
          </w:p>
        </w:tc>
        <w:tc>
          <w:tcPr>
            <w:tcW w:w="945" w:type="dxa"/>
            <w:tcBorders>
              <w:top w:val="nil"/>
              <w:left w:val="nil"/>
              <w:bottom w:val="nil"/>
              <w:right w:val="nil"/>
              <w:tl2br w:val="nil"/>
              <w:tr2bl w:val="nil"/>
            </w:tcBorders>
            <w:noWrap/>
            <w:tcMar>
              <w:left w:w="0" w:type="dxa"/>
              <w:right w:w="0" w:type="dxa"/>
            </w:tcMar>
            <w:vAlign w:val="bottom"/>
          </w:tcPr>
          <w:p w14:paraId="71F3F070" w14:textId="77777777" w:rsidR="00510CAA" w:rsidRDefault="00510CAA">
            <w:pPr>
              <w:keepNext/>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71" w14:textId="77777777" w:rsidR="00510CAA" w:rsidRDefault="00510CAA">
            <w:pPr>
              <w:keepNext/>
              <w:rPr>
                <w:rFonts w:ascii="Arial" w:eastAsia="Arial" w:hAnsi="Arial" w:cs="Arial"/>
                <w:b/>
                <w:color w:val="000000"/>
                <w:sz w:val="16"/>
              </w:rPr>
            </w:pPr>
          </w:p>
        </w:tc>
        <w:tc>
          <w:tcPr>
            <w:tcW w:w="960" w:type="dxa"/>
            <w:tcBorders>
              <w:top w:val="nil"/>
              <w:left w:val="nil"/>
              <w:bottom w:val="nil"/>
              <w:right w:val="nil"/>
              <w:tl2br w:val="nil"/>
              <w:tr2bl w:val="nil"/>
            </w:tcBorders>
            <w:noWrap/>
            <w:tcMar>
              <w:left w:w="0" w:type="dxa"/>
              <w:right w:w="0" w:type="dxa"/>
            </w:tcMar>
            <w:vAlign w:val="bottom"/>
          </w:tcPr>
          <w:p w14:paraId="71F3F072" w14:textId="77777777" w:rsidR="00510CAA" w:rsidRDefault="00510CAA">
            <w:pPr>
              <w:keepNext/>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73" w14:textId="77777777" w:rsidR="00510CAA" w:rsidRDefault="00510CAA">
            <w:pPr>
              <w:keepNext/>
              <w:rPr>
                <w:rFonts w:ascii="Arial" w:eastAsia="Arial" w:hAnsi="Arial" w:cs="Arial"/>
                <w:b/>
                <w:color w:val="000000"/>
                <w:sz w:val="16"/>
              </w:rPr>
            </w:pPr>
          </w:p>
        </w:tc>
        <w:tc>
          <w:tcPr>
            <w:tcW w:w="1140" w:type="dxa"/>
            <w:tcBorders>
              <w:top w:val="nil"/>
              <w:left w:val="nil"/>
              <w:bottom w:val="nil"/>
              <w:right w:val="nil"/>
              <w:tl2br w:val="nil"/>
              <w:tr2bl w:val="nil"/>
            </w:tcBorders>
            <w:noWrap/>
            <w:tcMar>
              <w:left w:w="0" w:type="dxa"/>
              <w:right w:w="0" w:type="dxa"/>
            </w:tcMar>
            <w:vAlign w:val="bottom"/>
          </w:tcPr>
          <w:p w14:paraId="71F3F074" w14:textId="77777777" w:rsidR="00510CAA" w:rsidRDefault="00510CAA">
            <w:pPr>
              <w:keepNext/>
              <w:rPr>
                <w:rFonts w:ascii="Arial" w:eastAsia="Arial" w:hAnsi="Arial" w:cs="Arial"/>
                <w:b/>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75" w14:textId="77777777" w:rsidR="00510CAA" w:rsidRDefault="00510CAA">
            <w:pPr>
              <w:keepNext/>
              <w:rPr>
                <w:rFonts w:ascii="Arial" w:eastAsia="Arial" w:hAnsi="Arial" w:cs="Arial"/>
                <w:b/>
                <w:color w:val="000000"/>
                <w:sz w:val="16"/>
              </w:rPr>
            </w:pPr>
          </w:p>
        </w:tc>
        <w:tc>
          <w:tcPr>
            <w:tcW w:w="975" w:type="dxa"/>
            <w:tcBorders>
              <w:top w:val="nil"/>
              <w:left w:val="nil"/>
              <w:bottom w:val="nil"/>
              <w:right w:val="nil"/>
              <w:tl2br w:val="nil"/>
              <w:tr2bl w:val="nil"/>
            </w:tcBorders>
            <w:noWrap/>
            <w:tcMar>
              <w:left w:w="0" w:type="dxa"/>
              <w:right w:w="0" w:type="dxa"/>
            </w:tcMar>
            <w:vAlign w:val="bottom"/>
          </w:tcPr>
          <w:p w14:paraId="71F3F076" w14:textId="77777777" w:rsidR="00510CAA" w:rsidRDefault="00510CAA">
            <w:pPr>
              <w:keepNext/>
              <w:rPr>
                <w:rFonts w:ascii="Arial" w:eastAsia="Arial" w:hAnsi="Arial" w:cs="Arial"/>
                <w:b/>
                <w:color w:val="000000"/>
                <w:sz w:val="16"/>
              </w:rPr>
            </w:pPr>
          </w:p>
        </w:tc>
      </w:tr>
      <w:tr w:rsidR="00510CAA" w14:paraId="71F3F07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80"/>
        </w:trPr>
        <w:tc>
          <w:tcPr>
            <w:tcW w:w="14610" w:type="dxa"/>
            <w:gridSpan w:val="26"/>
            <w:tcBorders>
              <w:top w:val="nil"/>
              <w:left w:val="nil"/>
              <w:bottom w:val="nil"/>
              <w:right w:val="nil"/>
              <w:tl2br w:val="nil"/>
              <w:tr2bl w:val="nil"/>
            </w:tcBorders>
            <w:noWrap/>
            <w:tcMar>
              <w:left w:w="43" w:type="dxa"/>
              <w:right w:w="43" w:type="dxa"/>
            </w:tcMar>
            <w:vAlign w:val="bottom"/>
          </w:tcPr>
          <w:p w14:paraId="71F3F078" w14:textId="77777777" w:rsidR="00510CAA" w:rsidRDefault="003A4815">
            <w:pPr>
              <w:keepNext/>
              <w:rPr>
                <w:rFonts w:ascii="Arial" w:eastAsia="Arial" w:hAnsi="Arial" w:cs="Arial"/>
                <w:color w:val="000000"/>
                <w:sz w:val="16"/>
              </w:rPr>
            </w:pPr>
            <w:r>
              <w:rPr>
                <w:rFonts w:ascii="Arial" w:eastAsia="Arial" w:hAnsi="Arial" w:cs="Arial"/>
                <w:color w:val="000000"/>
                <w:sz w:val="16"/>
              </w:rPr>
              <w:t>CONSOLIDATED STATEMENTS OF STOCKHOLDERS’ EQUITY</w:t>
            </w:r>
          </w:p>
        </w:tc>
      </w:tr>
      <w:tr w:rsidR="00510CAA" w14:paraId="71F3F07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80"/>
        </w:trPr>
        <w:tc>
          <w:tcPr>
            <w:tcW w:w="14610" w:type="dxa"/>
            <w:gridSpan w:val="26"/>
            <w:tcBorders>
              <w:top w:val="nil"/>
              <w:left w:val="nil"/>
              <w:bottom w:val="nil"/>
              <w:right w:val="nil"/>
              <w:tl2br w:val="nil"/>
              <w:tr2bl w:val="nil"/>
            </w:tcBorders>
            <w:noWrap/>
            <w:tcMar>
              <w:left w:w="43" w:type="dxa"/>
              <w:right w:w="43" w:type="dxa"/>
            </w:tcMar>
            <w:vAlign w:val="bottom"/>
          </w:tcPr>
          <w:p w14:paraId="71F3F07A" w14:textId="77777777" w:rsidR="00510CAA" w:rsidRDefault="003A4815">
            <w:pPr>
              <w:keepNext/>
              <w:rPr>
                <w:rFonts w:ascii="Arial" w:eastAsia="Arial" w:hAnsi="Arial" w:cs="Arial"/>
                <w:color w:val="000000"/>
                <w:sz w:val="16"/>
              </w:rPr>
            </w:pPr>
            <w:r>
              <w:rPr>
                <w:rFonts w:ascii="Arial" w:eastAsia="Arial" w:hAnsi="Arial" w:cs="Arial"/>
                <w:color w:val="000000"/>
                <w:sz w:val="16"/>
              </w:rPr>
              <w:t>For the years ended December 31, 2025, 2024 and 2023</w:t>
            </w:r>
          </w:p>
        </w:tc>
      </w:tr>
      <w:tr w:rsidR="00510CAA" w14:paraId="71F3F07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80"/>
        </w:trPr>
        <w:tc>
          <w:tcPr>
            <w:tcW w:w="14610" w:type="dxa"/>
            <w:gridSpan w:val="26"/>
            <w:tcBorders>
              <w:top w:val="nil"/>
              <w:left w:val="nil"/>
              <w:bottom w:val="nil"/>
              <w:right w:val="nil"/>
              <w:tl2br w:val="nil"/>
              <w:tr2bl w:val="nil"/>
            </w:tcBorders>
            <w:noWrap/>
            <w:tcMar>
              <w:left w:w="43" w:type="dxa"/>
              <w:right w:w="43" w:type="dxa"/>
            </w:tcMar>
            <w:vAlign w:val="bottom"/>
          </w:tcPr>
          <w:p w14:paraId="71F3F07C" w14:textId="77777777" w:rsidR="00510CAA" w:rsidRDefault="003A4815">
            <w:pPr>
              <w:keepNext/>
              <w:rPr>
                <w:rFonts w:ascii="Arial" w:eastAsia="Arial" w:hAnsi="Arial" w:cs="Arial"/>
                <w:color w:val="000000"/>
                <w:sz w:val="16"/>
              </w:rPr>
            </w:pPr>
            <w:r>
              <w:rPr>
                <w:rFonts w:ascii="Arial" w:eastAsia="Arial" w:hAnsi="Arial" w:cs="Arial"/>
                <w:color w:val="000000"/>
                <w:sz w:val="16"/>
              </w:rPr>
              <w:t>(Expressed in thousands of U.S. Dollars – except for share data)</w:t>
            </w:r>
          </w:p>
        </w:tc>
      </w:tr>
      <w:tr w:rsidR="00510CAA" w14:paraId="71F3F09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20" w:type="dxa"/>
            <w:tcBorders>
              <w:top w:val="nil"/>
              <w:left w:val="nil"/>
              <w:bottom w:val="nil"/>
              <w:right w:val="nil"/>
              <w:tl2br w:val="nil"/>
              <w:tr2bl w:val="nil"/>
            </w:tcBorders>
            <w:noWrap/>
            <w:tcMar>
              <w:left w:w="0" w:type="dxa"/>
              <w:right w:w="0" w:type="dxa"/>
            </w:tcMar>
            <w:vAlign w:val="bottom"/>
          </w:tcPr>
          <w:p w14:paraId="71F3F07E" w14:textId="77777777" w:rsidR="00510CAA" w:rsidRDefault="00510CAA">
            <w:pPr>
              <w:keepNext/>
              <w:rPr>
                <w:rFonts w:ascii="Arial" w:eastAsia="Arial" w:hAnsi="Arial" w:cs="Arial"/>
                <w:color w:val="000000"/>
                <w:sz w:val="16"/>
              </w:rPr>
            </w:pPr>
          </w:p>
        </w:tc>
        <w:tc>
          <w:tcPr>
            <w:tcW w:w="1755" w:type="dxa"/>
            <w:tcBorders>
              <w:top w:val="nil"/>
              <w:left w:val="nil"/>
              <w:bottom w:val="nil"/>
              <w:right w:val="nil"/>
              <w:tl2br w:val="nil"/>
              <w:tr2bl w:val="nil"/>
            </w:tcBorders>
            <w:noWrap/>
            <w:tcMar>
              <w:left w:w="0" w:type="dxa"/>
              <w:right w:w="0" w:type="dxa"/>
            </w:tcMar>
            <w:vAlign w:val="bottom"/>
          </w:tcPr>
          <w:p w14:paraId="71F3F07F"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80"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0" w:type="dxa"/>
              <w:right w:w="0" w:type="dxa"/>
            </w:tcMar>
            <w:vAlign w:val="bottom"/>
          </w:tcPr>
          <w:p w14:paraId="71F3F081" w14:textId="77777777" w:rsidR="00510CAA" w:rsidRDefault="00510CAA">
            <w:pPr>
              <w:keepNext/>
              <w:rPr>
                <w:rFonts w:ascii="Arial" w:eastAsia="Arial" w:hAnsi="Arial" w:cs="Arial"/>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82"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0" w:type="dxa"/>
              <w:right w:w="0" w:type="dxa"/>
            </w:tcMar>
            <w:vAlign w:val="bottom"/>
          </w:tcPr>
          <w:p w14:paraId="71F3F083" w14:textId="77777777" w:rsidR="00510CAA" w:rsidRDefault="00510CAA">
            <w:pPr>
              <w:keepNext/>
              <w:rPr>
                <w:rFonts w:ascii="Arial" w:eastAsia="Arial" w:hAnsi="Arial" w:cs="Arial"/>
                <w:color w:val="000000"/>
                <w:sz w:val="16"/>
              </w:rPr>
            </w:pPr>
          </w:p>
        </w:tc>
        <w:tc>
          <w:tcPr>
            <w:tcW w:w="165" w:type="dxa"/>
            <w:tcBorders>
              <w:top w:val="nil"/>
              <w:left w:val="nil"/>
              <w:bottom w:val="nil"/>
              <w:right w:val="nil"/>
              <w:tl2br w:val="nil"/>
              <w:tr2bl w:val="nil"/>
            </w:tcBorders>
            <w:noWrap/>
            <w:tcMar>
              <w:left w:w="0" w:type="dxa"/>
              <w:right w:w="0" w:type="dxa"/>
            </w:tcMar>
            <w:vAlign w:val="bottom"/>
          </w:tcPr>
          <w:p w14:paraId="71F3F084"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0" w:type="dxa"/>
              <w:right w:w="0" w:type="dxa"/>
            </w:tcMar>
            <w:vAlign w:val="bottom"/>
          </w:tcPr>
          <w:p w14:paraId="71F3F085" w14:textId="77777777" w:rsidR="00510CAA" w:rsidRDefault="00510CAA">
            <w:pPr>
              <w:keepNext/>
              <w:rPr>
                <w:rFonts w:ascii="Arial" w:eastAsia="Arial" w:hAnsi="Arial" w:cs="Arial"/>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86"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0" w:type="dxa"/>
              <w:right w:w="0" w:type="dxa"/>
            </w:tcMar>
            <w:vAlign w:val="bottom"/>
          </w:tcPr>
          <w:p w14:paraId="71F3F087" w14:textId="77777777" w:rsidR="00510CAA" w:rsidRDefault="00510CAA">
            <w:pPr>
              <w:keepNext/>
              <w:rPr>
                <w:rFonts w:ascii="Arial" w:eastAsia="Arial" w:hAnsi="Arial" w:cs="Arial"/>
                <w:color w:val="000000"/>
                <w:sz w:val="16"/>
              </w:rPr>
            </w:pPr>
          </w:p>
        </w:tc>
        <w:tc>
          <w:tcPr>
            <w:tcW w:w="165" w:type="dxa"/>
            <w:tcBorders>
              <w:top w:val="nil"/>
              <w:left w:val="nil"/>
              <w:bottom w:val="nil"/>
              <w:right w:val="nil"/>
              <w:tl2br w:val="nil"/>
              <w:tr2bl w:val="nil"/>
            </w:tcBorders>
            <w:noWrap/>
            <w:tcMar>
              <w:left w:w="0" w:type="dxa"/>
              <w:right w:w="0" w:type="dxa"/>
            </w:tcMar>
            <w:vAlign w:val="bottom"/>
          </w:tcPr>
          <w:p w14:paraId="71F3F088"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0" w:type="dxa"/>
              <w:right w:w="0" w:type="dxa"/>
            </w:tcMar>
            <w:vAlign w:val="bottom"/>
          </w:tcPr>
          <w:p w14:paraId="71F3F089"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8A"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0" w:type="dxa"/>
              <w:right w:w="0" w:type="dxa"/>
            </w:tcMar>
            <w:vAlign w:val="bottom"/>
          </w:tcPr>
          <w:p w14:paraId="71F3F08B" w14:textId="77777777" w:rsidR="00510CAA" w:rsidRDefault="00510CAA">
            <w:pPr>
              <w:keepNext/>
              <w:rPr>
                <w:rFonts w:ascii="Arial" w:eastAsia="Arial" w:hAnsi="Arial" w:cs="Arial"/>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8C"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0" w:type="dxa"/>
              <w:right w:w="0" w:type="dxa"/>
            </w:tcMar>
            <w:vAlign w:val="bottom"/>
          </w:tcPr>
          <w:p w14:paraId="71F3F08D"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8E"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0" w:type="dxa"/>
              <w:right w:w="0" w:type="dxa"/>
            </w:tcMar>
            <w:vAlign w:val="bottom"/>
          </w:tcPr>
          <w:p w14:paraId="71F3F08F" w14:textId="77777777" w:rsidR="00510CAA" w:rsidRDefault="00510CAA">
            <w:pPr>
              <w:keepNext/>
              <w:rPr>
                <w:rFonts w:ascii="Arial" w:eastAsia="Arial" w:hAnsi="Arial" w:cs="Arial"/>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90"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tcMar>
              <w:left w:w="0" w:type="dxa"/>
              <w:right w:w="0" w:type="dxa"/>
            </w:tcMar>
            <w:vAlign w:val="bottom"/>
          </w:tcPr>
          <w:p w14:paraId="71F3F091" w14:textId="77777777" w:rsidR="00510CAA" w:rsidRDefault="00510CAA">
            <w:pPr>
              <w:keepNext/>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92"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tcMar>
              <w:left w:w="0" w:type="dxa"/>
              <w:right w:w="0" w:type="dxa"/>
            </w:tcMar>
            <w:vAlign w:val="bottom"/>
          </w:tcPr>
          <w:p w14:paraId="71F3F093" w14:textId="77777777" w:rsidR="00510CAA" w:rsidRDefault="00510CAA">
            <w:pPr>
              <w:keepNext/>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94"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tcMar>
              <w:left w:w="0" w:type="dxa"/>
              <w:right w:w="0" w:type="dxa"/>
            </w:tcMar>
            <w:vAlign w:val="bottom"/>
          </w:tcPr>
          <w:p w14:paraId="71F3F095" w14:textId="77777777" w:rsidR="00510CAA" w:rsidRDefault="00510CAA">
            <w:pPr>
              <w:keepNext/>
              <w:rPr>
                <w:rFonts w:ascii="Arial" w:eastAsia="Arial" w:hAnsi="Arial" w:cs="Arial"/>
                <w:b/>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96"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tcMar>
              <w:left w:w="0" w:type="dxa"/>
              <w:right w:w="0" w:type="dxa"/>
            </w:tcMar>
            <w:vAlign w:val="bottom"/>
          </w:tcPr>
          <w:p w14:paraId="71F3F097" w14:textId="77777777" w:rsidR="00510CAA" w:rsidRDefault="00510CAA">
            <w:pPr>
              <w:keepNext/>
              <w:rPr>
                <w:rFonts w:ascii="Arial" w:eastAsia="Arial" w:hAnsi="Arial" w:cs="Arial"/>
                <w:b/>
                <w:color w:val="000000"/>
                <w:sz w:val="16"/>
              </w:rPr>
            </w:pPr>
          </w:p>
        </w:tc>
      </w:tr>
      <w:tr w:rsidR="00510CAA" w14:paraId="71F3F0A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20" w:type="dxa"/>
            <w:tcBorders>
              <w:top w:val="nil"/>
              <w:left w:val="nil"/>
              <w:bottom w:val="nil"/>
              <w:right w:val="nil"/>
              <w:tl2br w:val="nil"/>
              <w:tr2bl w:val="nil"/>
            </w:tcBorders>
            <w:tcMar>
              <w:left w:w="0" w:type="dxa"/>
              <w:right w:w="0" w:type="dxa"/>
            </w:tcMar>
            <w:vAlign w:val="bottom"/>
          </w:tcPr>
          <w:p w14:paraId="71F3F099" w14:textId="77777777" w:rsidR="00510CAA" w:rsidRDefault="00510CAA">
            <w:pPr>
              <w:keepNext/>
              <w:rPr>
                <w:rFonts w:ascii="Arial" w:eastAsia="Arial" w:hAnsi="Arial" w:cs="Arial"/>
                <w:color w:val="000000"/>
                <w:sz w:val="16"/>
              </w:rPr>
            </w:pPr>
          </w:p>
        </w:tc>
        <w:tc>
          <w:tcPr>
            <w:tcW w:w="1755" w:type="dxa"/>
            <w:tcBorders>
              <w:top w:val="nil"/>
              <w:left w:val="nil"/>
              <w:bottom w:val="nil"/>
              <w:right w:val="nil"/>
              <w:tl2br w:val="nil"/>
              <w:tr2bl w:val="nil"/>
            </w:tcBorders>
            <w:tcMar>
              <w:left w:w="0" w:type="dxa"/>
              <w:right w:w="0" w:type="dxa"/>
            </w:tcMar>
            <w:vAlign w:val="bottom"/>
          </w:tcPr>
          <w:p w14:paraId="71F3F09A"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tcMar>
              <w:left w:w="0" w:type="dxa"/>
              <w:right w:w="0" w:type="dxa"/>
            </w:tcMar>
            <w:vAlign w:val="bottom"/>
          </w:tcPr>
          <w:p w14:paraId="71F3F09B" w14:textId="77777777" w:rsidR="00510CAA" w:rsidRDefault="00510CAA">
            <w:pPr>
              <w:keepNext/>
              <w:rPr>
                <w:rFonts w:ascii="Arial" w:eastAsia="Arial" w:hAnsi="Arial" w:cs="Arial"/>
                <w:color w:val="000000"/>
                <w:sz w:val="16"/>
              </w:rPr>
            </w:pPr>
          </w:p>
        </w:tc>
        <w:tc>
          <w:tcPr>
            <w:tcW w:w="1755" w:type="dxa"/>
            <w:gridSpan w:val="3"/>
            <w:vMerge w:val="restart"/>
            <w:tcBorders>
              <w:top w:val="nil"/>
              <w:left w:val="nil"/>
              <w:bottom w:val="nil"/>
              <w:right w:val="nil"/>
              <w:tl2br w:val="nil"/>
              <w:tr2bl w:val="nil"/>
            </w:tcBorders>
            <w:tcMar>
              <w:left w:w="43" w:type="dxa"/>
              <w:right w:w="43" w:type="dxa"/>
            </w:tcMar>
            <w:vAlign w:val="bottom"/>
          </w:tcPr>
          <w:p w14:paraId="71F3F09C"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Preferred Stock Series B</w:t>
            </w:r>
          </w:p>
        </w:tc>
        <w:tc>
          <w:tcPr>
            <w:tcW w:w="165" w:type="dxa"/>
            <w:tcBorders>
              <w:top w:val="nil"/>
              <w:left w:val="nil"/>
              <w:bottom w:val="nil"/>
              <w:right w:val="nil"/>
              <w:tl2br w:val="nil"/>
              <w:tr2bl w:val="nil"/>
            </w:tcBorders>
            <w:noWrap/>
            <w:tcMar>
              <w:left w:w="0" w:type="dxa"/>
              <w:right w:w="0" w:type="dxa"/>
            </w:tcMar>
            <w:vAlign w:val="bottom"/>
          </w:tcPr>
          <w:p w14:paraId="71F3F09D" w14:textId="77777777" w:rsidR="00510CAA" w:rsidRDefault="00510CAA">
            <w:pPr>
              <w:keepNext/>
              <w:rPr>
                <w:rFonts w:ascii="Arial" w:eastAsia="Arial" w:hAnsi="Arial" w:cs="Arial"/>
                <w:color w:val="000000"/>
                <w:sz w:val="16"/>
              </w:rPr>
            </w:pPr>
          </w:p>
        </w:tc>
        <w:tc>
          <w:tcPr>
            <w:tcW w:w="1590" w:type="dxa"/>
            <w:gridSpan w:val="3"/>
            <w:vMerge w:val="restart"/>
            <w:tcBorders>
              <w:top w:val="nil"/>
              <w:left w:val="nil"/>
              <w:bottom w:val="nil"/>
              <w:right w:val="nil"/>
              <w:tl2br w:val="nil"/>
              <w:tr2bl w:val="nil"/>
            </w:tcBorders>
            <w:tcMar>
              <w:left w:w="43" w:type="dxa"/>
              <w:right w:w="43" w:type="dxa"/>
            </w:tcMar>
            <w:vAlign w:val="bottom"/>
          </w:tcPr>
          <w:p w14:paraId="71F3F09E"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Preferred Stock Series C</w:t>
            </w:r>
          </w:p>
        </w:tc>
        <w:tc>
          <w:tcPr>
            <w:tcW w:w="165" w:type="dxa"/>
            <w:tcBorders>
              <w:top w:val="nil"/>
              <w:left w:val="nil"/>
              <w:bottom w:val="nil"/>
              <w:right w:val="nil"/>
              <w:tl2br w:val="nil"/>
              <w:tr2bl w:val="nil"/>
            </w:tcBorders>
            <w:noWrap/>
            <w:tcMar>
              <w:left w:w="0" w:type="dxa"/>
              <w:right w:w="0" w:type="dxa"/>
            </w:tcMar>
            <w:vAlign w:val="bottom"/>
          </w:tcPr>
          <w:p w14:paraId="71F3F09F" w14:textId="77777777" w:rsidR="00510CAA" w:rsidRDefault="00510CAA">
            <w:pPr>
              <w:keepNext/>
              <w:rPr>
                <w:rFonts w:ascii="Arial" w:eastAsia="Arial" w:hAnsi="Arial" w:cs="Arial"/>
                <w:color w:val="000000"/>
                <w:sz w:val="16"/>
              </w:rPr>
            </w:pPr>
          </w:p>
        </w:tc>
        <w:tc>
          <w:tcPr>
            <w:tcW w:w="1695" w:type="dxa"/>
            <w:gridSpan w:val="3"/>
            <w:vMerge w:val="restart"/>
            <w:tcBorders>
              <w:top w:val="nil"/>
              <w:left w:val="nil"/>
              <w:bottom w:val="nil"/>
              <w:right w:val="nil"/>
              <w:tl2br w:val="nil"/>
              <w:tr2bl w:val="nil"/>
            </w:tcBorders>
            <w:tcMar>
              <w:left w:w="43" w:type="dxa"/>
              <w:right w:w="43" w:type="dxa"/>
            </w:tcMar>
            <w:vAlign w:val="bottom"/>
          </w:tcPr>
          <w:p w14:paraId="71F3F0A0"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Preferred Stock Series D</w:t>
            </w:r>
          </w:p>
        </w:tc>
        <w:tc>
          <w:tcPr>
            <w:tcW w:w="180" w:type="dxa"/>
            <w:tcBorders>
              <w:top w:val="nil"/>
              <w:left w:val="nil"/>
              <w:bottom w:val="nil"/>
              <w:right w:val="nil"/>
              <w:tl2br w:val="nil"/>
              <w:tr2bl w:val="nil"/>
            </w:tcBorders>
            <w:noWrap/>
            <w:tcMar>
              <w:left w:w="0" w:type="dxa"/>
              <w:right w:w="0" w:type="dxa"/>
            </w:tcMar>
            <w:vAlign w:val="bottom"/>
          </w:tcPr>
          <w:p w14:paraId="71F3F0A1" w14:textId="77777777" w:rsidR="00510CAA" w:rsidRDefault="00510CAA">
            <w:pPr>
              <w:keepNext/>
              <w:rPr>
                <w:rFonts w:ascii="Arial" w:eastAsia="Arial" w:hAnsi="Arial" w:cs="Arial"/>
                <w:color w:val="000000"/>
                <w:sz w:val="16"/>
              </w:rPr>
            </w:pPr>
          </w:p>
        </w:tc>
        <w:tc>
          <w:tcPr>
            <w:tcW w:w="2055" w:type="dxa"/>
            <w:gridSpan w:val="3"/>
            <w:vMerge w:val="restart"/>
            <w:tcBorders>
              <w:top w:val="nil"/>
              <w:left w:val="nil"/>
              <w:bottom w:val="nil"/>
              <w:right w:val="nil"/>
              <w:tl2br w:val="nil"/>
              <w:tr2bl w:val="nil"/>
            </w:tcBorders>
            <w:tcMar>
              <w:left w:w="43" w:type="dxa"/>
              <w:right w:w="43" w:type="dxa"/>
            </w:tcMar>
            <w:vAlign w:val="bottom"/>
          </w:tcPr>
          <w:p w14:paraId="71F3F0A2"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Common Stock</w:t>
            </w:r>
          </w:p>
        </w:tc>
        <w:tc>
          <w:tcPr>
            <w:tcW w:w="180" w:type="dxa"/>
            <w:tcBorders>
              <w:top w:val="nil"/>
              <w:left w:val="nil"/>
              <w:bottom w:val="nil"/>
              <w:right w:val="nil"/>
              <w:tl2br w:val="nil"/>
              <w:tr2bl w:val="nil"/>
            </w:tcBorders>
            <w:noWrap/>
            <w:tcMar>
              <w:left w:w="0" w:type="dxa"/>
              <w:right w:w="0" w:type="dxa"/>
            </w:tcMar>
            <w:vAlign w:val="bottom"/>
          </w:tcPr>
          <w:p w14:paraId="71F3F0A3" w14:textId="77777777" w:rsidR="00510CAA" w:rsidRDefault="00510CAA">
            <w:pPr>
              <w:keepNext/>
              <w:rPr>
                <w:rFonts w:ascii="Arial" w:eastAsia="Arial" w:hAnsi="Arial" w:cs="Arial"/>
                <w:b/>
                <w:color w:val="000000"/>
                <w:sz w:val="16"/>
              </w:rPr>
            </w:pPr>
          </w:p>
        </w:tc>
        <w:tc>
          <w:tcPr>
            <w:tcW w:w="945" w:type="dxa"/>
            <w:vMerge w:val="restart"/>
            <w:tcBorders>
              <w:top w:val="nil"/>
              <w:left w:val="nil"/>
              <w:bottom w:val="nil"/>
              <w:right w:val="nil"/>
              <w:tl2br w:val="nil"/>
              <w:tr2bl w:val="nil"/>
            </w:tcBorders>
            <w:tcMar>
              <w:left w:w="43" w:type="dxa"/>
              <w:right w:w="43" w:type="dxa"/>
            </w:tcMar>
            <w:vAlign w:val="bottom"/>
          </w:tcPr>
          <w:p w14:paraId="71F3F0A4"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Additional Paid-in Capital</w:t>
            </w:r>
          </w:p>
        </w:tc>
        <w:tc>
          <w:tcPr>
            <w:tcW w:w="180" w:type="dxa"/>
            <w:tcBorders>
              <w:top w:val="nil"/>
              <w:left w:val="nil"/>
              <w:bottom w:val="nil"/>
              <w:right w:val="nil"/>
              <w:tl2br w:val="nil"/>
              <w:tr2bl w:val="nil"/>
            </w:tcBorders>
            <w:noWrap/>
            <w:tcMar>
              <w:left w:w="0" w:type="dxa"/>
              <w:right w:w="0" w:type="dxa"/>
            </w:tcMar>
            <w:vAlign w:val="bottom"/>
          </w:tcPr>
          <w:p w14:paraId="71F3F0A5" w14:textId="77777777" w:rsidR="00510CAA" w:rsidRDefault="00510CAA">
            <w:pPr>
              <w:keepNext/>
              <w:rPr>
                <w:rFonts w:ascii="Arial" w:eastAsia="Arial" w:hAnsi="Arial" w:cs="Arial"/>
                <w:color w:val="000000"/>
                <w:sz w:val="16"/>
              </w:rPr>
            </w:pPr>
          </w:p>
        </w:tc>
        <w:tc>
          <w:tcPr>
            <w:tcW w:w="960" w:type="dxa"/>
            <w:vMerge w:val="restart"/>
            <w:tcBorders>
              <w:top w:val="nil"/>
              <w:left w:val="nil"/>
              <w:bottom w:val="nil"/>
              <w:right w:val="nil"/>
              <w:tl2br w:val="nil"/>
              <w:tr2bl w:val="nil"/>
            </w:tcBorders>
            <w:tcMar>
              <w:left w:w="43" w:type="dxa"/>
              <w:right w:w="43" w:type="dxa"/>
            </w:tcMar>
            <w:vAlign w:val="bottom"/>
          </w:tcPr>
          <w:p w14:paraId="71F3F0A6"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Other Comprehensive Income</w:t>
            </w:r>
          </w:p>
        </w:tc>
        <w:tc>
          <w:tcPr>
            <w:tcW w:w="180" w:type="dxa"/>
            <w:tcBorders>
              <w:top w:val="nil"/>
              <w:left w:val="nil"/>
              <w:bottom w:val="nil"/>
              <w:right w:val="nil"/>
              <w:tl2br w:val="nil"/>
              <w:tr2bl w:val="nil"/>
            </w:tcBorders>
            <w:noWrap/>
            <w:tcMar>
              <w:left w:w="0" w:type="dxa"/>
              <w:right w:w="0" w:type="dxa"/>
            </w:tcMar>
            <w:vAlign w:val="bottom"/>
          </w:tcPr>
          <w:p w14:paraId="71F3F0A7" w14:textId="77777777" w:rsidR="00510CAA" w:rsidRDefault="00510CAA">
            <w:pPr>
              <w:keepNext/>
              <w:rPr>
                <w:rFonts w:ascii="Arial" w:eastAsia="Arial" w:hAnsi="Arial" w:cs="Arial"/>
                <w:color w:val="000000"/>
                <w:sz w:val="16"/>
              </w:rPr>
            </w:pPr>
          </w:p>
        </w:tc>
        <w:tc>
          <w:tcPr>
            <w:tcW w:w="1140" w:type="dxa"/>
            <w:vMerge w:val="restart"/>
            <w:tcBorders>
              <w:top w:val="nil"/>
              <w:left w:val="nil"/>
              <w:bottom w:val="nil"/>
              <w:right w:val="nil"/>
              <w:tl2br w:val="nil"/>
              <w:tr2bl w:val="nil"/>
            </w:tcBorders>
            <w:tcMar>
              <w:left w:w="43" w:type="dxa"/>
              <w:right w:w="43" w:type="dxa"/>
            </w:tcMar>
            <w:vAlign w:val="bottom"/>
          </w:tcPr>
          <w:p w14:paraId="71F3F0A8"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Accumulated Deficit</w:t>
            </w:r>
          </w:p>
        </w:tc>
        <w:tc>
          <w:tcPr>
            <w:tcW w:w="285" w:type="dxa"/>
            <w:tcBorders>
              <w:top w:val="nil"/>
              <w:left w:val="nil"/>
              <w:bottom w:val="nil"/>
              <w:right w:val="nil"/>
              <w:tl2br w:val="nil"/>
              <w:tr2bl w:val="nil"/>
            </w:tcBorders>
            <w:noWrap/>
            <w:tcMar>
              <w:left w:w="0" w:type="dxa"/>
              <w:right w:w="0" w:type="dxa"/>
            </w:tcMar>
            <w:vAlign w:val="bottom"/>
          </w:tcPr>
          <w:p w14:paraId="71F3F0A9" w14:textId="77777777" w:rsidR="00510CAA" w:rsidRDefault="00510CAA">
            <w:pPr>
              <w:keepNext/>
              <w:rPr>
                <w:rFonts w:ascii="Arial" w:eastAsia="Arial" w:hAnsi="Arial" w:cs="Arial"/>
                <w:color w:val="000000"/>
                <w:sz w:val="16"/>
              </w:rPr>
            </w:pPr>
          </w:p>
        </w:tc>
        <w:tc>
          <w:tcPr>
            <w:tcW w:w="975" w:type="dxa"/>
            <w:vMerge w:val="restart"/>
            <w:tcBorders>
              <w:top w:val="nil"/>
              <w:left w:val="nil"/>
              <w:bottom w:val="nil"/>
              <w:right w:val="nil"/>
              <w:tl2br w:val="nil"/>
              <w:tr2bl w:val="nil"/>
            </w:tcBorders>
            <w:tcMar>
              <w:left w:w="43" w:type="dxa"/>
              <w:right w:w="43" w:type="dxa"/>
            </w:tcMar>
            <w:vAlign w:val="bottom"/>
          </w:tcPr>
          <w:p w14:paraId="71F3F0AA"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 xml:space="preserve">Total </w:t>
            </w:r>
          </w:p>
          <w:p w14:paraId="71F3F0AB"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Equity</w:t>
            </w:r>
          </w:p>
        </w:tc>
      </w:tr>
      <w:tr w:rsidR="00510CAA" w14:paraId="71F3F0B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20" w:type="dxa"/>
            <w:tcBorders>
              <w:top w:val="nil"/>
              <w:left w:val="nil"/>
              <w:bottom w:val="nil"/>
              <w:right w:val="nil"/>
              <w:tl2br w:val="nil"/>
              <w:tr2bl w:val="nil"/>
            </w:tcBorders>
            <w:tcMar>
              <w:left w:w="0" w:type="dxa"/>
              <w:right w:w="0" w:type="dxa"/>
            </w:tcMar>
            <w:vAlign w:val="bottom"/>
          </w:tcPr>
          <w:p w14:paraId="71F3F0AD" w14:textId="77777777" w:rsidR="00510CAA" w:rsidRDefault="00510CAA">
            <w:pPr>
              <w:keepNext/>
              <w:rPr>
                <w:rFonts w:ascii="Arial" w:eastAsia="Arial" w:hAnsi="Arial" w:cs="Arial"/>
                <w:color w:val="000000"/>
                <w:sz w:val="16"/>
              </w:rPr>
            </w:pPr>
          </w:p>
        </w:tc>
        <w:tc>
          <w:tcPr>
            <w:tcW w:w="1755" w:type="dxa"/>
            <w:tcBorders>
              <w:top w:val="nil"/>
              <w:left w:val="nil"/>
              <w:bottom w:val="nil"/>
              <w:right w:val="nil"/>
              <w:tl2br w:val="nil"/>
              <w:tr2bl w:val="nil"/>
            </w:tcBorders>
            <w:tcMar>
              <w:left w:w="0" w:type="dxa"/>
              <w:right w:w="0" w:type="dxa"/>
            </w:tcMar>
            <w:vAlign w:val="bottom"/>
          </w:tcPr>
          <w:p w14:paraId="71F3F0AE"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tcMar>
              <w:left w:w="0" w:type="dxa"/>
              <w:right w:w="0" w:type="dxa"/>
            </w:tcMar>
            <w:vAlign w:val="bottom"/>
          </w:tcPr>
          <w:p w14:paraId="71F3F0AF" w14:textId="77777777" w:rsidR="00510CAA" w:rsidRDefault="00510CAA">
            <w:pPr>
              <w:keepNext/>
              <w:rPr>
                <w:rFonts w:ascii="Arial" w:eastAsia="Arial" w:hAnsi="Arial" w:cs="Arial"/>
                <w:color w:val="000000"/>
                <w:sz w:val="16"/>
              </w:rPr>
            </w:pPr>
          </w:p>
        </w:tc>
        <w:tc>
          <w:tcPr>
            <w:tcW w:w="1755" w:type="dxa"/>
            <w:gridSpan w:val="3"/>
            <w:vMerge/>
            <w:tcBorders>
              <w:top w:val="nil"/>
              <w:left w:val="nil"/>
              <w:bottom w:val="single" w:sz="4" w:space="0" w:color="000000"/>
              <w:right w:val="nil"/>
              <w:tl2br w:val="nil"/>
              <w:tr2bl w:val="nil"/>
            </w:tcBorders>
            <w:tcMar>
              <w:left w:w="0" w:type="dxa"/>
              <w:right w:w="0" w:type="dxa"/>
            </w:tcMar>
            <w:vAlign w:val="bottom"/>
          </w:tcPr>
          <w:p w14:paraId="71F3F0B0" w14:textId="77777777" w:rsidR="00510CAA" w:rsidRDefault="00510CAA">
            <w:pPr>
              <w:keepNext/>
              <w:jc w:val="center"/>
              <w:rPr>
                <w:rFonts w:ascii="Arial" w:eastAsia="Arial" w:hAnsi="Arial" w:cs="Arial"/>
                <w:b/>
                <w:color w:val="000000"/>
                <w:sz w:val="16"/>
              </w:rPr>
            </w:pPr>
          </w:p>
        </w:tc>
        <w:tc>
          <w:tcPr>
            <w:tcW w:w="165" w:type="dxa"/>
            <w:tcBorders>
              <w:top w:val="nil"/>
              <w:left w:val="nil"/>
              <w:bottom w:val="nil"/>
              <w:right w:val="nil"/>
              <w:tl2br w:val="nil"/>
              <w:tr2bl w:val="nil"/>
            </w:tcBorders>
            <w:noWrap/>
            <w:tcMar>
              <w:left w:w="0" w:type="dxa"/>
              <w:right w:w="0" w:type="dxa"/>
            </w:tcMar>
            <w:vAlign w:val="bottom"/>
          </w:tcPr>
          <w:p w14:paraId="71F3F0B1" w14:textId="77777777" w:rsidR="00510CAA" w:rsidRDefault="00510CAA">
            <w:pPr>
              <w:keepNext/>
              <w:rPr>
                <w:rFonts w:ascii="Arial" w:eastAsia="Arial" w:hAnsi="Arial" w:cs="Arial"/>
                <w:color w:val="000000"/>
                <w:sz w:val="16"/>
              </w:rPr>
            </w:pPr>
          </w:p>
        </w:tc>
        <w:tc>
          <w:tcPr>
            <w:tcW w:w="1590" w:type="dxa"/>
            <w:gridSpan w:val="3"/>
            <w:vMerge/>
            <w:tcBorders>
              <w:top w:val="nil"/>
              <w:left w:val="nil"/>
              <w:bottom w:val="single" w:sz="4" w:space="0" w:color="000000"/>
              <w:right w:val="nil"/>
              <w:tl2br w:val="nil"/>
              <w:tr2bl w:val="nil"/>
            </w:tcBorders>
            <w:tcMar>
              <w:left w:w="0" w:type="dxa"/>
              <w:right w:w="0" w:type="dxa"/>
            </w:tcMar>
            <w:vAlign w:val="bottom"/>
          </w:tcPr>
          <w:p w14:paraId="71F3F0B2" w14:textId="77777777" w:rsidR="00510CAA" w:rsidRDefault="00510CAA">
            <w:pPr>
              <w:keepNext/>
              <w:jc w:val="center"/>
              <w:rPr>
                <w:rFonts w:ascii="Arial" w:eastAsia="Arial" w:hAnsi="Arial" w:cs="Arial"/>
                <w:b/>
                <w:color w:val="000000"/>
                <w:sz w:val="16"/>
              </w:rPr>
            </w:pPr>
          </w:p>
        </w:tc>
        <w:tc>
          <w:tcPr>
            <w:tcW w:w="165" w:type="dxa"/>
            <w:tcBorders>
              <w:top w:val="nil"/>
              <w:left w:val="nil"/>
              <w:bottom w:val="nil"/>
              <w:right w:val="nil"/>
              <w:tl2br w:val="nil"/>
              <w:tr2bl w:val="nil"/>
            </w:tcBorders>
            <w:noWrap/>
            <w:tcMar>
              <w:left w:w="0" w:type="dxa"/>
              <w:right w:w="0" w:type="dxa"/>
            </w:tcMar>
            <w:vAlign w:val="bottom"/>
          </w:tcPr>
          <w:p w14:paraId="71F3F0B3" w14:textId="77777777" w:rsidR="00510CAA" w:rsidRDefault="00510CAA">
            <w:pPr>
              <w:keepNext/>
              <w:rPr>
                <w:rFonts w:ascii="Arial" w:eastAsia="Arial" w:hAnsi="Arial" w:cs="Arial"/>
                <w:color w:val="000000"/>
                <w:sz w:val="16"/>
              </w:rPr>
            </w:pPr>
          </w:p>
        </w:tc>
        <w:tc>
          <w:tcPr>
            <w:tcW w:w="1695" w:type="dxa"/>
            <w:gridSpan w:val="3"/>
            <w:vMerge/>
            <w:tcBorders>
              <w:top w:val="nil"/>
              <w:left w:val="nil"/>
              <w:bottom w:val="single" w:sz="4" w:space="0" w:color="000000"/>
              <w:right w:val="nil"/>
              <w:tl2br w:val="nil"/>
              <w:tr2bl w:val="nil"/>
            </w:tcBorders>
            <w:tcMar>
              <w:left w:w="0" w:type="dxa"/>
              <w:right w:w="0" w:type="dxa"/>
            </w:tcMar>
            <w:vAlign w:val="bottom"/>
          </w:tcPr>
          <w:p w14:paraId="71F3F0B4"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B5" w14:textId="77777777" w:rsidR="00510CAA" w:rsidRDefault="00510CAA">
            <w:pPr>
              <w:keepNext/>
              <w:rPr>
                <w:rFonts w:ascii="Arial" w:eastAsia="Arial" w:hAnsi="Arial" w:cs="Arial"/>
                <w:color w:val="000000"/>
                <w:sz w:val="16"/>
              </w:rPr>
            </w:pPr>
          </w:p>
        </w:tc>
        <w:tc>
          <w:tcPr>
            <w:tcW w:w="2055" w:type="dxa"/>
            <w:gridSpan w:val="3"/>
            <w:vMerge/>
            <w:tcBorders>
              <w:top w:val="nil"/>
              <w:left w:val="nil"/>
              <w:bottom w:val="single" w:sz="4" w:space="0" w:color="000000"/>
              <w:right w:val="nil"/>
              <w:tl2br w:val="nil"/>
              <w:tr2bl w:val="nil"/>
            </w:tcBorders>
            <w:tcMar>
              <w:left w:w="0" w:type="dxa"/>
              <w:right w:w="0" w:type="dxa"/>
            </w:tcMar>
            <w:vAlign w:val="bottom"/>
          </w:tcPr>
          <w:p w14:paraId="71F3F0B6"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B7" w14:textId="77777777" w:rsidR="00510CAA" w:rsidRDefault="00510CAA">
            <w:pPr>
              <w:keepNext/>
              <w:rPr>
                <w:rFonts w:ascii="Arial" w:eastAsia="Arial" w:hAnsi="Arial" w:cs="Arial"/>
                <w:b/>
                <w:color w:val="000000"/>
                <w:sz w:val="16"/>
              </w:rPr>
            </w:pPr>
          </w:p>
        </w:tc>
        <w:tc>
          <w:tcPr>
            <w:tcW w:w="945" w:type="dxa"/>
            <w:vMerge/>
            <w:tcBorders>
              <w:top w:val="nil"/>
              <w:left w:val="nil"/>
              <w:bottom w:val="nil"/>
              <w:right w:val="nil"/>
              <w:tl2br w:val="nil"/>
              <w:tr2bl w:val="nil"/>
            </w:tcBorders>
            <w:tcMar>
              <w:left w:w="0" w:type="dxa"/>
              <w:right w:w="0" w:type="dxa"/>
            </w:tcMar>
            <w:vAlign w:val="bottom"/>
          </w:tcPr>
          <w:p w14:paraId="71F3F0B8"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B9" w14:textId="77777777" w:rsidR="00510CAA" w:rsidRDefault="00510CAA">
            <w:pPr>
              <w:keepNext/>
              <w:rPr>
                <w:rFonts w:ascii="Arial" w:eastAsia="Arial" w:hAnsi="Arial" w:cs="Arial"/>
                <w:color w:val="000000"/>
                <w:sz w:val="16"/>
              </w:rPr>
            </w:pPr>
          </w:p>
        </w:tc>
        <w:tc>
          <w:tcPr>
            <w:tcW w:w="960" w:type="dxa"/>
            <w:vMerge/>
            <w:tcBorders>
              <w:top w:val="nil"/>
              <w:left w:val="nil"/>
              <w:bottom w:val="nil"/>
              <w:right w:val="nil"/>
              <w:tl2br w:val="nil"/>
              <w:tr2bl w:val="nil"/>
            </w:tcBorders>
            <w:tcMar>
              <w:left w:w="0" w:type="dxa"/>
              <w:right w:w="0" w:type="dxa"/>
            </w:tcMar>
            <w:vAlign w:val="bottom"/>
          </w:tcPr>
          <w:p w14:paraId="71F3F0BA"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BB" w14:textId="77777777" w:rsidR="00510CAA" w:rsidRDefault="00510CAA">
            <w:pPr>
              <w:keepNext/>
              <w:rPr>
                <w:rFonts w:ascii="Arial" w:eastAsia="Arial" w:hAnsi="Arial" w:cs="Arial"/>
                <w:color w:val="000000"/>
                <w:sz w:val="16"/>
              </w:rPr>
            </w:pPr>
          </w:p>
        </w:tc>
        <w:tc>
          <w:tcPr>
            <w:tcW w:w="1140" w:type="dxa"/>
            <w:vMerge/>
            <w:tcBorders>
              <w:top w:val="nil"/>
              <w:left w:val="nil"/>
              <w:bottom w:val="nil"/>
              <w:right w:val="nil"/>
              <w:tl2br w:val="nil"/>
              <w:tr2bl w:val="nil"/>
            </w:tcBorders>
            <w:tcMar>
              <w:left w:w="0" w:type="dxa"/>
              <w:right w:w="0" w:type="dxa"/>
            </w:tcMar>
            <w:vAlign w:val="bottom"/>
          </w:tcPr>
          <w:p w14:paraId="71F3F0BC" w14:textId="77777777" w:rsidR="00510CAA" w:rsidRDefault="00510CAA">
            <w:pPr>
              <w:keepNext/>
              <w:jc w:val="center"/>
              <w:rPr>
                <w:rFonts w:ascii="Arial" w:eastAsia="Arial" w:hAnsi="Arial" w:cs="Arial"/>
                <w:b/>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BD" w14:textId="77777777" w:rsidR="00510CAA" w:rsidRDefault="00510CAA">
            <w:pPr>
              <w:keepNext/>
              <w:rPr>
                <w:rFonts w:ascii="Arial" w:eastAsia="Arial" w:hAnsi="Arial" w:cs="Arial"/>
                <w:color w:val="000000"/>
                <w:sz w:val="16"/>
              </w:rPr>
            </w:pPr>
          </w:p>
        </w:tc>
        <w:tc>
          <w:tcPr>
            <w:tcW w:w="975" w:type="dxa"/>
            <w:vMerge/>
            <w:tcBorders>
              <w:top w:val="nil"/>
              <w:left w:val="nil"/>
              <w:bottom w:val="nil"/>
              <w:right w:val="nil"/>
              <w:tl2br w:val="nil"/>
              <w:tr2bl w:val="nil"/>
            </w:tcBorders>
            <w:tcMar>
              <w:left w:w="0" w:type="dxa"/>
              <w:right w:w="0" w:type="dxa"/>
            </w:tcMar>
            <w:vAlign w:val="bottom"/>
          </w:tcPr>
          <w:p w14:paraId="71F3F0BE" w14:textId="77777777" w:rsidR="00510CAA" w:rsidRDefault="00510CAA">
            <w:pPr>
              <w:keepNext/>
              <w:jc w:val="center"/>
              <w:rPr>
                <w:rFonts w:ascii="Arial" w:eastAsia="Arial" w:hAnsi="Arial" w:cs="Arial"/>
                <w:b/>
                <w:color w:val="000000"/>
                <w:sz w:val="16"/>
              </w:rPr>
            </w:pPr>
          </w:p>
        </w:tc>
      </w:tr>
      <w:tr w:rsidR="00510CAA" w14:paraId="71F3F0D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65"/>
        </w:trPr>
        <w:tc>
          <w:tcPr>
            <w:tcW w:w="120" w:type="dxa"/>
            <w:tcBorders>
              <w:top w:val="nil"/>
              <w:left w:val="nil"/>
              <w:bottom w:val="nil"/>
              <w:right w:val="nil"/>
              <w:tl2br w:val="nil"/>
              <w:tr2bl w:val="nil"/>
            </w:tcBorders>
            <w:tcMar>
              <w:left w:w="0" w:type="dxa"/>
              <w:right w:w="0" w:type="dxa"/>
            </w:tcMar>
            <w:vAlign w:val="bottom"/>
          </w:tcPr>
          <w:p w14:paraId="71F3F0C0" w14:textId="77777777" w:rsidR="00510CAA" w:rsidRDefault="00510CAA">
            <w:pPr>
              <w:keepNext/>
              <w:rPr>
                <w:rFonts w:ascii="Arial" w:eastAsia="Arial" w:hAnsi="Arial" w:cs="Arial"/>
                <w:color w:val="000000"/>
                <w:sz w:val="16"/>
              </w:rPr>
            </w:pPr>
          </w:p>
        </w:tc>
        <w:tc>
          <w:tcPr>
            <w:tcW w:w="1755" w:type="dxa"/>
            <w:tcBorders>
              <w:top w:val="nil"/>
              <w:left w:val="nil"/>
              <w:bottom w:val="nil"/>
              <w:right w:val="nil"/>
              <w:tl2br w:val="nil"/>
              <w:tr2bl w:val="nil"/>
            </w:tcBorders>
            <w:tcMar>
              <w:left w:w="0" w:type="dxa"/>
              <w:right w:w="0" w:type="dxa"/>
            </w:tcMar>
            <w:vAlign w:val="bottom"/>
          </w:tcPr>
          <w:p w14:paraId="71F3F0C1" w14:textId="77777777" w:rsidR="00510CAA" w:rsidRDefault="00510CAA">
            <w:pPr>
              <w:keepNext/>
              <w:rPr>
                <w:rFonts w:ascii="Arial" w:eastAsia="Arial" w:hAnsi="Arial" w:cs="Arial"/>
                <w:color w:val="000000"/>
                <w:sz w:val="16"/>
              </w:rPr>
            </w:pPr>
          </w:p>
        </w:tc>
        <w:tc>
          <w:tcPr>
            <w:tcW w:w="285" w:type="dxa"/>
            <w:tcBorders>
              <w:top w:val="nil"/>
              <w:left w:val="nil"/>
              <w:bottom w:val="nil"/>
              <w:right w:val="nil"/>
              <w:tl2br w:val="nil"/>
              <w:tr2bl w:val="nil"/>
            </w:tcBorders>
            <w:tcMar>
              <w:left w:w="0" w:type="dxa"/>
              <w:right w:w="0" w:type="dxa"/>
            </w:tcMar>
            <w:vAlign w:val="bottom"/>
          </w:tcPr>
          <w:p w14:paraId="71F3F0C2" w14:textId="77777777" w:rsidR="00510CAA" w:rsidRDefault="00510CAA">
            <w:pPr>
              <w:keepNext/>
              <w:rPr>
                <w:rFonts w:ascii="Arial" w:eastAsia="Arial" w:hAnsi="Arial" w:cs="Arial"/>
                <w:color w:val="000000"/>
                <w:sz w:val="16"/>
              </w:rPr>
            </w:pPr>
          </w:p>
        </w:tc>
        <w:tc>
          <w:tcPr>
            <w:tcW w:w="975" w:type="dxa"/>
            <w:tcBorders>
              <w:top w:val="single" w:sz="4" w:space="0" w:color="000000"/>
              <w:left w:val="nil"/>
              <w:bottom w:val="single" w:sz="4" w:space="0" w:color="000000"/>
              <w:right w:val="nil"/>
              <w:tl2br w:val="nil"/>
              <w:tr2bl w:val="nil"/>
            </w:tcBorders>
            <w:tcMar>
              <w:left w:w="43" w:type="dxa"/>
              <w:right w:w="43" w:type="dxa"/>
            </w:tcMar>
            <w:vAlign w:val="bottom"/>
          </w:tcPr>
          <w:p w14:paraId="71F3F0C3"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 of Shares</w:t>
            </w:r>
          </w:p>
        </w:tc>
        <w:tc>
          <w:tcPr>
            <w:tcW w:w="180" w:type="dxa"/>
            <w:tcBorders>
              <w:top w:val="single" w:sz="4" w:space="0" w:color="000000"/>
              <w:left w:val="nil"/>
              <w:bottom w:val="nil"/>
              <w:right w:val="nil"/>
              <w:tl2br w:val="nil"/>
              <w:tr2bl w:val="nil"/>
            </w:tcBorders>
            <w:noWrap/>
            <w:tcMar>
              <w:left w:w="0" w:type="dxa"/>
              <w:right w:w="0" w:type="dxa"/>
            </w:tcMar>
            <w:vAlign w:val="bottom"/>
          </w:tcPr>
          <w:p w14:paraId="71F3F0C4" w14:textId="77777777" w:rsidR="00510CAA" w:rsidRDefault="00510CAA">
            <w:pPr>
              <w:keepNext/>
              <w:jc w:val="center"/>
              <w:rPr>
                <w:rFonts w:ascii="Arial" w:eastAsia="Arial" w:hAnsi="Arial" w:cs="Arial"/>
                <w:b/>
                <w:color w:val="000000"/>
                <w:sz w:val="16"/>
              </w:rPr>
            </w:pPr>
          </w:p>
        </w:tc>
        <w:tc>
          <w:tcPr>
            <w:tcW w:w="600" w:type="dxa"/>
            <w:tcBorders>
              <w:top w:val="single" w:sz="4" w:space="0" w:color="000000"/>
              <w:left w:val="nil"/>
              <w:bottom w:val="single" w:sz="4" w:space="0" w:color="000000"/>
              <w:right w:val="nil"/>
              <w:tl2br w:val="nil"/>
              <w:tr2bl w:val="nil"/>
            </w:tcBorders>
            <w:tcMar>
              <w:left w:w="43" w:type="dxa"/>
              <w:right w:w="43" w:type="dxa"/>
            </w:tcMar>
            <w:vAlign w:val="bottom"/>
          </w:tcPr>
          <w:p w14:paraId="71F3F0C5"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Par Value</w:t>
            </w:r>
          </w:p>
        </w:tc>
        <w:tc>
          <w:tcPr>
            <w:tcW w:w="165" w:type="dxa"/>
            <w:tcBorders>
              <w:top w:val="nil"/>
              <w:left w:val="nil"/>
              <w:bottom w:val="nil"/>
              <w:right w:val="nil"/>
              <w:tl2br w:val="nil"/>
              <w:tr2bl w:val="nil"/>
            </w:tcBorders>
            <w:noWrap/>
            <w:tcMar>
              <w:left w:w="0" w:type="dxa"/>
              <w:right w:w="0" w:type="dxa"/>
            </w:tcMar>
            <w:vAlign w:val="bottom"/>
          </w:tcPr>
          <w:p w14:paraId="71F3F0C6" w14:textId="77777777" w:rsidR="00510CAA" w:rsidRDefault="00510CAA">
            <w:pPr>
              <w:keepNext/>
              <w:jc w:val="center"/>
              <w:rPr>
                <w:rFonts w:ascii="Arial" w:eastAsia="Arial" w:hAnsi="Arial" w:cs="Arial"/>
                <w:b/>
                <w:color w:val="000000"/>
                <w:sz w:val="16"/>
              </w:rPr>
            </w:pPr>
          </w:p>
        </w:tc>
        <w:tc>
          <w:tcPr>
            <w:tcW w:w="810" w:type="dxa"/>
            <w:tcBorders>
              <w:top w:val="single" w:sz="4" w:space="0" w:color="000000"/>
              <w:left w:val="nil"/>
              <w:bottom w:val="single" w:sz="4" w:space="0" w:color="000000"/>
              <w:right w:val="nil"/>
              <w:tl2br w:val="nil"/>
              <w:tr2bl w:val="nil"/>
            </w:tcBorders>
            <w:tcMar>
              <w:left w:w="43" w:type="dxa"/>
              <w:right w:w="43" w:type="dxa"/>
            </w:tcMar>
            <w:vAlign w:val="bottom"/>
          </w:tcPr>
          <w:p w14:paraId="71F3F0C7"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 of Shares</w:t>
            </w:r>
          </w:p>
        </w:tc>
        <w:tc>
          <w:tcPr>
            <w:tcW w:w="180" w:type="dxa"/>
            <w:tcBorders>
              <w:top w:val="single" w:sz="4" w:space="0" w:color="000000"/>
              <w:left w:val="nil"/>
              <w:bottom w:val="nil"/>
              <w:right w:val="nil"/>
              <w:tl2br w:val="nil"/>
              <w:tr2bl w:val="nil"/>
            </w:tcBorders>
            <w:noWrap/>
            <w:tcMar>
              <w:left w:w="0" w:type="dxa"/>
              <w:right w:w="0" w:type="dxa"/>
            </w:tcMar>
            <w:vAlign w:val="bottom"/>
          </w:tcPr>
          <w:p w14:paraId="71F3F0C8" w14:textId="77777777" w:rsidR="00510CAA" w:rsidRDefault="00510CAA">
            <w:pPr>
              <w:keepNext/>
              <w:jc w:val="center"/>
              <w:rPr>
                <w:rFonts w:ascii="Arial" w:eastAsia="Arial" w:hAnsi="Arial" w:cs="Arial"/>
                <w:b/>
                <w:color w:val="000000"/>
                <w:sz w:val="16"/>
              </w:rPr>
            </w:pPr>
          </w:p>
        </w:tc>
        <w:tc>
          <w:tcPr>
            <w:tcW w:w="600" w:type="dxa"/>
            <w:tcBorders>
              <w:top w:val="single" w:sz="4" w:space="0" w:color="000000"/>
              <w:left w:val="nil"/>
              <w:bottom w:val="single" w:sz="4" w:space="0" w:color="000000"/>
              <w:right w:val="nil"/>
              <w:tl2br w:val="nil"/>
              <w:tr2bl w:val="nil"/>
            </w:tcBorders>
            <w:tcMar>
              <w:left w:w="43" w:type="dxa"/>
              <w:right w:w="43" w:type="dxa"/>
            </w:tcMar>
            <w:vAlign w:val="bottom"/>
          </w:tcPr>
          <w:p w14:paraId="71F3F0C9"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Par Value</w:t>
            </w:r>
          </w:p>
        </w:tc>
        <w:tc>
          <w:tcPr>
            <w:tcW w:w="165" w:type="dxa"/>
            <w:tcBorders>
              <w:top w:val="nil"/>
              <w:left w:val="nil"/>
              <w:bottom w:val="nil"/>
              <w:right w:val="nil"/>
              <w:tl2br w:val="nil"/>
              <w:tr2bl w:val="nil"/>
            </w:tcBorders>
            <w:noWrap/>
            <w:tcMar>
              <w:left w:w="0" w:type="dxa"/>
              <w:right w:w="0" w:type="dxa"/>
            </w:tcMar>
            <w:vAlign w:val="bottom"/>
          </w:tcPr>
          <w:p w14:paraId="71F3F0CA" w14:textId="77777777" w:rsidR="00510CAA" w:rsidRDefault="00510CAA">
            <w:pPr>
              <w:keepNext/>
              <w:jc w:val="center"/>
              <w:rPr>
                <w:rFonts w:ascii="Arial" w:eastAsia="Arial" w:hAnsi="Arial" w:cs="Arial"/>
                <w:b/>
                <w:color w:val="000000"/>
                <w:sz w:val="16"/>
              </w:rPr>
            </w:pPr>
          </w:p>
        </w:tc>
        <w:tc>
          <w:tcPr>
            <w:tcW w:w="810" w:type="dxa"/>
            <w:tcBorders>
              <w:top w:val="single" w:sz="4" w:space="0" w:color="000000"/>
              <w:left w:val="nil"/>
              <w:bottom w:val="single" w:sz="4" w:space="0" w:color="000000"/>
              <w:right w:val="nil"/>
              <w:tl2br w:val="nil"/>
              <w:tr2bl w:val="nil"/>
            </w:tcBorders>
            <w:tcMar>
              <w:left w:w="43" w:type="dxa"/>
              <w:right w:w="43" w:type="dxa"/>
            </w:tcMar>
            <w:vAlign w:val="bottom"/>
          </w:tcPr>
          <w:p w14:paraId="71F3F0CB"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 of Shares</w:t>
            </w:r>
          </w:p>
        </w:tc>
        <w:tc>
          <w:tcPr>
            <w:tcW w:w="285" w:type="dxa"/>
            <w:tcBorders>
              <w:top w:val="single" w:sz="4" w:space="0" w:color="000000"/>
              <w:left w:val="nil"/>
              <w:bottom w:val="nil"/>
              <w:right w:val="nil"/>
              <w:tl2br w:val="nil"/>
              <w:tr2bl w:val="nil"/>
            </w:tcBorders>
            <w:noWrap/>
            <w:tcMar>
              <w:left w:w="0" w:type="dxa"/>
              <w:right w:w="0" w:type="dxa"/>
            </w:tcMar>
            <w:vAlign w:val="bottom"/>
          </w:tcPr>
          <w:p w14:paraId="71F3F0CC" w14:textId="77777777" w:rsidR="00510CAA" w:rsidRDefault="00510CAA">
            <w:pPr>
              <w:keepNext/>
              <w:jc w:val="center"/>
              <w:rPr>
                <w:rFonts w:ascii="Arial" w:eastAsia="Arial" w:hAnsi="Arial" w:cs="Arial"/>
                <w:b/>
                <w:color w:val="000000"/>
                <w:sz w:val="16"/>
              </w:rPr>
            </w:pPr>
          </w:p>
        </w:tc>
        <w:tc>
          <w:tcPr>
            <w:tcW w:w="600" w:type="dxa"/>
            <w:tcBorders>
              <w:top w:val="single" w:sz="4" w:space="0" w:color="000000"/>
              <w:left w:val="nil"/>
              <w:bottom w:val="single" w:sz="4" w:space="0" w:color="000000"/>
              <w:right w:val="nil"/>
              <w:tl2br w:val="nil"/>
              <w:tr2bl w:val="nil"/>
            </w:tcBorders>
            <w:tcMar>
              <w:left w:w="43" w:type="dxa"/>
              <w:right w:w="43" w:type="dxa"/>
            </w:tcMar>
            <w:vAlign w:val="bottom"/>
          </w:tcPr>
          <w:p w14:paraId="71F3F0CD"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Par Value</w:t>
            </w:r>
          </w:p>
        </w:tc>
        <w:tc>
          <w:tcPr>
            <w:tcW w:w="180" w:type="dxa"/>
            <w:tcBorders>
              <w:top w:val="nil"/>
              <w:left w:val="nil"/>
              <w:bottom w:val="nil"/>
              <w:right w:val="nil"/>
              <w:tl2br w:val="nil"/>
              <w:tr2bl w:val="nil"/>
            </w:tcBorders>
            <w:noWrap/>
            <w:tcMar>
              <w:left w:w="0" w:type="dxa"/>
              <w:right w:w="0" w:type="dxa"/>
            </w:tcMar>
            <w:vAlign w:val="bottom"/>
          </w:tcPr>
          <w:p w14:paraId="71F3F0CE" w14:textId="77777777" w:rsidR="00510CAA" w:rsidRDefault="00510CAA">
            <w:pPr>
              <w:keepNext/>
              <w:jc w:val="center"/>
              <w:rPr>
                <w:rFonts w:ascii="Arial" w:eastAsia="Arial" w:hAnsi="Arial" w:cs="Arial"/>
                <w:b/>
                <w:color w:val="000000"/>
                <w:sz w:val="16"/>
              </w:rPr>
            </w:pPr>
          </w:p>
        </w:tc>
        <w:tc>
          <w:tcPr>
            <w:tcW w:w="1170" w:type="dxa"/>
            <w:tcBorders>
              <w:top w:val="single" w:sz="4" w:space="0" w:color="000000"/>
              <w:left w:val="nil"/>
              <w:bottom w:val="single" w:sz="4" w:space="0" w:color="000000"/>
              <w:right w:val="nil"/>
              <w:tl2br w:val="nil"/>
              <w:tr2bl w:val="nil"/>
            </w:tcBorders>
            <w:tcMar>
              <w:left w:w="43" w:type="dxa"/>
              <w:right w:w="43" w:type="dxa"/>
            </w:tcMar>
            <w:vAlign w:val="bottom"/>
          </w:tcPr>
          <w:p w14:paraId="71F3F0CF"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 of Shares</w:t>
            </w:r>
          </w:p>
        </w:tc>
        <w:tc>
          <w:tcPr>
            <w:tcW w:w="285" w:type="dxa"/>
            <w:tcBorders>
              <w:top w:val="single" w:sz="4" w:space="0" w:color="000000"/>
              <w:left w:val="nil"/>
              <w:bottom w:val="nil"/>
              <w:right w:val="nil"/>
              <w:tl2br w:val="nil"/>
              <w:tr2bl w:val="nil"/>
            </w:tcBorders>
            <w:noWrap/>
            <w:tcMar>
              <w:left w:w="0" w:type="dxa"/>
              <w:right w:w="0" w:type="dxa"/>
            </w:tcMar>
            <w:vAlign w:val="bottom"/>
          </w:tcPr>
          <w:p w14:paraId="71F3F0D0" w14:textId="77777777" w:rsidR="00510CAA" w:rsidRDefault="00510CAA">
            <w:pPr>
              <w:keepNext/>
              <w:jc w:val="center"/>
              <w:rPr>
                <w:rFonts w:ascii="Arial" w:eastAsia="Arial" w:hAnsi="Arial" w:cs="Arial"/>
                <w:b/>
                <w:color w:val="000000"/>
                <w:sz w:val="16"/>
              </w:rPr>
            </w:pPr>
          </w:p>
        </w:tc>
        <w:tc>
          <w:tcPr>
            <w:tcW w:w="600" w:type="dxa"/>
            <w:tcBorders>
              <w:top w:val="single" w:sz="4" w:space="0" w:color="000000"/>
              <w:left w:val="nil"/>
              <w:bottom w:val="single" w:sz="4" w:space="0" w:color="000000"/>
              <w:right w:val="nil"/>
              <w:tl2br w:val="nil"/>
              <w:tr2bl w:val="nil"/>
            </w:tcBorders>
            <w:tcMar>
              <w:left w:w="43" w:type="dxa"/>
              <w:right w:w="43" w:type="dxa"/>
            </w:tcMar>
            <w:vAlign w:val="bottom"/>
          </w:tcPr>
          <w:p w14:paraId="71F3F0D1" w14:textId="77777777" w:rsidR="00510CAA" w:rsidRDefault="003A4815">
            <w:pPr>
              <w:keepNext/>
              <w:jc w:val="center"/>
              <w:rPr>
                <w:rFonts w:ascii="Arial" w:eastAsia="Arial" w:hAnsi="Arial" w:cs="Arial"/>
                <w:b/>
                <w:color w:val="000000"/>
                <w:sz w:val="16"/>
              </w:rPr>
            </w:pPr>
            <w:r>
              <w:rPr>
                <w:rFonts w:ascii="Arial" w:eastAsia="Arial" w:hAnsi="Arial" w:cs="Arial"/>
                <w:b/>
                <w:color w:val="000000"/>
                <w:sz w:val="16"/>
              </w:rPr>
              <w:t>Par Value</w:t>
            </w:r>
          </w:p>
        </w:tc>
        <w:tc>
          <w:tcPr>
            <w:tcW w:w="180" w:type="dxa"/>
            <w:tcBorders>
              <w:top w:val="nil"/>
              <w:left w:val="nil"/>
              <w:bottom w:val="nil"/>
              <w:right w:val="nil"/>
              <w:tl2br w:val="nil"/>
              <w:tr2bl w:val="nil"/>
            </w:tcBorders>
            <w:noWrap/>
            <w:tcMar>
              <w:left w:w="0" w:type="dxa"/>
              <w:right w:w="0" w:type="dxa"/>
            </w:tcMar>
            <w:vAlign w:val="bottom"/>
          </w:tcPr>
          <w:p w14:paraId="71F3F0D2" w14:textId="77777777" w:rsidR="00510CAA" w:rsidRDefault="00510CAA">
            <w:pPr>
              <w:keepNext/>
              <w:jc w:val="center"/>
              <w:rPr>
                <w:rFonts w:ascii="Arial" w:eastAsia="Arial" w:hAnsi="Arial" w:cs="Arial"/>
                <w:b/>
                <w:color w:val="000000"/>
                <w:sz w:val="16"/>
              </w:rPr>
            </w:pPr>
          </w:p>
        </w:tc>
        <w:tc>
          <w:tcPr>
            <w:tcW w:w="945" w:type="dxa"/>
            <w:vMerge/>
            <w:tcBorders>
              <w:top w:val="nil"/>
              <w:left w:val="nil"/>
              <w:bottom w:val="single" w:sz="4" w:space="0" w:color="000000"/>
              <w:right w:val="nil"/>
              <w:tl2br w:val="nil"/>
              <w:tr2bl w:val="nil"/>
            </w:tcBorders>
            <w:tcMar>
              <w:left w:w="0" w:type="dxa"/>
              <w:right w:w="0" w:type="dxa"/>
            </w:tcMar>
            <w:vAlign w:val="bottom"/>
          </w:tcPr>
          <w:p w14:paraId="71F3F0D3"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D4" w14:textId="77777777" w:rsidR="00510CAA" w:rsidRDefault="00510CAA">
            <w:pPr>
              <w:keepNext/>
              <w:jc w:val="center"/>
              <w:rPr>
                <w:rFonts w:ascii="Arial" w:eastAsia="Arial" w:hAnsi="Arial" w:cs="Arial"/>
                <w:b/>
                <w:color w:val="000000"/>
                <w:sz w:val="16"/>
              </w:rPr>
            </w:pPr>
          </w:p>
        </w:tc>
        <w:tc>
          <w:tcPr>
            <w:tcW w:w="960" w:type="dxa"/>
            <w:vMerge/>
            <w:tcBorders>
              <w:top w:val="nil"/>
              <w:left w:val="nil"/>
              <w:bottom w:val="single" w:sz="4" w:space="0" w:color="000000"/>
              <w:right w:val="nil"/>
              <w:tl2br w:val="nil"/>
              <w:tr2bl w:val="nil"/>
            </w:tcBorders>
            <w:tcMar>
              <w:left w:w="0" w:type="dxa"/>
              <w:right w:w="0" w:type="dxa"/>
            </w:tcMar>
            <w:vAlign w:val="bottom"/>
          </w:tcPr>
          <w:p w14:paraId="71F3F0D5" w14:textId="77777777" w:rsidR="00510CAA" w:rsidRDefault="00510CAA">
            <w:pPr>
              <w:keepNext/>
              <w:jc w:val="center"/>
              <w:rPr>
                <w:rFonts w:ascii="Arial" w:eastAsia="Arial" w:hAnsi="Arial" w:cs="Arial"/>
                <w:b/>
                <w:color w:val="000000"/>
                <w:sz w:val="16"/>
              </w:rPr>
            </w:pPr>
          </w:p>
        </w:tc>
        <w:tc>
          <w:tcPr>
            <w:tcW w:w="180" w:type="dxa"/>
            <w:tcBorders>
              <w:top w:val="nil"/>
              <w:left w:val="nil"/>
              <w:bottom w:val="nil"/>
              <w:right w:val="nil"/>
              <w:tl2br w:val="nil"/>
              <w:tr2bl w:val="nil"/>
            </w:tcBorders>
            <w:noWrap/>
            <w:tcMar>
              <w:left w:w="0" w:type="dxa"/>
              <w:right w:w="0" w:type="dxa"/>
            </w:tcMar>
            <w:vAlign w:val="bottom"/>
          </w:tcPr>
          <w:p w14:paraId="71F3F0D6" w14:textId="77777777" w:rsidR="00510CAA" w:rsidRDefault="00510CAA">
            <w:pPr>
              <w:keepNext/>
              <w:jc w:val="center"/>
              <w:rPr>
                <w:rFonts w:ascii="Arial" w:eastAsia="Arial" w:hAnsi="Arial" w:cs="Arial"/>
                <w:b/>
                <w:color w:val="000000"/>
                <w:sz w:val="16"/>
              </w:rPr>
            </w:pPr>
          </w:p>
        </w:tc>
        <w:tc>
          <w:tcPr>
            <w:tcW w:w="1140" w:type="dxa"/>
            <w:vMerge/>
            <w:tcBorders>
              <w:top w:val="nil"/>
              <w:left w:val="nil"/>
              <w:bottom w:val="single" w:sz="4" w:space="0" w:color="000000"/>
              <w:right w:val="nil"/>
              <w:tl2br w:val="nil"/>
              <w:tr2bl w:val="nil"/>
            </w:tcBorders>
            <w:tcMar>
              <w:left w:w="0" w:type="dxa"/>
              <w:right w:w="0" w:type="dxa"/>
            </w:tcMar>
            <w:vAlign w:val="bottom"/>
          </w:tcPr>
          <w:p w14:paraId="71F3F0D7" w14:textId="77777777" w:rsidR="00510CAA" w:rsidRDefault="00510CAA">
            <w:pPr>
              <w:keepNext/>
              <w:jc w:val="center"/>
              <w:rPr>
                <w:rFonts w:ascii="Arial" w:eastAsia="Arial" w:hAnsi="Arial" w:cs="Arial"/>
                <w:b/>
                <w:color w:val="000000"/>
                <w:sz w:val="16"/>
              </w:rPr>
            </w:pPr>
          </w:p>
        </w:tc>
        <w:tc>
          <w:tcPr>
            <w:tcW w:w="285" w:type="dxa"/>
            <w:tcBorders>
              <w:top w:val="nil"/>
              <w:left w:val="nil"/>
              <w:bottom w:val="nil"/>
              <w:right w:val="nil"/>
              <w:tl2br w:val="nil"/>
              <w:tr2bl w:val="nil"/>
            </w:tcBorders>
            <w:noWrap/>
            <w:tcMar>
              <w:left w:w="0" w:type="dxa"/>
              <w:right w:w="0" w:type="dxa"/>
            </w:tcMar>
            <w:vAlign w:val="bottom"/>
          </w:tcPr>
          <w:p w14:paraId="71F3F0D8" w14:textId="77777777" w:rsidR="00510CAA" w:rsidRDefault="00510CAA">
            <w:pPr>
              <w:keepNext/>
              <w:jc w:val="center"/>
              <w:rPr>
                <w:rFonts w:ascii="Arial" w:eastAsia="Arial" w:hAnsi="Arial" w:cs="Arial"/>
                <w:b/>
                <w:color w:val="000000"/>
                <w:sz w:val="16"/>
              </w:rPr>
            </w:pPr>
          </w:p>
        </w:tc>
        <w:tc>
          <w:tcPr>
            <w:tcW w:w="975" w:type="dxa"/>
            <w:vMerge/>
            <w:tcBorders>
              <w:top w:val="nil"/>
              <w:left w:val="nil"/>
              <w:bottom w:val="single" w:sz="4" w:space="0" w:color="000000"/>
              <w:right w:val="nil"/>
              <w:tl2br w:val="nil"/>
              <w:tr2bl w:val="nil"/>
            </w:tcBorders>
            <w:tcMar>
              <w:left w:w="0" w:type="dxa"/>
              <w:right w:w="0" w:type="dxa"/>
            </w:tcMar>
            <w:vAlign w:val="bottom"/>
          </w:tcPr>
          <w:p w14:paraId="71F3F0D9" w14:textId="77777777" w:rsidR="00510CAA" w:rsidRDefault="00510CAA">
            <w:pPr>
              <w:keepNext/>
              <w:jc w:val="center"/>
              <w:rPr>
                <w:rFonts w:ascii="Arial" w:eastAsia="Arial" w:hAnsi="Arial" w:cs="Arial"/>
                <w:b/>
                <w:color w:val="000000"/>
                <w:sz w:val="16"/>
              </w:rPr>
            </w:pPr>
          </w:p>
        </w:tc>
      </w:tr>
      <w:tr w:rsidR="00510CAA" w14:paraId="71F3F0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35"/>
        </w:trPr>
        <w:tc>
          <w:tcPr>
            <w:tcW w:w="1875" w:type="dxa"/>
            <w:gridSpan w:val="2"/>
            <w:tcBorders>
              <w:top w:val="nil"/>
              <w:left w:val="nil"/>
              <w:bottom w:val="nil"/>
              <w:right w:val="nil"/>
              <w:tl2br w:val="nil"/>
              <w:tr2bl w:val="nil"/>
            </w:tcBorders>
            <w:noWrap/>
            <w:tcMar>
              <w:left w:w="43" w:type="dxa"/>
              <w:right w:w="43" w:type="dxa"/>
            </w:tcMar>
            <w:vAlign w:val="bottom"/>
          </w:tcPr>
          <w:p w14:paraId="71F3F0DB"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BALANCE, December 31, 2022</w:t>
            </w:r>
          </w:p>
        </w:tc>
        <w:tc>
          <w:tcPr>
            <w:tcW w:w="285" w:type="dxa"/>
            <w:tcBorders>
              <w:top w:val="nil"/>
              <w:left w:val="nil"/>
              <w:bottom w:val="nil"/>
              <w:right w:val="nil"/>
              <w:tl2br w:val="nil"/>
              <w:tr2bl w:val="nil"/>
            </w:tcBorders>
            <w:noWrap/>
            <w:tcMar>
              <w:left w:w="0" w:type="dxa"/>
              <w:right w:w="0" w:type="dxa"/>
            </w:tcMar>
            <w:vAlign w:val="bottom"/>
          </w:tcPr>
          <w:p w14:paraId="71F3F0DC" w14:textId="77777777" w:rsidR="00510CAA" w:rsidRDefault="00510CAA">
            <w:pPr>
              <w:keepNext/>
              <w:jc w:val="center"/>
              <w:rPr>
                <w:rFonts w:ascii="Arial" w:eastAsia="Arial" w:hAnsi="Arial" w:cs="Arial"/>
                <w:color w:val="000000"/>
                <w:sz w:val="16"/>
              </w:rPr>
            </w:pP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D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2,600,000</w:t>
            </w:r>
          </w:p>
        </w:tc>
        <w:tc>
          <w:tcPr>
            <w:tcW w:w="180" w:type="dxa"/>
            <w:tcBorders>
              <w:top w:val="nil"/>
              <w:left w:val="nil"/>
              <w:bottom w:val="nil"/>
              <w:right w:val="nil"/>
              <w:tl2br w:val="nil"/>
              <w:tr2bl w:val="nil"/>
            </w:tcBorders>
            <w:noWrap/>
            <w:tcMar>
              <w:left w:w="43" w:type="dxa"/>
              <w:right w:w="103" w:type="dxa"/>
            </w:tcMar>
            <w:vAlign w:val="bottom"/>
          </w:tcPr>
          <w:p w14:paraId="71F3F0DE"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D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c>
          <w:tcPr>
            <w:tcW w:w="165" w:type="dxa"/>
            <w:tcBorders>
              <w:top w:val="nil"/>
              <w:left w:val="nil"/>
              <w:bottom w:val="nil"/>
              <w:right w:val="nil"/>
              <w:tl2br w:val="nil"/>
              <w:tr2bl w:val="nil"/>
            </w:tcBorders>
            <w:noWrap/>
            <w:tcMar>
              <w:left w:w="0" w:type="dxa"/>
              <w:right w:w="0" w:type="dxa"/>
            </w:tcMar>
            <w:vAlign w:val="bottom"/>
          </w:tcPr>
          <w:p w14:paraId="71F3F0E0"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10,675</w:t>
            </w:r>
          </w:p>
        </w:tc>
        <w:tc>
          <w:tcPr>
            <w:tcW w:w="180" w:type="dxa"/>
            <w:tcBorders>
              <w:top w:val="nil"/>
              <w:left w:val="nil"/>
              <w:bottom w:val="nil"/>
              <w:right w:val="nil"/>
              <w:tl2br w:val="nil"/>
              <w:tr2bl w:val="nil"/>
            </w:tcBorders>
            <w:noWrap/>
            <w:tcMar>
              <w:left w:w="43" w:type="dxa"/>
              <w:right w:w="103" w:type="dxa"/>
            </w:tcMar>
            <w:vAlign w:val="bottom"/>
          </w:tcPr>
          <w:p w14:paraId="71F3F0E2"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0E4"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400</w:t>
            </w:r>
          </w:p>
        </w:tc>
        <w:tc>
          <w:tcPr>
            <w:tcW w:w="285" w:type="dxa"/>
            <w:tcBorders>
              <w:top w:val="nil"/>
              <w:left w:val="nil"/>
              <w:bottom w:val="nil"/>
              <w:right w:val="nil"/>
              <w:tl2br w:val="nil"/>
              <w:tr2bl w:val="nil"/>
            </w:tcBorders>
            <w:noWrap/>
            <w:tcMar>
              <w:left w:w="43" w:type="dxa"/>
              <w:right w:w="103" w:type="dxa"/>
            </w:tcMar>
            <w:vAlign w:val="bottom"/>
          </w:tcPr>
          <w:p w14:paraId="71F3F0E6"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0E8" w14:textId="77777777" w:rsidR="00510CAA" w:rsidRDefault="00510CAA">
            <w:pPr>
              <w:keepNext/>
              <w:rPr>
                <w:rFonts w:ascii="Arial" w:eastAsia="Arial" w:hAnsi="Arial" w:cs="Arial"/>
                <w:color w:val="000000"/>
                <w:sz w:val="16"/>
              </w:rPr>
            </w:pPr>
          </w:p>
        </w:tc>
        <w:tc>
          <w:tcPr>
            <w:tcW w:w="117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102,653,619</w:t>
            </w:r>
          </w:p>
        </w:tc>
        <w:tc>
          <w:tcPr>
            <w:tcW w:w="285" w:type="dxa"/>
            <w:tcBorders>
              <w:top w:val="nil"/>
              <w:left w:val="nil"/>
              <w:bottom w:val="nil"/>
              <w:right w:val="nil"/>
              <w:tl2br w:val="nil"/>
              <w:tr2bl w:val="nil"/>
            </w:tcBorders>
            <w:noWrap/>
            <w:tcMar>
              <w:left w:w="43" w:type="dxa"/>
              <w:right w:w="103" w:type="dxa"/>
            </w:tcMar>
            <w:vAlign w:val="bottom"/>
          </w:tcPr>
          <w:p w14:paraId="71F3F0EA"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1,027</w:t>
            </w:r>
          </w:p>
        </w:tc>
        <w:tc>
          <w:tcPr>
            <w:tcW w:w="180" w:type="dxa"/>
            <w:tcBorders>
              <w:top w:val="nil"/>
              <w:left w:val="nil"/>
              <w:bottom w:val="nil"/>
              <w:right w:val="nil"/>
              <w:tl2br w:val="nil"/>
              <w:tr2bl w:val="nil"/>
            </w:tcBorders>
            <w:noWrap/>
            <w:tcMar>
              <w:left w:w="43" w:type="dxa"/>
              <w:right w:w="103" w:type="dxa"/>
            </w:tcMar>
            <w:vAlign w:val="bottom"/>
          </w:tcPr>
          <w:p w14:paraId="71F3F0EC"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4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1,061,015</w:t>
            </w:r>
          </w:p>
        </w:tc>
        <w:tc>
          <w:tcPr>
            <w:tcW w:w="180" w:type="dxa"/>
            <w:tcBorders>
              <w:top w:val="nil"/>
              <w:left w:val="nil"/>
              <w:bottom w:val="nil"/>
              <w:right w:val="nil"/>
              <w:tl2br w:val="nil"/>
              <w:tr2bl w:val="nil"/>
            </w:tcBorders>
            <w:noWrap/>
            <w:tcMar>
              <w:left w:w="43" w:type="dxa"/>
              <w:right w:w="103" w:type="dxa"/>
            </w:tcMar>
            <w:vAlign w:val="bottom"/>
          </w:tcPr>
          <w:p w14:paraId="71F3F0EE"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6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E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253</w:t>
            </w:r>
          </w:p>
        </w:tc>
        <w:tc>
          <w:tcPr>
            <w:tcW w:w="180" w:type="dxa"/>
            <w:tcBorders>
              <w:top w:val="nil"/>
              <w:left w:val="nil"/>
              <w:bottom w:val="nil"/>
              <w:right w:val="nil"/>
              <w:tl2br w:val="nil"/>
              <w:tr2bl w:val="nil"/>
            </w:tcBorders>
            <w:noWrap/>
            <w:tcMar>
              <w:left w:w="43" w:type="dxa"/>
              <w:right w:w="103" w:type="dxa"/>
            </w:tcMar>
            <w:vAlign w:val="bottom"/>
          </w:tcPr>
          <w:p w14:paraId="71F3F0F0"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1140" w:type="dxa"/>
            <w:tcBorders>
              <w:top w:val="single" w:sz="4" w:space="0" w:color="000000"/>
              <w:left w:val="nil"/>
              <w:bottom w:val="double" w:sz="6" w:space="0" w:color="000000"/>
              <w:right w:val="nil"/>
              <w:tl2br w:val="nil"/>
              <w:tr2bl w:val="nil"/>
            </w:tcBorders>
            <w:noWrap/>
            <w:tcMar>
              <w:left w:w="43" w:type="dxa"/>
              <w:right w:w="43" w:type="dxa"/>
            </w:tcMar>
            <w:vAlign w:val="bottom"/>
          </w:tcPr>
          <w:p w14:paraId="71F3F0F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(574,993)</w:t>
            </w:r>
          </w:p>
        </w:tc>
        <w:tc>
          <w:tcPr>
            <w:tcW w:w="285" w:type="dxa"/>
            <w:tcBorders>
              <w:top w:val="nil"/>
              <w:left w:val="nil"/>
              <w:bottom w:val="nil"/>
              <w:right w:val="nil"/>
              <w:tl2br w:val="nil"/>
              <w:tr2bl w:val="nil"/>
            </w:tcBorders>
            <w:noWrap/>
            <w:tcMar>
              <w:left w:w="43" w:type="dxa"/>
              <w:right w:w="103" w:type="dxa"/>
            </w:tcMar>
            <w:vAlign w:val="bottom"/>
          </w:tcPr>
          <w:p w14:paraId="71F3F0F2"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0F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487,328</w:t>
            </w:r>
          </w:p>
        </w:tc>
      </w:tr>
      <w:tr w:rsidR="00510CAA" w14:paraId="71F3F10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120" w:type="dxa"/>
            <w:tcBorders>
              <w:top w:val="nil"/>
              <w:left w:val="nil"/>
              <w:bottom w:val="nil"/>
              <w:right w:val="nil"/>
              <w:tl2br w:val="nil"/>
              <w:tr2bl w:val="nil"/>
            </w:tcBorders>
            <w:tcMar>
              <w:left w:w="0" w:type="dxa"/>
              <w:right w:w="0" w:type="dxa"/>
            </w:tcMar>
            <w:vAlign w:val="bottom"/>
          </w:tcPr>
          <w:p w14:paraId="71F3F0F5"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noWrap/>
            <w:tcMar>
              <w:left w:w="43" w:type="dxa"/>
              <w:right w:w="103" w:type="dxa"/>
            </w:tcMar>
            <w:vAlign w:val="bottom"/>
          </w:tcPr>
          <w:p w14:paraId="71F3F0F6" w14:textId="77777777" w:rsidR="00510CAA" w:rsidRDefault="003A4815">
            <w:pPr>
              <w:keepNext/>
              <w:rPr>
                <w:rFonts w:ascii="Arial" w:eastAsia="Arial" w:hAnsi="Arial" w:cs="Arial"/>
                <w:color w:val="000000"/>
                <w:sz w:val="16"/>
              </w:rPr>
            </w:pPr>
            <w:r>
              <w:rPr>
                <w:rFonts w:ascii="Arial" w:eastAsia="Arial" w:hAnsi="Arial" w:cs="Arial"/>
                <w:color w:val="000000"/>
                <w:sz w:val="16"/>
              </w:rPr>
              <w:t>Net income</w:t>
            </w:r>
          </w:p>
        </w:tc>
        <w:tc>
          <w:tcPr>
            <w:tcW w:w="285" w:type="dxa"/>
            <w:tcBorders>
              <w:top w:val="nil"/>
              <w:left w:val="nil"/>
              <w:bottom w:val="nil"/>
              <w:right w:val="nil"/>
              <w:tl2br w:val="nil"/>
              <w:tr2bl w:val="nil"/>
            </w:tcBorders>
            <w:noWrap/>
            <w:tcMar>
              <w:left w:w="0" w:type="dxa"/>
              <w:right w:w="0" w:type="dxa"/>
            </w:tcMar>
            <w:vAlign w:val="bottom"/>
          </w:tcPr>
          <w:p w14:paraId="71F3F0F7"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0F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0F9"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0F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0FB"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0F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0FD"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0F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0FF"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10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01"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10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03" w14:textId="77777777" w:rsidR="00510CAA" w:rsidRDefault="00510CAA">
            <w:pPr>
              <w:keepNext/>
              <w:rPr>
                <w:rFonts w:ascii="Arial" w:eastAsia="Arial" w:hAnsi="Arial" w:cs="Arial"/>
                <w:color w:val="000000"/>
                <w:sz w:val="16"/>
              </w:rPr>
            </w:pPr>
          </w:p>
        </w:tc>
        <w:tc>
          <w:tcPr>
            <w:tcW w:w="1170" w:type="dxa"/>
            <w:tcBorders>
              <w:top w:val="double" w:sz="6" w:space="0" w:color="000000"/>
              <w:left w:val="nil"/>
              <w:bottom w:val="nil"/>
              <w:right w:val="nil"/>
              <w:tl2br w:val="nil"/>
              <w:tr2bl w:val="nil"/>
            </w:tcBorders>
            <w:noWrap/>
            <w:tcMar>
              <w:left w:w="43" w:type="dxa"/>
              <w:right w:w="103" w:type="dxa"/>
            </w:tcMar>
            <w:vAlign w:val="bottom"/>
          </w:tcPr>
          <w:p w14:paraId="71F3F10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05"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10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07" w14:textId="77777777" w:rsidR="00510CAA" w:rsidRDefault="00510CAA">
            <w:pPr>
              <w:keepNext/>
              <w:rPr>
                <w:rFonts w:ascii="Arial" w:eastAsia="Arial" w:hAnsi="Arial" w:cs="Arial"/>
                <w:color w:val="000000"/>
                <w:sz w:val="16"/>
              </w:rPr>
            </w:pPr>
          </w:p>
        </w:tc>
        <w:tc>
          <w:tcPr>
            <w:tcW w:w="945" w:type="dxa"/>
            <w:tcBorders>
              <w:top w:val="double" w:sz="6" w:space="0" w:color="000000"/>
              <w:left w:val="nil"/>
              <w:bottom w:val="nil"/>
              <w:right w:val="nil"/>
              <w:tl2br w:val="nil"/>
              <w:tr2bl w:val="nil"/>
            </w:tcBorders>
            <w:noWrap/>
            <w:tcMar>
              <w:left w:w="43" w:type="dxa"/>
              <w:right w:w="103" w:type="dxa"/>
            </w:tcMar>
            <w:vAlign w:val="bottom"/>
          </w:tcPr>
          <w:p w14:paraId="71F3F10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09" w14:textId="77777777" w:rsidR="00510CAA" w:rsidRDefault="00510CAA">
            <w:pPr>
              <w:keepNext/>
              <w:rPr>
                <w:rFonts w:ascii="Arial" w:eastAsia="Arial" w:hAnsi="Arial" w:cs="Arial"/>
                <w:color w:val="000000"/>
                <w:sz w:val="16"/>
              </w:rPr>
            </w:pPr>
          </w:p>
        </w:tc>
        <w:tc>
          <w:tcPr>
            <w:tcW w:w="960" w:type="dxa"/>
            <w:tcBorders>
              <w:top w:val="double" w:sz="6" w:space="0" w:color="000000"/>
              <w:left w:val="nil"/>
              <w:bottom w:val="nil"/>
              <w:right w:val="nil"/>
              <w:tl2br w:val="nil"/>
              <w:tr2bl w:val="nil"/>
            </w:tcBorders>
            <w:noWrap/>
            <w:tcMar>
              <w:left w:w="43" w:type="dxa"/>
              <w:right w:w="103" w:type="dxa"/>
            </w:tcMar>
            <w:vAlign w:val="bottom"/>
          </w:tcPr>
          <w:p w14:paraId="71F3F10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0B" w14:textId="77777777" w:rsidR="00510CAA" w:rsidRDefault="00510CAA">
            <w:pPr>
              <w:keepNext/>
              <w:rPr>
                <w:rFonts w:ascii="Arial" w:eastAsia="Arial" w:hAnsi="Arial" w:cs="Arial"/>
                <w:color w:val="000000"/>
                <w:sz w:val="16"/>
              </w:rPr>
            </w:pPr>
          </w:p>
        </w:tc>
        <w:tc>
          <w:tcPr>
            <w:tcW w:w="1140" w:type="dxa"/>
            <w:tcBorders>
              <w:top w:val="double" w:sz="6" w:space="0" w:color="000000"/>
              <w:left w:val="nil"/>
              <w:bottom w:val="nil"/>
              <w:right w:val="nil"/>
              <w:tl2br w:val="nil"/>
              <w:tr2bl w:val="nil"/>
            </w:tcBorders>
            <w:noWrap/>
            <w:tcMar>
              <w:left w:w="43" w:type="dxa"/>
              <w:right w:w="103" w:type="dxa"/>
            </w:tcMar>
            <w:vAlign w:val="bottom"/>
          </w:tcPr>
          <w:p w14:paraId="71F3F10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49,844</w:t>
            </w:r>
          </w:p>
        </w:tc>
        <w:tc>
          <w:tcPr>
            <w:tcW w:w="285" w:type="dxa"/>
            <w:tcBorders>
              <w:top w:val="nil"/>
              <w:left w:val="nil"/>
              <w:bottom w:val="nil"/>
              <w:right w:val="nil"/>
              <w:tl2br w:val="nil"/>
              <w:tr2bl w:val="nil"/>
            </w:tcBorders>
            <w:noWrap/>
            <w:tcMar>
              <w:left w:w="0" w:type="dxa"/>
              <w:right w:w="0" w:type="dxa"/>
            </w:tcMar>
            <w:vAlign w:val="bottom"/>
          </w:tcPr>
          <w:p w14:paraId="71F3F10D"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10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49,844</w:t>
            </w:r>
          </w:p>
        </w:tc>
      </w:tr>
      <w:tr w:rsidR="00510CAA" w14:paraId="71F3F12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35"/>
        </w:trPr>
        <w:tc>
          <w:tcPr>
            <w:tcW w:w="120" w:type="dxa"/>
            <w:tcBorders>
              <w:top w:val="nil"/>
              <w:left w:val="nil"/>
              <w:bottom w:val="nil"/>
              <w:right w:val="nil"/>
              <w:tl2br w:val="nil"/>
              <w:tr2bl w:val="nil"/>
            </w:tcBorders>
            <w:tcMar>
              <w:left w:w="0" w:type="dxa"/>
              <w:right w:w="0" w:type="dxa"/>
            </w:tcMar>
            <w:vAlign w:val="bottom"/>
          </w:tcPr>
          <w:p w14:paraId="71F3F110"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11"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restricted stock and compensation cost (Note 11(i))</w:t>
            </w:r>
          </w:p>
        </w:tc>
        <w:tc>
          <w:tcPr>
            <w:tcW w:w="285" w:type="dxa"/>
            <w:tcBorders>
              <w:top w:val="nil"/>
              <w:left w:val="nil"/>
              <w:bottom w:val="nil"/>
              <w:right w:val="nil"/>
              <w:tl2br w:val="nil"/>
              <w:tr2bl w:val="nil"/>
            </w:tcBorders>
            <w:noWrap/>
            <w:tcMar>
              <w:left w:w="0" w:type="dxa"/>
              <w:right w:w="0" w:type="dxa"/>
            </w:tcMar>
            <w:vAlign w:val="bottom"/>
          </w:tcPr>
          <w:p w14:paraId="71F3F112"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1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14"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1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16"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1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18"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1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1A"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1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1C"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1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1E"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1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1,750,000</w:t>
            </w:r>
          </w:p>
        </w:tc>
        <w:tc>
          <w:tcPr>
            <w:tcW w:w="285" w:type="dxa"/>
            <w:tcBorders>
              <w:top w:val="nil"/>
              <w:left w:val="nil"/>
              <w:bottom w:val="nil"/>
              <w:right w:val="nil"/>
              <w:tl2br w:val="nil"/>
              <w:tr2bl w:val="nil"/>
            </w:tcBorders>
            <w:noWrap/>
            <w:tcMar>
              <w:left w:w="0" w:type="dxa"/>
              <w:right w:w="0" w:type="dxa"/>
            </w:tcMar>
            <w:vAlign w:val="bottom"/>
          </w:tcPr>
          <w:p w14:paraId="71F3F120"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2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18</w:t>
            </w:r>
          </w:p>
        </w:tc>
        <w:tc>
          <w:tcPr>
            <w:tcW w:w="180" w:type="dxa"/>
            <w:tcBorders>
              <w:top w:val="nil"/>
              <w:left w:val="nil"/>
              <w:bottom w:val="nil"/>
              <w:right w:val="nil"/>
              <w:tl2br w:val="nil"/>
              <w:tr2bl w:val="nil"/>
            </w:tcBorders>
            <w:noWrap/>
            <w:tcMar>
              <w:left w:w="0" w:type="dxa"/>
              <w:right w:w="0" w:type="dxa"/>
            </w:tcMar>
            <w:vAlign w:val="bottom"/>
          </w:tcPr>
          <w:p w14:paraId="71F3F122"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2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9,920</w:t>
            </w:r>
          </w:p>
        </w:tc>
        <w:tc>
          <w:tcPr>
            <w:tcW w:w="180" w:type="dxa"/>
            <w:tcBorders>
              <w:top w:val="nil"/>
              <w:left w:val="nil"/>
              <w:bottom w:val="nil"/>
              <w:right w:val="nil"/>
              <w:tl2br w:val="nil"/>
              <w:tr2bl w:val="nil"/>
            </w:tcBorders>
            <w:noWrap/>
            <w:tcMar>
              <w:left w:w="0" w:type="dxa"/>
              <w:right w:w="0" w:type="dxa"/>
            </w:tcMar>
            <w:vAlign w:val="bottom"/>
          </w:tcPr>
          <w:p w14:paraId="71F3F124"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2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26"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12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28"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2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9,938</w:t>
            </w:r>
          </w:p>
        </w:tc>
      </w:tr>
      <w:tr w:rsidR="00510CAA" w14:paraId="71F3F14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65"/>
        </w:trPr>
        <w:tc>
          <w:tcPr>
            <w:tcW w:w="120" w:type="dxa"/>
            <w:tcBorders>
              <w:top w:val="nil"/>
              <w:left w:val="nil"/>
              <w:bottom w:val="nil"/>
              <w:right w:val="nil"/>
              <w:tl2br w:val="nil"/>
              <w:tr2bl w:val="nil"/>
            </w:tcBorders>
            <w:tcMar>
              <w:left w:w="0" w:type="dxa"/>
              <w:right w:w="0" w:type="dxa"/>
            </w:tcMar>
            <w:vAlign w:val="bottom"/>
          </w:tcPr>
          <w:p w14:paraId="71F3F12B"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2C"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common stock (Note 11(f))</w:t>
            </w:r>
          </w:p>
        </w:tc>
        <w:tc>
          <w:tcPr>
            <w:tcW w:w="285" w:type="dxa"/>
            <w:tcBorders>
              <w:top w:val="nil"/>
              <w:left w:val="nil"/>
              <w:bottom w:val="nil"/>
              <w:right w:val="nil"/>
              <w:tl2br w:val="nil"/>
              <w:tr2bl w:val="nil"/>
            </w:tcBorders>
            <w:tcMar>
              <w:left w:w="0" w:type="dxa"/>
              <w:right w:w="0" w:type="dxa"/>
            </w:tcMar>
            <w:vAlign w:val="bottom"/>
          </w:tcPr>
          <w:p w14:paraId="71F3F12D"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2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2F"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3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31"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3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33"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3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35"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3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37"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3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39"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3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6,628,493</w:t>
            </w:r>
          </w:p>
        </w:tc>
        <w:tc>
          <w:tcPr>
            <w:tcW w:w="285" w:type="dxa"/>
            <w:tcBorders>
              <w:top w:val="nil"/>
              <w:left w:val="nil"/>
              <w:bottom w:val="nil"/>
              <w:right w:val="nil"/>
              <w:tl2br w:val="nil"/>
              <w:tr2bl w:val="nil"/>
            </w:tcBorders>
            <w:noWrap/>
            <w:tcMar>
              <w:left w:w="0" w:type="dxa"/>
              <w:right w:w="0" w:type="dxa"/>
            </w:tcMar>
            <w:vAlign w:val="bottom"/>
          </w:tcPr>
          <w:p w14:paraId="71F3F13B"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3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66</w:t>
            </w:r>
          </w:p>
        </w:tc>
        <w:tc>
          <w:tcPr>
            <w:tcW w:w="180" w:type="dxa"/>
            <w:tcBorders>
              <w:top w:val="nil"/>
              <w:left w:val="nil"/>
              <w:bottom w:val="nil"/>
              <w:right w:val="nil"/>
              <w:tl2br w:val="nil"/>
              <w:tr2bl w:val="nil"/>
            </w:tcBorders>
            <w:noWrap/>
            <w:tcMar>
              <w:left w:w="0" w:type="dxa"/>
              <w:right w:w="0" w:type="dxa"/>
            </w:tcMar>
            <w:vAlign w:val="bottom"/>
          </w:tcPr>
          <w:p w14:paraId="71F3F13D"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3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22,780</w:t>
            </w:r>
          </w:p>
        </w:tc>
        <w:tc>
          <w:tcPr>
            <w:tcW w:w="180" w:type="dxa"/>
            <w:tcBorders>
              <w:top w:val="nil"/>
              <w:left w:val="nil"/>
              <w:bottom w:val="nil"/>
              <w:right w:val="nil"/>
              <w:tl2br w:val="nil"/>
              <w:tr2bl w:val="nil"/>
            </w:tcBorders>
            <w:noWrap/>
            <w:tcMar>
              <w:left w:w="0" w:type="dxa"/>
              <w:right w:w="0" w:type="dxa"/>
            </w:tcMar>
            <w:vAlign w:val="bottom"/>
          </w:tcPr>
          <w:p w14:paraId="71F3F13F"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4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41"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14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43"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4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22,846</w:t>
            </w:r>
          </w:p>
        </w:tc>
      </w:tr>
      <w:tr w:rsidR="00510CAA" w14:paraId="71F3F16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35"/>
        </w:trPr>
        <w:tc>
          <w:tcPr>
            <w:tcW w:w="120" w:type="dxa"/>
            <w:tcBorders>
              <w:top w:val="nil"/>
              <w:left w:val="nil"/>
              <w:bottom w:val="nil"/>
              <w:right w:val="nil"/>
              <w:tl2br w:val="nil"/>
              <w:tr2bl w:val="nil"/>
            </w:tcBorders>
            <w:tcMar>
              <w:left w:w="0" w:type="dxa"/>
              <w:right w:w="0" w:type="dxa"/>
            </w:tcMar>
            <w:vAlign w:val="bottom"/>
          </w:tcPr>
          <w:p w14:paraId="71F3F146"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47"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common stock for vessel acquisitions (Note 11(e))</w:t>
            </w:r>
          </w:p>
        </w:tc>
        <w:tc>
          <w:tcPr>
            <w:tcW w:w="285" w:type="dxa"/>
            <w:tcBorders>
              <w:top w:val="nil"/>
              <w:left w:val="nil"/>
              <w:bottom w:val="nil"/>
              <w:right w:val="nil"/>
              <w:tl2br w:val="nil"/>
              <w:tr2bl w:val="nil"/>
            </w:tcBorders>
            <w:tcMar>
              <w:left w:w="0" w:type="dxa"/>
              <w:right w:w="0" w:type="dxa"/>
            </w:tcMar>
            <w:vAlign w:val="bottom"/>
          </w:tcPr>
          <w:p w14:paraId="71F3F148"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4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4A"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4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4C"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4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4E"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4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50"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5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52"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5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54"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5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2,033,613</w:t>
            </w:r>
          </w:p>
        </w:tc>
        <w:tc>
          <w:tcPr>
            <w:tcW w:w="285" w:type="dxa"/>
            <w:tcBorders>
              <w:top w:val="nil"/>
              <w:left w:val="nil"/>
              <w:bottom w:val="nil"/>
              <w:right w:val="nil"/>
              <w:tl2br w:val="nil"/>
              <w:tr2bl w:val="nil"/>
            </w:tcBorders>
            <w:noWrap/>
            <w:tcMar>
              <w:left w:w="0" w:type="dxa"/>
              <w:right w:w="0" w:type="dxa"/>
            </w:tcMar>
            <w:vAlign w:val="bottom"/>
          </w:tcPr>
          <w:p w14:paraId="71F3F156"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5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w:t>
            </w:r>
          </w:p>
        </w:tc>
        <w:tc>
          <w:tcPr>
            <w:tcW w:w="180" w:type="dxa"/>
            <w:tcBorders>
              <w:top w:val="nil"/>
              <w:left w:val="nil"/>
              <w:bottom w:val="nil"/>
              <w:right w:val="nil"/>
              <w:tl2br w:val="nil"/>
              <w:tr2bl w:val="nil"/>
            </w:tcBorders>
            <w:noWrap/>
            <w:tcMar>
              <w:left w:w="0" w:type="dxa"/>
              <w:right w:w="0" w:type="dxa"/>
            </w:tcMar>
            <w:vAlign w:val="bottom"/>
          </w:tcPr>
          <w:p w14:paraId="71F3F158"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5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7,710</w:t>
            </w:r>
          </w:p>
        </w:tc>
        <w:tc>
          <w:tcPr>
            <w:tcW w:w="180" w:type="dxa"/>
            <w:tcBorders>
              <w:top w:val="nil"/>
              <w:left w:val="nil"/>
              <w:bottom w:val="nil"/>
              <w:right w:val="nil"/>
              <w:tl2br w:val="nil"/>
              <w:tr2bl w:val="nil"/>
            </w:tcBorders>
            <w:noWrap/>
            <w:tcMar>
              <w:left w:w="0" w:type="dxa"/>
              <w:right w:w="0" w:type="dxa"/>
            </w:tcMar>
            <w:vAlign w:val="bottom"/>
          </w:tcPr>
          <w:p w14:paraId="71F3F15A"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5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5C"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15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5E"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5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7,730</w:t>
            </w:r>
          </w:p>
        </w:tc>
      </w:tr>
      <w:tr w:rsidR="00510CAA" w14:paraId="71F3F17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80"/>
        </w:trPr>
        <w:tc>
          <w:tcPr>
            <w:tcW w:w="120" w:type="dxa"/>
            <w:tcBorders>
              <w:top w:val="nil"/>
              <w:left w:val="nil"/>
              <w:bottom w:val="nil"/>
              <w:right w:val="nil"/>
              <w:tl2br w:val="nil"/>
              <w:tr2bl w:val="nil"/>
            </w:tcBorders>
            <w:tcMar>
              <w:left w:w="0" w:type="dxa"/>
              <w:right w:w="0" w:type="dxa"/>
            </w:tcMar>
            <w:vAlign w:val="bottom"/>
          </w:tcPr>
          <w:p w14:paraId="71F3F161"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62"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series B preferred stock ($2.21875 per share) (Note 11(b))</w:t>
            </w:r>
          </w:p>
        </w:tc>
        <w:tc>
          <w:tcPr>
            <w:tcW w:w="285" w:type="dxa"/>
            <w:tcBorders>
              <w:top w:val="nil"/>
              <w:left w:val="nil"/>
              <w:bottom w:val="nil"/>
              <w:right w:val="nil"/>
              <w:tl2br w:val="nil"/>
              <w:tr2bl w:val="nil"/>
            </w:tcBorders>
            <w:tcMar>
              <w:left w:w="0" w:type="dxa"/>
              <w:right w:w="0" w:type="dxa"/>
            </w:tcMar>
            <w:vAlign w:val="bottom"/>
          </w:tcPr>
          <w:p w14:paraId="71F3F163"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6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65"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6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67"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6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69"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6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6B"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6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6D"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6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6F"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7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71"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7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73"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7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75"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7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77"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17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c>
          <w:tcPr>
            <w:tcW w:w="285" w:type="dxa"/>
            <w:tcBorders>
              <w:top w:val="nil"/>
              <w:left w:val="nil"/>
              <w:bottom w:val="nil"/>
              <w:right w:val="nil"/>
              <w:tl2br w:val="nil"/>
              <w:tr2bl w:val="nil"/>
            </w:tcBorders>
            <w:noWrap/>
            <w:tcMar>
              <w:left w:w="0" w:type="dxa"/>
              <w:right w:w="0" w:type="dxa"/>
            </w:tcMar>
            <w:vAlign w:val="bottom"/>
          </w:tcPr>
          <w:p w14:paraId="71F3F179"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17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r>
      <w:tr w:rsidR="00510CAA" w14:paraId="71F3F19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660"/>
        </w:trPr>
        <w:tc>
          <w:tcPr>
            <w:tcW w:w="120" w:type="dxa"/>
            <w:tcBorders>
              <w:top w:val="nil"/>
              <w:left w:val="nil"/>
              <w:bottom w:val="nil"/>
              <w:right w:val="nil"/>
              <w:tl2br w:val="nil"/>
              <w:tr2bl w:val="nil"/>
            </w:tcBorders>
            <w:tcMar>
              <w:left w:w="0" w:type="dxa"/>
              <w:right w:w="0" w:type="dxa"/>
            </w:tcMar>
            <w:vAlign w:val="bottom"/>
          </w:tcPr>
          <w:p w14:paraId="71F3F17C"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7D"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common stock ($0.60 per share) (Note 11(f))</w:t>
            </w:r>
          </w:p>
        </w:tc>
        <w:tc>
          <w:tcPr>
            <w:tcW w:w="285" w:type="dxa"/>
            <w:tcBorders>
              <w:top w:val="nil"/>
              <w:left w:val="nil"/>
              <w:bottom w:val="nil"/>
              <w:right w:val="nil"/>
              <w:tl2br w:val="nil"/>
              <w:tr2bl w:val="nil"/>
            </w:tcBorders>
            <w:noWrap/>
            <w:tcMar>
              <w:left w:w="0" w:type="dxa"/>
              <w:right w:w="0" w:type="dxa"/>
            </w:tcMar>
            <w:vAlign w:val="bottom"/>
          </w:tcPr>
          <w:p w14:paraId="71F3F17E"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7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80"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8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82"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8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84"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8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86"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8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88"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8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8A"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8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8C"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8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8E"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8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90"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9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92"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19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(64,276)</w:t>
            </w:r>
          </w:p>
        </w:tc>
        <w:tc>
          <w:tcPr>
            <w:tcW w:w="285" w:type="dxa"/>
            <w:tcBorders>
              <w:top w:val="nil"/>
              <w:left w:val="nil"/>
              <w:bottom w:val="nil"/>
              <w:right w:val="nil"/>
              <w:tl2br w:val="nil"/>
              <w:tr2bl w:val="nil"/>
            </w:tcBorders>
            <w:noWrap/>
            <w:tcMar>
              <w:left w:w="0" w:type="dxa"/>
              <w:right w:w="0" w:type="dxa"/>
            </w:tcMar>
            <w:vAlign w:val="bottom"/>
          </w:tcPr>
          <w:p w14:paraId="71F3F194"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19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(64,276)</w:t>
            </w:r>
          </w:p>
        </w:tc>
      </w:tr>
      <w:tr w:rsidR="00510CAA" w14:paraId="71F3F1B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90"/>
        </w:trPr>
        <w:tc>
          <w:tcPr>
            <w:tcW w:w="120" w:type="dxa"/>
            <w:tcBorders>
              <w:top w:val="nil"/>
              <w:left w:val="nil"/>
              <w:bottom w:val="nil"/>
              <w:right w:val="nil"/>
              <w:tl2br w:val="nil"/>
              <w:tr2bl w:val="nil"/>
            </w:tcBorders>
            <w:tcMar>
              <w:left w:w="0" w:type="dxa"/>
              <w:right w:w="0" w:type="dxa"/>
            </w:tcMar>
            <w:vAlign w:val="bottom"/>
          </w:tcPr>
          <w:p w14:paraId="71F3F197"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98"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in kind (Note 11(g))</w:t>
            </w:r>
          </w:p>
        </w:tc>
        <w:tc>
          <w:tcPr>
            <w:tcW w:w="285" w:type="dxa"/>
            <w:tcBorders>
              <w:top w:val="nil"/>
              <w:left w:val="nil"/>
              <w:bottom w:val="nil"/>
              <w:right w:val="nil"/>
              <w:tl2br w:val="nil"/>
              <w:tr2bl w:val="nil"/>
            </w:tcBorders>
            <w:tcMar>
              <w:left w:w="0" w:type="dxa"/>
              <w:right w:w="0" w:type="dxa"/>
            </w:tcMar>
            <w:vAlign w:val="bottom"/>
          </w:tcPr>
          <w:p w14:paraId="71F3F199"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9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9B"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9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9D"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9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9F"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A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A1"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A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A3"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A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A5"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A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A7"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A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A9"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A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AB"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A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AD"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1A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(10,761)</w:t>
            </w:r>
          </w:p>
        </w:tc>
        <w:tc>
          <w:tcPr>
            <w:tcW w:w="285" w:type="dxa"/>
            <w:tcBorders>
              <w:top w:val="nil"/>
              <w:left w:val="nil"/>
              <w:bottom w:val="nil"/>
              <w:right w:val="nil"/>
              <w:tl2br w:val="nil"/>
              <w:tr2bl w:val="nil"/>
            </w:tcBorders>
            <w:noWrap/>
            <w:tcMar>
              <w:left w:w="0" w:type="dxa"/>
              <w:right w:w="0" w:type="dxa"/>
            </w:tcMar>
            <w:vAlign w:val="bottom"/>
          </w:tcPr>
          <w:p w14:paraId="71F3F1AF"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1B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(10,761)</w:t>
            </w:r>
          </w:p>
        </w:tc>
      </w:tr>
      <w:tr w:rsidR="00510CAA" w14:paraId="71F3F1C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20" w:type="dxa"/>
            <w:tcBorders>
              <w:top w:val="nil"/>
              <w:left w:val="nil"/>
              <w:bottom w:val="nil"/>
              <w:right w:val="nil"/>
              <w:tl2br w:val="nil"/>
              <w:tr2bl w:val="nil"/>
            </w:tcBorders>
            <w:tcMar>
              <w:left w:w="0" w:type="dxa"/>
              <w:right w:w="0" w:type="dxa"/>
            </w:tcMar>
            <w:vAlign w:val="bottom"/>
          </w:tcPr>
          <w:p w14:paraId="71F3F1B2"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B3" w14:textId="77777777" w:rsidR="00510CAA" w:rsidRDefault="003A4815">
            <w:pPr>
              <w:keepNext/>
              <w:rPr>
                <w:rFonts w:ascii="Arial" w:eastAsia="Arial" w:hAnsi="Arial" w:cs="Arial"/>
                <w:color w:val="000000"/>
                <w:sz w:val="16"/>
              </w:rPr>
            </w:pPr>
            <w:r>
              <w:rPr>
                <w:rFonts w:ascii="Arial" w:eastAsia="Arial" w:hAnsi="Arial" w:cs="Arial"/>
                <w:color w:val="000000"/>
                <w:sz w:val="16"/>
              </w:rPr>
              <w:t>Warrants (Note 11(h))</w:t>
            </w:r>
          </w:p>
        </w:tc>
        <w:tc>
          <w:tcPr>
            <w:tcW w:w="285" w:type="dxa"/>
            <w:tcBorders>
              <w:top w:val="nil"/>
              <w:left w:val="nil"/>
              <w:bottom w:val="nil"/>
              <w:right w:val="nil"/>
              <w:tl2br w:val="nil"/>
              <w:tr2bl w:val="nil"/>
            </w:tcBorders>
            <w:tcMar>
              <w:left w:w="0" w:type="dxa"/>
              <w:right w:w="0" w:type="dxa"/>
            </w:tcMar>
            <w:vAlign w:val="bottom"/>
          </w:tcPr>
          <w:p w14:paraId="71F3F1B4"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1B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B6"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B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B8"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B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BA"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B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BC"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1B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BE"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B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C0"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1C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C2"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1C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C4"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1C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C6"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1C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C8"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1C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(7,914)</w:t>
            </w:r>
          </w:p>
        </w:tc>
        <w:tc>
          <w:tcPr>
            <w:tcW w:w="285" w:type="dxa"/>
            <w:tcBorders>
              <w:top w:val="nil"/>
              <w:left w:val="nil"/>
              <w:bottom w:val="nil"/>
              <w:right w:val="nil"/>
              <w:tl2br w:val="nil"/>
              <w:tr2bl w:val="nil"/>
            </w:tcBorders>
            <w:noWrap/>
            <w:tcMar>
              <w:left w:w="0" w:type="dxa"/>
              <w:right w:w="0" w:type="dxa"/>
            </w:tcMar>
            <w:vAlign w:val="bottom"/>
          </w:tcPr>
          <w:p w14:paraId="71F3F1CA"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1C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(7,914)</w:t>
            </w:r>
          </w:p>
        </w:tc>
      </w:tr>
      <w:tr w:rsidR="00510CAA" w14:paraId="71F3F1E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120" w:type="dxa"/>
            <w:tcBorders>
              <w:top w:val="nil"/>
              <w:left w:val="nil"/>
              <w:bottom w:val="nil"/>
              <w:right w:val="nil"/>
              <w:tl2br w:val="nil"/>
              <w:tr2bl w:val="nil"/>
            </w:tcBorders>
            <w:tcMar>
              <w:left w:w="0" w:type="dxa"/>
              <w:right w:w="0" w:type="dxa"/>
            </w:tcMar>
            <w:vAlign w:val="bottom"/>
          </w:tcPr>
          <w:p w14:paraId="71F3F1CD"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1CE" w14:textId="77777777" w:rsidR="00510CAA" w:rsidRDefault="003A4815">
            <w:pPr>
              <w:keepNext/>
              <w:rPr>
                <w:rFonts w:ascii="Arial" w:eastAsia="Arial" w:hAnsi="Arial" w:cs="Arial"/>
                <w:color w:val="000000"/>
                <w:sz w:val="16"/>
              </w:rPr>
            </w:pPr>
            <w:r>
              <w:rPr>
                <w:rFonts w:ascii="Arial" w:eastAsia="Arial" w:hAnsi="Arial" w:cs="Arial"/>
                <w:color w:val="000000"/>
                <w:sz w:val="16"/>
              </w:rPr>
              <w:t>Other comprehensive income</w:t>
            </w:r>
          </w:p>
        </w:tc>
        <w:tc>
          <w:tcPr>
            <w:tcW w:w="285" w:type="dxa"/>
            <w:tcBorders>
              <w:top w:val="nil"/>
              <w:left w:val="nil"/>
              <w:bottom w:val="nil"/>
              <w:right w:val="nil"/>
              <w:tl2br w:val="nil"/>
              <w:tr2bl w:val="nil"/>
            </w:tcBorders>
            <w:tcMar>
              <w:left w:w="0" w:type="dxa"/>
              <w:right w:w="0" w:type="dxa"/>
            </w:tcMar>
            <w:vAlign w:val="bottom"/>
          </w:tcPr>
          <w:p w14:paraId="71F3F1CF" w14:textId="77777777" w:rsidR="00510CAA" w:rsidRDefault="00510CAA">
            <w:pPr>
              <w:keepNext/>
              <w:jc w:val="center"/>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1D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D1"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1D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D3"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1D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D5"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1D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D7"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1D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D9"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1D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DB" w14:textId="77777777" w:rsidR="00510CAA" w:rsidRDefault="00510CAA">
            <w:pPr>
              <w:keepNext/>
              <w:rPr>
                <w:rFonts w:ascii="Arial" w:eastAsia="Arial" w:hAnsi="Arial" w:cs="Arial"/>
                <w:color w:val="000000"/>
                <w:sz w:val="16"/>
              </w:rPr>
            </w:pPr>
          </w:p>
        </w:tc>
        <w:tc>
          <w:tcPr>
            <w:tcW w:w="1170" w:type="dxa"/>
            <w:tcBorders>
              <w:top w:val="nil"/>
              <w:left w:val="nil"/>
              <w:bottom w:val="single" w:sz="4" w:space="0" w:color="000000"/>
              <w:right w:val="nil"/>
              <w:tl2br w:val="nil"/>
              <w:tr2bl w:val="nil"/>
            </w:tcBorders>
            <w:noWrap/>
            <w:tcMar>
              <w:left w:w="43" w:type="dxa"/>
              <w:right w:w="103" w:type="dxa"/>
            </w:tcMar>
            <w:vAlign w:val="bottom"/>
          </w:tcPr>
          <w:p w14:paraId="71F3F1D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DD"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1D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DF" w14:textId="77777777" w:rsidR="00510CAA" w:rsidRDefault="00510CAA">
            <w:pPr>
              <w:keepNext/>
              <w:rPr>
                <w:rFonts w:ascii="Arial" w:eastAsia="Arial" w:hAnsi="Arial" w:cs="Arial"/>
                <w:color w:val="000000"/>
                <w:sz w:val="16"/>
              </w:rPr>
            </w:pPr>
          </w:p>
        </w:tc>
        <w:tc>
          <w:tcPr>
            <w:tcW w:w="945" w:type="dxa"/>
            <w:tcBorders>
              <w:top w:val="nil"/>
              <w:left w:val="nil"/>
              <w:bottom w:val="single" w:sz="4" w:space="0" w:color="000000"/>
              <w:right w:val="nil"/>
              <w:tl2br w:val="nil"/>
              <w:tr2bl w:val="nil"/>
            </w:tcBorders>
            <w:noWrap/>
            <w:tcMar>
              <w:left w:w="43" w:type="dxa"/>
              <w:right w:w="103" w:type="dxa"/>
            </w:tcMar>
            <w:vAlign w:val="bottom"/>
          </w:tcPr>
          <w:p w14:paraId="71F3F1E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E1" w14:textId="77777777" w:rsidR="00510CAA" w:rsidRDefault="00510CAA">
            <w:pPr>
              <w:keepNext/>
              <w:rPr>
                <w:rFonts w:ascii="Arial" w:eastAsia="Arial" w:hAnsi="Arial" w:cs="Arial"/>
                <w:color w:val="000000"/>
                <w:sz w:val="16"/>
              </w:rPr>
            </w:pPr>
          </w:p>
        </w:tc>
        <w:tc>
          <w:tcPr>
            <w:tcW w:w="960" w:type="dxa"/>
            <w:tcBorders>
              <w:top w:val="nil"/>
              <w:left w:val="nil"/>
              <w:bottom w:val="single" w:sz="4" w:space="0" w:color="000000"/>
              <w:right w:val="nil"/>
              <w:tl2br w:val="nil"/>
              <w:tr2bl w:val="nil"/>
            </w:tcBorders>
            <w:noWrap/>
            <w:tcMar>
              <w:left w:w="43" w:type="dxa"/>
              <w:right w:w="103" w:type="dxa"/>
            </w:tcMar>
            <w:vAlign w:val="bottom"/>
          </w:tcPr>
          <w:p w14:paraId="71F3F1E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55</w:t>
            </w:r>
          </w:p>
        </w:tc>
        <w:tc>
          <w:tcPr>
            <w:tcW w:w="180" w:type="dxa"/>
            <w:tcBorders>
              <w:top w:val="nil"/>
              <w:left w:val="nil"/>
              <w:bottom w:val="nil"/>
              <w:right w:val="nil"/>
              <w:tl2br w:val="nil"/>
              <w:tr2bl w:val="nil"/>
            </w:tcBorders>
            <w:noWrap/>
            <w:tcMar>
              <w:left w:w="0" w:type="dxa"/>
              <w:right w:w="0" w:type="dxa"/>
            </w:tcMar>
            <w:vAlign w:val="bottom"/>
          </w:tcPr>
          <w:p w14:paraId="71F3F1E3" w14:textId="77777777" w:rsidR="00510CAA" w:rsidRDefault="00510CAA">
            <w:pPr>
              <w:keepNext/>
              <w:rPr>
                <w:rFonts w:ascii="Arial" w:eastAsia="Arial" w:hAnsi="Arial" w:cs="Arial"/>
                <w:color w:val="000000"/>
                <w:sz w:val="16"/>
              </w:rPr>
            </w:pPr>
          </w:p>
        </w:tc>
        <w:tc>
          <w:tcPr>
            <w:tcW w:w="1140" w:type="dxa"/>
            <w:tcBorders>
              <w:top w:val="nil"/>
              <w:left w:val="nil"/>
              <w:bottom w:val="single" w:sz="4" w:space="0" w:color="000000"/>
              <w:right w:val="nil"/>
              <w:tl2br w:val="nil"/>
              <w:tr2bl w:val="nil"/>
            </w:tcBorders>
            <w:noWrap/>
            <w:tcMar>
              <w:left w:w="43" w:type="dxa"/>
              <w:right w:w="103" w:type="dxa"/>
            </w:tcMar>
            <w:vAlign w:val="bottom"/>
          </w:tcPr>
          <w:p w14:paraId="71F3F1E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1E5" w14:textId="77777777" w:rsidR="00510CAA" w:rsidRDefault="00510CAA">
            <w:pPr>
              <w:keepNext/>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1E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55</w:t>
            </w:r>
          </w:p>
        </w:tc>
      </w:tr>
      <w:tr w:rsidR="00510CAA" w14:paraId="71F3F20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20"/>
        </w:trPr>
        <w:tc>
          <w:tcPr>
            <w:tcW w:w="1875" w:type="dxa"/>
            <w:gridSpan w:val="2"/>
            <w:tcBorders>
              <w:top w:val="nil"/>
              <w:left w:val="nil"/>
              <w:bottom w:val="nil"/>
              <w:right w:val="nil"/>
              <w:tl2br w:val="nil"/>
              <w:tr2bl w:val="nil"/>
            </w:tcBorders>
            <w:noWrap/>
            <w:tcMar>
              <w:left w:w="43" w:type="dxa"/>
              <w:right w:w="43" w:type="dxa"/>
            </w:tcMar>
            <w:vAlign w:val="bottom"/>
          </w:tcPr>
          <w:p w14:paraId="71F3F1E8"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BALANCE, December 31, 2023</w:t>
            </w:r>
          </w:p>
        </w:tc>
        <w:tc>
          <w:tcPr>
            <w:tcW w:w="285" w:type="dxa"/>
            <w:tcBorders>
              <w:top w:val="nil"/>
              <w:left w:val="nil"/>
              <w:bottom w:val="nil"/>
              <w:right w:val="nil"/>
              <w:tl2br w:val="nil"/>
              <w:tr2bl w:val="nil"/>
            </w:tcBorders>
            <w:noWrap/>
            <w:tcMar>
              <w:left w:w="0" w:type="dxa"/>
              <w:right w:w="0" w:type="dxa"/>
            </w:tcMar>
            <w:vAlign w:val="bottom"/>
          </w:tcPr>
          <w:p w14:paraId="71F3F1E9" w14:textId="77777777" w:rsidR="00510CAA" w:rsidRDefault="00510CAA">
            <w:pPr>
              <w:keepNext/>
              <w:rPr>
                <w:rFonts w:ascii="Arial" w:eastAsia="Arial" w:hAnsi="Arial" w:cs="Arial"/>
                <w:color w:val="000000"/>
                <w:sz w:val="16"/>
              </w:rPr>
            </w:pP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E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2,600,000</w:t>
            </w:r>
          </w:p>
        </w:tc>
        <w:tc>
          <w:tcPr>
            <w:tcW w:w="180" w:type="dxa"/>
            <w:tcBorders>
              <w:top w:val="nil"/>
              <w:left w:val="nil"/>
              <w:bottom w:val="nil"/>
              <w:right w:val="nil"/>
              <w:tl2br w:val="nil"/>
              <w:tr2bl w:val="nil"/>
            </w:tcBorders>
            <w:noWrap/>
            <w:tcMar>
              <w:left w:w="43" w:type="dxa"/>
              <w:right w:w="103" w:type="dxa"/>
            </w:tcMar>
            <w:vAlign w:val="bottom"/>
          </w:tcPr>
          <w:p w14:paraId="71F3F1EB"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E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c>
          <w:tcPr>
            <w:tcW w:w="165" w:type="dxa"/>
            <w:tcBorders>
              <w:top w:val="nil"/>
              <w:left w:val="nil"/>
              <w:bottom w:val="nil"/>
              <w:right w:val="nil"/>
              <w:tl2br w:val="nil"/>
              <w:tr2bl w:val="nil"/>
            </w:tcBorders>
            <w:noWrap/>
            <w:tcMar>
              <w:left w:w="0" w:type="dxa"/>
              <w:right w:w="0" w:type="dxa"/>
            </w:tcMar>
            <w:vAlign w:val="bottom"/>
          </w:tcPr>
          <w:p w14:paraId="71F3F1ED"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E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10,675</w:t>
            </w:r>
          </w:p>
        </w:tc>
        <w:tc>
          <w:tcPr>
            <w:tcW w:w="180" w:type="dxa"/>
            <w:tcBorders>
              <w:top w:val="nil"/>
              <w:left w:val="nil"/>
              <w:bottom w:val="nil"/>
              <w:right w:val="nil"/>
              <w:tl2br w:val="nil"/>
              <w:tr2bl w:val="nil"/>
            </w:tcBorders>
            <w:noWrap/>
            <w:tcMar>
              <w:left w:w="43" w:type="dxa"/>
              <w:right w:w="103" w:type="dxa"/>
            </w:tcMar>
            <w:vAlign w:val="bottom"/>
          </w:tcPr>
          <w:p w14:paraId="71F3F1EF"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1F1"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400</w:t>
            </w:r>
          </w:p>
        </w:tc>
        <w:tc>
          <w:tcPr>
            <w:tcW w:w="285" w:type="dxa"/>
            <w:tcBorders>
              <w:top w:val="nil"/>
              <w:left w:val="nil"/>
              <w:bottom w:val="nil"/>
              <w:right w:val="nil"/>
              <w:tl2br w:val="nil"/>
              <w:tr2bl w:val="nil"/>
            </w:tcBorders>
            <w:noWrap/>
            <w:tcMar>
              <w:left w:w="43" w:type="dxa"/>
              <w:right w:w="103" w:type="dxa"/>
            </w:tcMar>
            <w:vAlign w:val="bottom"/>
          </w:tcPr>
          <w:p w14:paraId="71F3F1F3"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1F5" w14:textId="77777777" w:rsidR="00510CAA" w:rsidRDefault="00510CAA">
            <w:pPr>
              <w:keepNext/>
              <w:rPr>
                <w:rFonts w:ascii="Arial" w:eastAsia="Arial" w:hAnsi="Arial" w:cs="Arial"/>
                <w:color w:val="000000"/>
                <w:sz w:val="16"/>
              </w:rPr>
            </w:pPr>
          </w:p>
        </w:tc>
        <w:tc>
          <w:tcPr>
            <w:tcW w:w="117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113,065,725</w:t>
            </w:r>
          </w:p>
        </w:tc>
        <w:tc>
          <w:tcPr>
            <w:tcW w:w="285" w:type="dxa"/>
            <w:tcBorders>
              <w:top w:val="nil"/>
              <w:left w:val="nil"/>
              <w:bottom w:val="nil"/>
              <w:right w:val="nil"/>
              <w:tl2br w:val="nil"/>
              <w:tr2bl w:val="nil"/>
            </w:tcBorders>
            <w:noWrap/>
            <w:tcMar>
              <w:left w:w="43" w:type="dxa"/>
              <w:right w:w="103" w:type="dxa"/>
            </w:tcMar>
            <w:vAlign w:val="bottom"/>
          </w:tcPr>
          <w:p w14:paraId="71F3F1F7"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1,131</w:t>
            </w:r>
          </w:p>
        </w:tc>
        <w:tc>
          <w:tcPr>
            <w:tcW w:w="180" w:type="dxa"/>
            <w:tcBorders>
              <w:top w:val="nil"/>
              <w:left w:val="nil"/>
              <w:bottom w:val="nil"/>
              <w:right w:val="nil"/>
              <w:tl2br w:val="nil"/>
              <w:tr2bl w:val="nil"/>
            </w:tcBorders>
            <w:noWrap/>
            <w:tcMar>
              <w:left w:w="43" w:type="dxa"/>
              <w:right w:w="103" w:type="dxa"/>
            </w:tcMar>
            <w:vAlign w:val="bottom"/>
          </w:tcPr>
          <w:p w14:paraId="71F3F1F9"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4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1,101,425</w:t>
            </w:r>
          </w:p>
        </w:tc>
        <w:tc>
          <w:tcPr>
            <w:tcW w:w="180" w:type="dxa"/>
            <w:tcBorders>
              <w:top w:val="nil"/>
              <w:left w:val="nil"/>
              <w:bottom w:val="nil"/>
              <w:right w:val="nil"/>
              <w:tl2br w:val="nil"/>
              <w:tr2bl w:val="nil"/>
            </w:tcBorders>
            <w:noWrap/>
            <w:tcMar>
              <w:left w:w="43" w:type="dxa"/>
              <w:right w:w="103" w:type="dxa"/>
            </w:tcMar>
            <w:vAlign w:val="bottom"/>
          </w:tcPr>
          <w:p w14:paraId="71F3F1FB"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6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1F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308</w:t>
            </w:r>
          </w:p>
        </w:tc>
        <w:tc>
          <w:tcPr>
            <w:tcW w:w="180" w:type="dxa"/>
            <w:tcBorders>
              <w:top w:val="nil"/>
              <w:left w:val="nil"/>
              <w:bottom w:val="nil"/>
              <w:right w:val="nil"/>
              <w:tl2br w:val="nil"/>
              <w:tr2bl w:val="nil"/>
            </w:tcBorders>
            <w:noWrap/>
            <w:tcMar>
              <w:left w:w="43" w:type="dxa"/>
              <w:right w:w="103" w:type="dxa"/>
            </w:tcMar>
            <w:vAlign w:val="bottom"/>
          </w:tcPr>
          <w:p w14:paraId="71F3F1FD"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1140" w:type="dxa"/>
            <w:tcBorders>
              <w:top w:val="single" w:sz="4" w:space="0" w:color="000000"/>
              <w:left w:val="nil"/>
              <w:bottom w:val="double" w:sz="6" w:space="0" w:color="000000"/>
              <w:right w:val="nil"/>
              <w:tl2br w:val="nil"/>
              <w:tr2bl w:val="nil"/>
            </w:tcBorders>
            <w:noWrap/>
            <w:tcMar>
              <w:left w:w="43" w:type="dxa"/>
              <w:right w:w="43" w:type="dxa"/>
            </w:tcMar>
            <w:vAlign w:val="bottom"/>
          </w:tcPr>
          <w:p w14:paraId="71F3F1F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(613,869)</w:t>
            </w:r>
          </w:p>
        </w:tc>
        <w:tc>
          <w:tcPr>
            <w:tcW w:w="285" w:type="dxa"/>
            <w:tcBorders>
              <w:top w:val="nil"/>
              <w:left w:val="nil"/>
              <w:bottom w:val="nil"/>
              <w:right w:val="nil"/>
              <w:tl2br w:val="nil"/>
              <w:tr2bl w:val="nil"/>
            </w:tcBorders>
            <w:noWrap/>
            <w:tcMar>
              <w:left w:w="43" w:type="dxa"/>
              <w:right w:w="103" w:type="dxa"/>
            </w:tcMar>
            <w:vAlign w:val="bottom"/>
          </w:tcPr>
          <w:p w14:paraId="71F3F1FF"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0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489,021</w:t>
            </w:r>
          </w:p>
        </w:tc>
      </w:tr>
      <w:tr w:rsidR="00510CAA" w14:paraId="71F3F21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120" w:type="dxa"/>
            <w:tcBorders>
              <w:top w:val="nil"/>
              <w:left w:val="nil"/>
              <w:bottom w:val="nil"/>
              <w:right w:val="nil"/>
              <w:tl2br w:val="nil"/>
              <w:tr2bl w:val="nil"/>
            </w:tcBorders>
            <w:tcMar>
              <w:left w:w="0" w:type="dxa"/>
              <w:right w:w="0" w:type="dxa"/>
            </w:tcMar>
            <w:vAlign w:val="bottom"/>
          </w:tcPr>
          <w:p w14:paraId="71F3F202"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03" w14:textId="77777777" w:rsidR="00510CAA" w:rsidRDefault="003A4815">
            <w:pPr>
              <w:keepNext/>
              <w:rPr>
                <w:rFonts w:ascii="Arial" w:eastAsia="Arial" w:hAnsi="Arial" w:cs="Arial"/>
                <w:color w:val="000000"/>
                <w:sz w:val="16"/>
              </w:rPr>
            </w:pPr>
            <w:r>
              <w:rPr>
                <w:rFonts w:ascii="Arial" w:eastAsia="Arial" w:hAnsi="Arial" w:cs="Arial"/>
                <w:color w:val="000000"/>
                <w:sz w:val="16"/>
              </w:rPr>
              <w:t>Net income</w:t>
            </w:r>
          </w:p>
        </w:tc>
        <w:tc>
          <w:tcPr>
            <w:tcW w:w="285" w:type="dxa"/>
            <w:tcBorders>
              <w:top w:val="nil"/>
              <w:left w:val="nil"/>
              <w:bottom w:val="nil"/>
              <w:right w:val="nil"/>
              <w:tl2br w:val="nil"/>
              <w:tr2bl w:val="nil"/>
            </w:tcBorders>
            <w:noWrap/>
            <w:tcMar>
              <w:left w:w="0" w:type="dxa"/>
              <w:right w:w="0" w:type="dxa"/>
            </w:tcMar>
            <w:vAlign w:val="bottom"/>
          </w:tcPr>
          <w:p w14:paraId="71F3F204"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20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06"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0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08"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20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0A"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0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0C"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20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0E"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0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10" w14:textId="77777777" w:rsidR="00510CAA" w:rsidRDefault="00510CAA">
            <w:pPr>
              <w:keepNext/>
              <w:rPr>
                <w:rFonts w:ascii="Arial" w:eastAsia="Arial" w:hAnsi="Arial" w:cs="Arial"/>
                <w:color w:val="000000"/>
                <w:sz w:val="16"/>
              </w:rPr>
            </w:pPr>
          </w:p>
        </w:tc>
        <w:tc>
          <w:tcPr>
            <w:tcW w:w="1170" w:type="dxa"/>
            <w:tcBorders>
              <w:top w:val="double" w:sz="6" w:space="0" w:color="000000"/>
              <w:left w:val="nil"/>
              <w:bottom w:val="nil"/>
              <w:right w:val="nil"/>
              <w:tl2br w:val="nil"/>
              <w:tr2bl w:val="nil"/>
            </w:tcBorders>
            <w:noWrap/>
            <w:tcMar>
              <w:left w:w="43" w:type="dxa"/>
              <w:right w:w="103" w:type="dxa"/>
            </w:tcMar>
            <w:vAlign w:val="bottom"/>
          </w:tcPr>
          <w:p w14:paraId="71F3F21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12"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1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14" w14:textId="77777777" w:rsidR="00510CAA" w:rsidRDefault="00510CAA">
            <w:pPr>
              <w:keepNext/>
              <w:rPr>
                <w:rFonts w:ascii="Arial" w:eastAsia="Arial" w:hAnsi="Arial" w:cs="Arial"/>
                <w:color w:val="000000"/>
                <w:sz w:val="16"/>
              </w:rPr>
            </w:pPr>
          </w:p>
        </w:tc>
        <w:tc>
          <w:tcPr>
            <w:tcW w:w="945" w:type="dxa"/>
            <w:tcBorders>
              <w:top w:val="double" w:sz="6" w:space="0" w:color="000000"/>
              <w:left w:val="nil"/>
              <w:bottom w:val="nil"/>
              <w:right w:val="nil"/>
              <w:tl2br w:val="nil"/>
              <w:tr2bl w:val="nil"/>
            </w:tcBorders>
            <w:noWrap/>
            <w:tcMar>
              <w:left w:w="43" w:type="dxa"/>
              <w:right w:w="103" w:type="dxa"/>
            </w:tcMar>
            <w:vAlign w:val="bottom"/>
          </w:tcPr>
          <w:p w14:paraId="71F3F21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16" w14:textId="77777777" w:rsidR="00510CAA" w:rsidRDefault="00510CAA">
            <w:pPr>
              <w:keepNext/>
              <w:rPr>
                <w:rFonts w:ascii="Arial" w:eastAsia="Arial" w:hAnsi="Arial" w:cs="Arial"/>
                <w:color w:val="000000"/>
                <w:sz w:val="16"/>
              </w:rPr>
            </w:pPr>
          </w:p>
        </w:tc>
        <w:tc>
          <w:tcPr>
            <w:tcW w:w="960" w:type="dxa"/>
            <w:tcBorders>
              <w:top w:val="double" w:sz="6" w:space="0" w:color="000000"/>
              <w:left w:val="nil"/>
              <w:bottom w:val="nil"/>
              <w:right w:val="nil"/>
              <w:tl2br w:val="nil"/>
              <w:tr2bl w:val="nil"/>
            </w:tcBorders>
            <w:noWrap/>
            <w:tcMar>
              <w:left w:w="43" w:type="dxa"/>
              <w:right w:w="103" w:type="dxa"/>
            </w:tcMar>
            <w:vAlign w:val="bottom"/>
          </w:tcPr>
          <w:p w14:paraId="71F3F21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18" w14:textId="77777777" w:rsidR="00510CAA" w:rsidRDefault="00510CAA">
            <w:pPr>
              <w:keepNext/>
              <w:rPr>
                <w:rFonts w:ascii="Arial" w:eastAsia="Arial" w:hAnsi="Arial" w:cs="Arial"/>
                <w:color w:val="000000"/>
                <w:sz w:val="16"/>
              </w:rPr>
            </w:pPr>
          </w:p>
        </w:tc>
        <w:tc>
          <w:tcPr>
            <w:tcW w:w="1140" w:type="dxa"/>
            <w:tcBorders>
              <w:top w:val="double" w:sz="6" w:space="0" w:color="000000"/>
              <w:left w:val="nil"/>
              <w:bottom w:val="nil"/>
              <w:right w:val="nil"/>
              <w:tl2br w:val="nil"/>
              <w:tr2bl w:val="nil"/>
            </w:tcBorders>
            <w:noWrap/>
            <w:tcMar>
              <w:left w:w="43" w:type="dxa"/>
              <w:right w:w="103" w:type="dxa"/>
            </w:tcMar>
            <w:vAlign w:val="bottom"/>
          </w:tcPr>
          <w:p w14:paraId="71F3F21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12,746</w:t>
            </w:r>
          </w:p>
        </w:tc>
        <w:tc>
          <w:tcPr>
            <w:tcW w:w="285" w:type="dxa"/>
            <w:tcBorders>
              <w:top w:val="nil"/>
              <w:left w:val="nil"/>
              <w:bottom w:val="nil"/>
              <w:right w:val="nil"/>
              <w:tl2br w:val="nil"/>
              <w:tr2bl w:val="nil"/>
            </w:tcBorders>
            <w:noWrap/>
            <w:tcMar>
              <w:left w:w="0" w:type="dxa"/>
              <w:right w:w="0" w:type="dxa"/>
            </w:tcMar>
            <w:vAlign w:val="bottom"/>
          </w:tcPr>
          <w:p w14:paraId="71F3F21A"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21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12,746</w:t>
            </w:r>
          </w:p>
        </w:tc>
      </w:tr>
      <w:tr w:rsidR="00510CAA" w14:paraId="71F3F23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35"/>
        </w:trPr>
        <w:tc>
          <w:tcPr>
            <w:tcW w:w="120" w:type="dxa"/>
            <w:tcBorders>
              <w:top w:val="nil"/>
              <w:left w:val="nil"/>
              <w:bottom w:val="nil"/>
              <w:right w:val="nil"/>
              <w:tl2br w:val="nil"/>
              <w:tr2bl w:val="nil"/>
            </w:tcBorders>
            <w:tcMar>
              <w:left w:w="0" w:type="dxa"/>
              <w:right w:w="0" w:type="dxa"/>
            </w:tcMar>
            <w:vAlign w:val="bottom"/>
          </w:tcPr>
          <w:p w14:paraId="71F3F21D"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1E"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Restricted Stock and Compensation Cost (Note 11(i))</w:t>
            </w:r>
          </w:p>
        </w:tc>
        <w:tc>
          <w:tcPr>
            <w:tcW w:w="285" w:type="dxa"/>
            <w:tcBorders>
              <w:top w:val="nil"/>
              <w:left w:val="nil"/>
              <w:bottom w:val="nil"/>
              <w:right w:val="nil"/>
              <w:tl2br w:val="nil"/>
              <w:tr2bl w:val="nil"/>
            </w:tcBorders>
            <w:noWrap/>
            <w:tcMar>
              <w:left w:w="0" w:type="dxa"/>
              <w:right w:w="0" w:type="dxa"/>
            </w:tcMar>
            <w:vAlign w:val="bottom"/>
          </w:tcPr>
          <w:p w14:paraId="71F3F21F"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2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21"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2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23"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2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25"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2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27"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2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29"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2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2B"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22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2,300,000</w:t>
            </w:r>
          </w:p>
        </w:tc>
        <w:tc>
          <w:tcPr>
            <w:tcW w:w="285" w:type="dxa"/>
            <w:tcBorders>
              <w:top w:val="nil"/>
              <w:left w:val="nil"/>
              <w:bottom w:val="nil"/>
              <w:right w:val="nil"/>
              <w:tl2br w:val="nil"/>
              <w:tr2bl w:val="nil"/>
            </w:tcBorders>
            <w:noWrap/>
            <w:tcMar>
              <w:left w:w="0" w:type="dxa"/>
              <w:right w:w="0" w:type="dxa"/>
            </w:tcMar>
            <w:vAlign w:val="bottom"/>
          </w:tcPr>
          <w:p w14:paraId="71F3F22D"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2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23</w:t>
            </w:r>
          </w:p>
        </w:tc>
        <w:tc>
          <w:tcPr>
            <w:tcW w:w="180" w:type="dxa"/>
            <w:tcBorders>
              <w:top w:val="nil"/>
              <w:left w:val="nil"/>
              <w:bottom w:val="nil"/>
              <w:right w:val="nil"/>
              <w:tl2br w:val="nil"/>
              <w:tr2bl w:val="nil"/>
            </w:tcBorders>
            <w:noWrap/>
            <w:tcMar>
              <w:left w:w="0" w:type="dxa"/>
              <w:right w:w="0" w:type="dxa"/>
            </w:tcMar>
            <w:vAlign w:val="bottom"/>
          </w:tcPr>
          <w:p w14:paraId="71F3F22F"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23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9,989</w:t>
            </w:r>
          </w:p>
        </w:tc>
        <w:tc>
          <w:tcPr>
            <w:tcW w:w="180" w:type="dxa"/>
            <w:tcBorders>
              <w:top w:val="nil"/>
              <w:left w:val="nil"/>
              <w:bottom w:val="nil"/>
              <w:right w:val="nil"/>
              <w:tl2br w:val="nil"/>
              <w:tr2bl w:val="nil"/>
            </w:tcBorders>
            <w:noWrap/>
            <w:tcMar>
              <w:left w:w="0" w:type="dxa"/>
              <w:right w:w="0" w:type="dxa"/>
            </w:tcMar>
            <w:vAlign w:val="bottom"/>
          </w:tcPr>
          <w:p w14:paraId="71F3F231"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23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33"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23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35"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3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10,012</w:t>
            </w:r>
          </w:p>
        </w:tc>
      </w:tr>
      <w:tr w:rsidR="00510CAA" w14:paraId="71F3F25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65"/>
        </w:trPr>
        <w:tc>
          <w:tcPr>
            <w:tcW w:w="120" w:type="dxa"/>
            <w:tcBorders>
              <w:top w:val="nil"/>
              <w:left w:val="nil"/>
              <w:bottom w:val="nil"/>
              <w:right w:val="nil"/>
              <w:tl2br w:val="nil"/>
              <w:tr2bl w:val="nil"/>
            </w:tcBorders>
            <w:tcMar>
              <w:left w:w="0" w:type="dxa"/>
              <w:right w:w="0" w:type="dxa"/>
            </w:tcMar>
            <w:vAlign w:val="bottom"/>
          </w:tcPr>
          <w:p w14:paraId="71F3F238"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39"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Common Stock (Note 11(h))</w:t>
            </w:r>
          </w:p>
        </w:tc>
        <w:tc>
          <w:tcPr>
            <w:tcW w:w="285" w:type="dxa"/>
            <w:tcBorders>
              <w:top w:val="nil"/>
              <w:left w:val="nil"/>
              <w:bottom w:val="nil"/>
              <w:right w:val="nil"/>
              <w:tl2br w:val="nil"/>
              <w:tr2bl w:val="nil"/>
            </w:tcBorders>
            <w:tcMar>
              <w:left w:w="0" w:type="dxa"/>
              <w:right w:w="0" w:type="dxa"/>
            </w:tcMar>
            <w:vAlign w:val="bottom"/>
          </w:tcPr>
          <w:p w14:paraId="71F3F23A"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3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3C"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3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3E"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3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40"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4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42"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4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44"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4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46"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24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9,837,680</w:t>
            </w:r>
          </w:p>
        </w:tc>
        <w:tc>
          <w:tcPr>
            <w:tcW w:w="285" w:type="dxa"/>
            <w:tcBorders>
              <w:top w:val="nil"/>
              <w:left w:val="nil"/>
              <w:bottom w:val="nil"/>
              <w:right w:val="nil"/>
              <w:tl2br w:val="nil"/>
              <w:tr2bl w:val="nil"/>
            </w:tcBorders>
            <w:noWrap/>
            <w:tcMar>
              <w:left w:w="0" w:type="dxa"/>
              <w:right w:w="0" w:type="dxa"/>
            </w:tcMar>
            <w:vAlign w:val="bottom"/>
          </w:tcPr>
          <w:p w14:paraId="71F3F248"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4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98</w:t>
            </w:r>
          </w:p>
        </w:tc>
        <w:tc>
          <w:tcPr>
            <w:tcW w:w="180" w:type="dxa"/>
            <w:tcBorders>
              <w:top w:val="nil"/>
              <w:left w:val="nil"/>
              <w:bottom w:val="nil"/>
              <w:right w:val="nil"/>
              <w:tl2br w:val="nil"/>
              <w:tr2bl w:val="nil"/>
            </w:tcBorders>
            <w:noWrap/>
            <w:tcMar>
              <w:left w:w="0" w:type="dxa"/>
              <w:right w:w="0" w:type="dxa"/>
            </w:tcMar>
            <w:vAlign w:val="bottom"/>
          </w:tcPr>
          <w:p w14:paraId="71F3F24A"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24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27,949</w:t>
            </w:r>
          </w:p>
        </w:tc>
        <w:tc>
          <w:tcPr>
            <w:tcW w:w="180" w:type="dxa"/>
            <w:tcBorders>
              <w:top w:val="nil"/>
              <w:left w:val="nil"/>
              <w:bottom w:val="nil"/>
              <w:right w:val="nil"/>
              <w:tl2br w:val="nil"/>
              <w:tr2bl w:val="nil"/>
            </w:tcBorders>
            <w:noWrap/>
            <w:tcMar>
              <w:left w:w="0" w:type="dxa"/>
              <w:right w:w="0" w:type="dxa"/>
            </w:tcMar>
            <w:vAlign w:val="bottom"/>
          </w:tcPr>
          <w:p w14:paraId="71F3F24C"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24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4E"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24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50"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5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28,047</w:t>
            </w:r>
          </w:p>
        </w:tc>
      </w:tr>
      <w:tr w:rsidR="00510CAA" w14:paraId="71F3F26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80"/>
        </w:trPr>
        <w:tc>
          <w:tcPr>
            <w:tcW w:w="120" w:type="dxa"/>
            <w:tcBorders>
              <w:top w:val="nil"/>
              <w:left w:val="nil"/>
              <w:bottom w:val="nil"/>
              <w:right w:val="nil"/>
              <w:tl2br w:val="nil"/>
              <w:tr2bl w:val="nil"/>
            </w:tcBorders>
            <w:tcMar>
              <w:left w:w="0" w:type="dxa"/>
              <w:right w:w="0" w:type="dxa"/>
            </w:tcMar>
            <w:vAlign w:val="bottom"/>
          </w:tcPr>
          <w:p w14:paraId="71F3F253"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54"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series B preferred stock ($2.21875 per share) (Note 11(b))</w:t>
            </w:r>
          </w:p>
        </w:tc>
        <w:tc>
          <w:tcPr>
            <w:tcW w:w="285" w:type="dxa"/>
            <w:tcBorders>
              <w:top w:val="nil"/>
              <w:left w:val="nil"/>
              <w:bottom w:val="nil"/>
              <w:right w:val="nil"/>
              <w:tl2br w:val="nil"/>
              <w:tr2bl w:val="nil"/>
            </w:tcBorders>
            <w:tcMar>
              <w:left w:w="0" w:type="dxa"/>
              <w:right w:w="0" w:type="dxa"/>
            </w:tcMar>
            <w:vAlign w:val="bottom"/>
          </w:tcPr>
          <w:p w14:paraId="71F3F255"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5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57"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5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59"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5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5B"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5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5D"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5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5F"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6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61"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26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63"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6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65"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26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67"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26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69"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26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c>
          <w:tcPr>
            <w:tcW w:w="285" w:type="dxa"/>
            <w:tcBorders>
              <w:top w:val="nil"/>
              <w:left w:val="nil"/>
              <w:bottom w:val="nil"/>
              <w:right w:val="nil"/>
              <w:tl2br w:val="nil"/>
              <w:tr2bl w:val="nil"/>
            </w:tcBorders>
            <w:noWrap/>
            <w:tcMar>
              <w:left w:w="0" w:type="dxa"/>
              <w:right w:w="0" w:type="dxa"/>
            </w:tcMar>
            <w:vAlign w:val="bottom"/>
          </w:tcPr>
          <w:p w14:paraId="71F3F26B"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26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r>
      <w:tr w:rsidR="00510CAA" w14:paraId="71F3F28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40"/>
        </w:trPr>
        <w:tc>
          <w:tcPr>
            <w:tcW w:w="120" w:type="dxa"/>
            <w:tcBorders>
              <w:top w:val="nil"/>
              <w:left w:val="nil"/>
              <w:bottom w:val="nil"/>
              <w:right w:val="nil"/>
              <w:tl2br w:val="nil"/>
              <w:tr2bl w:val="nil"/>
            </w:tcBorders>
            <w:tcMar>
              <w:left w:w="0" w:type="dxa"/>
              <w:right w:w="0" w:type="dxa"/>
            </w:tcMar>
            <w:vAlign w:val="bottom"/>
          </w:tcPr>
          <w:p w14:paraId="71F3F26E"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6F"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common stock ($0.235 per share) (Note 11(f))</w:t>
            </w:r>
          </w:p>
        </w:tc>
        <w:tc>
          <w:tcPr>
            <w:tcW w:w="285" w:type="dxa"/>
            <w:tcBorders>
              <w:top w:val="nil"/>
              <w:left w:val="nil"/>
              <w:bottom w:val="nil"/>
              <w:right w:val="nil"/>
              <w:tl2br w:val="nil"/>
              <w:tr2bl w:val="nil"/>
            </w:tcBorders>
            <w:noWrap/>
            <w:tcMar>
              <w:left w:w="0" w:type="dxa"/>
              <w:right w:w="0" w:type="dxa"/>
            </w:tcMar>
            <w:vAlign w:val="bottom"/>
          </w:tcPr>
          <w:p w14:paraId="71F3F270"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7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72"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7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74"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7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76"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7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78"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7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7A"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7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7C"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27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7E"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7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80"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28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82"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28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84"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28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(29,004)</w:t>
            </w:r>
          </w:p>
        </w:tc>
        <w:tc>
          <w:tcPr>
            <w:tcW w:w="285" w:type="dxa"/>
            <w:tcBorders>
              <w:top w:val="nil"/>
              <w:left w:val="nil"/>
              <w:bottom w:val="nil"/>
              <w:right w:val="nil"/>
              <w:tl2br w:val="nil"/>
              <w:tr2bl w:val="nil"/>
            </w:tcBorders>
            <w:noWrap/>
            <w:tcMar>
              <w:left w:w="0" w:type="dxa"/>
              <w:right w:w="0" w:type="dxa"/>
            </w:tcMar>
            <w:vAlign w:val="bottom"/>
          </w:tcPr>
          <w:p w14:paraId="71F3F286"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28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(29,004)</w:t>
            </w:r>
          </w:p>
        </w:tc>
      </w:tr>
      <w:tr w:rsidR="00510CAA" w14:paraId="71F3F2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120" w:type="dxa"/>
            <w:tcBorders>
              <w:top w:val="nil"/>
              <w:left w:val="nil"/>
              <w:bottom w:val="nil"/>
              <w:right w:val="nil"/>
              <w:tl2br w:val="nil"/>
              <w:tr2bl w:val="nil"/>
            </w:tcBorders>
            <w:tcMar>
              <w:left w:w="0" w:type="dxa"/>
              <w:right w:w="0" w:type="dxa"/>
            </w:tcMar>
            <w:vAlign w:val="bottom"/>
          </w:tcPr>
          <w:p w14:paraId="71F3F289"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8A" w14:textId="77777777" w:rsidR="00510CAA" w:rsidRDefault="003A4815">
            <w:pPr>
              <w:keepNext/>
              <w:rPr>
                <w:rFonts w:ascii="Arial" w:eastAsia="Arial" w:hAnsi="Arial" w:cs="Arial"/>
                <w:color w:val="000000"/>
                <w:sz w:val="16"/>
              </w:rPr>
            </w:pPr>
            <w:r>
              <w:rPr>
                <w:rFonts w:ascii="Arial" w:eastAsia="Arial" w:hAnsi="Arial" w:cs="Arial"/>
                <w:color w:val="000000"/>
                <w:sz w:val="16"/>
              </w:rPr>
              <w:t>Other Comprehensive Income</w:t>
            </w:r>
          </w:p>
        </w:tc>
        <w:tc>
          <w:tcPr>
            <w:tcW w:w="285" w:type="dxa"/>
            <w:tcBorders>
              <w:top w:val="nil"/>
              <w:left w:val="nil"/>
              <w:bottom w:val="nil"/>
              <w:right w:val="nil"/>
              <w:tl2br w:val="nil"/>
              <w:tr2bl w:val="nil"/>
            </w:tcBorders>
            <w:tcMar>
              <w:left w:w="0" w:type="dxa"/>
              <w:right w:w="0" w:type="dxa"/>
            </w:tcMar>
            <w:vAlign w:val="bottom"/>
          </w:tcPr>
          <w:p w14:paraId="71F3F28B" w14:textId="77777777" w:rsidR="00510CAA" w:rsidRDefault="00510CAA">
            <w:pPr>
              <w:keepNext/>
              <w:jc w:val="center"/>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28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8D"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28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8F"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29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91"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29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93"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29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95"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29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97" w14:textId="77777777" w:rsidR="00510CAA" w:rsidRDefault="00510CAA">
            <w:pPr>
              <w:keepNext/>
              <w:rPr>
                <w:rFonts w:ascii="Arial" w:eastAsia="Arial" w:hAnsi="Arial" w:cs="Arial"/>
                <w:color w:val="000000"/>
                <w:sz w:val="16"/>
              </w:rPr>
            </w:pPr>
          </w:p>
        </w:tc>
        <w:tc>
          <w:tcPr>
            <w:tcW w:w="1170" w:type="dxa"/>
            <w:tcBorders>
              <w:top w:val="nil"/>
              <w:left w:val="nil"/>
              <w:bottom w:val="single" w:sz="4" w:space="0" w:color="000000"/>
              <w:right w:val="nil"/>
              <w:tl2br w:val="nil"/>
              <w:tr2bl w:val="nil"/>
            </w:tcBorders>
            <w:noWrap/>
            <w:tcMar>
              <w:left w:w="43" w:type="dxa"/>
              <w:right w:w="103" w:type="dxa"/>
            </w:tcMar>
            <w:vAlign w:val="bottom"/>
          </w:tcPr>
          <w:p w14:paraId="71F3F29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99"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29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9B" w14:textId="77777777" w:rsidR="00510CAA" w:rsidRDefault="00510CAA">
            <w:pPr>
              <w:keepNext/>
              <w:rPr>
                <w:rFonts w:ascii="Arial" w:eastAsia="Arial" w:hAnsi="Arial" w:cs="Arial"/>
                <w:color w:val="000000"/>
                <w:sz w:val="16"/>
              </w:rPr>
            </w:pPr>
          </w:p>
        </w:tc>
        <w:tc>
          <w:tcPr>
            <w:tcW w:w="945" w:type="dxa"/>
            <w:tcBorders>
              <w:top w:val="nil"/>
              <w:left w:val="nil"/>
              <w:bottom w:val="single" w:sz="4" w:space="0" w:color="000000"/>
              <w:right w:val="nil"/>
              <w:tl2br w:val="nil"/>
              <w:tr2bl w:val="nil"/>
            </w:tcBorders>
            <w:noWrap/>
            <w:tcMar>
              <w:left w:w="43" w:type="dxa"/>
              <w:right w:w="103" w:type="dxa"/>
            </w:tcMar>
            <w:vAlign w:val="bottom"/>
          </w:tcPr>
          <w:p w14:paraId="71F3F29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9D" w14:textId="77777777" w:rsidR="00510CAA" w:rsidRDefault="00510CAA">
            <w:pPr>
              <w:keepNext/>
              <w:rPr>
                <w:rFonts w:ascii="Arial" w:eastAsia="Arial" w:hAnsi="Arial" w:cs="Arial"/>
                <w:color w:val="000000"/>
                <w:sz w:val="16"/>
              </w:rPr>
            </w:pPr>
          </w:p>
        </w:tc>
        <w:tc>
          <w:tcPr>
            <w:tcW w:w="960" w:type="dxa"/>
            <w:tcBorders>
              <w:top w:val="nil"/>
              <w:left w:val="nil"/>
              <w:bottom w:val="single" w:sz="4" w:space="0" w:color="000000"/>
              <w:right w:val="nil"/>
              <w:tl2br w:val="nil"/>
              <w:tr2bl w:val="nil"/>
            </w:tcBorders>
            <w:noWrap/>
            <w:tcMar>
              <w:left w:w="43" w:type="dxa"/>
              <w:right w:w="103" w:type="dxa"/>
            </w:tcMar>
            <w:vAlign w:val="bottom"/>
          </w:tcPr>
          <w:p w14:paraId="71F3F29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w:t>
            </w:r>
          </w:p>
        </w:tc>
        <w:tc>
          <w:tcPr>
            <w:tcW w:w="180" w:type="dxa"/>
            <w:tcBorders>
              <w:top w:val="nil"/>
              <w:left w:val="nil"/>
              <w:bottom w:val="nil"/>
              <w:right w:val="nil"/>
              <w:tl2br w:val="nil"/>
              <w:tr2bl w:val="nil"/>
            </w:tcBorders>
            <w:noWrap/>
            <w:tcMar>
              <w:left w:w="0" w:type="dxa"/>
              <w:right w:w="0" w:type="dxa"/>
            </w:tcMar>
            <w:vAlign w:val="bottom"/>
          </w:tcPr>
          <w:p w14:paraId="71F3F29F" w14:textId="77777777" w:rsidR="00510CAA" w:rsidRDefault="00510CAA">
            <w:pPr>
              <w:keepNext/>
              <w:rPr>
                <w:rFonts w:ascii="Arial" w:eastAsia="Arial" w:hAnsi="Arial" w:cs="Arial"/>
                <w:color w:val="000000"/>
                <w:sz w:val="16"/>
              </w:rPr>
            </w:pPr>
          </w:p>
        </w:tc>
        <w:tc>
          <w:tcPr>
            <w:tcW w:w="1140" w:type="dxa"/>
            <w:tcBorders>
              <w:top w:val="nil"/>
              <w:left w:val="nil"/>
              <w:bottom w:val="single" w:sz="4" w:space="0" w:color="000000"/>
              <w:right w:val="nil"/>
              <w:tl2br w:val="nil"/>
              <w:tr2bl w:val="nil"/>
            </w:tcBorders>
            <w:noWrap/>
            <w:tcMar>
              <w:left w:w="43" w:type="dxa"/>
              <w:right w:w="103" w:type="dxa"/>
            </w:tcMar>
            <w:vAlign w:val="bottom"/>
          </w:tcPr>
          <w:p w14:paraId="71F3F2A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A1" w14:textId="77777777" w:rsidR="00510CAA" w:rsidRDefault="00510CAA">
            <w:pPr>
              <w:keepNext/>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2A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w:t>
            </w:r>
          </w:p>
        </w:tc>
      </w:tr>
      <w:tr w:rsidR="00510CAA" w14:paraId="71F3F2B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35"/>
        </w:trPr>
        <w:tc>
          <w:tcPr>
            <w:tcW w:w="1875" w:type="dxa"/>
            <w:gridSpan w:val="2"/>
            <w:tcBorders>
              <w:top w:val="nil"/>
              <w:left w:val="nil"/>
              <w:bottom w:val="nil"/>
              <w:right w:val="nil"/>
              <w:tl2br w:val="nil"/>
              <w:tr2bl w:val="nil"/>
            </w:tcBorders>
            <w:noWrap/>
            <w:tcMar>
              <w:left w:w="43" w:type="dxa"/>
              <w:right w:w="43" w:type="dxa"/>
            </w:tcMar>
            <w:vAlign w:val="bottom"/>
          </w:tcPr>
          <w:p w14:paraId="71F3F2A4"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BALANCE, December 31, 2024</w:t>
            </w:r>
          </w:p>
        </w:tc>
        <w:tc>
          <w:tcPr>
            <w:tcW w:w="285" w:type="dxa"/>
            <w:tcBorders>
              <w:top w:val="nil"/>
              <w:left w:val="nil"/>
              <w:bottom w:val="nil"/>
              <w:right w:val="nil"/>
              <w:tl2br w:val="nil"/>
              <w:tr2bl w:val="nil"/>
            </w:tcBorders>
            <w:noWrap/>
            <w:tcMar>
              <w:left w:w="0" w:type="dxa"/>
              <w:right w:w="0" w:type="dxa"/>
            </w:tcMar>
            <w:vAlign w:val="bottom"/>
          </w:tcPr>
          <w:p w14:paraId="71F3F2A5" w14:textId="77777777" w:rsidR="00510CAA" w:rsidRDefault="00510CAA">
            <w:pPr>
              <w:keepNext/>
              <w:jc w:val="center"/>
              <w:rPr>
                <w:rFonts w:ascii="Arial" w:eastAsia="Arial" w:hAnsi="Arial" w:cs="Arial"/>
                <w:color w:val="000000"/>
                <w:sz w:val="16"/>
              </w:rPr>
            </w:pP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A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2,600,000</w:t>
            </w:r>
          </w:p>
        </w:tc>
        <w:tc>
          <w:tcPr>
            <w:tcW w:w="180" w:type="dxa"/>
            <w:tcBorders>
              <w:top w:val="nil"/>
              <w:left w:val="nil"/>
              <w:bottom w:val="nil"/>
              <w:right w:val="nil"/>
              <w:tl2br w:val="nil"/>
              <w:tr2bl w:val="nil"/>
            </w:tcBorders>
            <w:noWrap/>
            <w:tcMar>
              <w:left w:w="43" w:type="dxa"/>
              <w:right w:w="103" w:type="dxa"/>
            </w:tcMar>
            <w:vAlign w:val="bottom"/>
          </w:tcPr>
          <w:p w14:paraId="71F3F2A7"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A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c>
          <w:tcPr>
            <w:tcW w:w="165" w:type="dxa"/>
            <w:tcBorders>
              <w:top w:val="nil"/>
              <w:left w:val="nil"/>
              <w:bottom w:val="nil"/>
              <w:right w:val="nil"/>
              <w:tl2br w:val="nil"/>
              <w:tr2bl w:val="nil"/>
            </w:tcBorders>
            <w:noWrap/>
            <w:tcMar>
              <w:left w:w="0" w:type="dxa"/>
              <w:right w:w="0" w:type="dxa"/>
            </w:tcMar>
            <w:vAlign w:val="bottom"/>
          </w:tcPr>
          <w:p w14:paraId="71F3F2A9"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A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10,675</w:t>
            </w:r>
          </w:p>
        </w:tc>
        <w:tc>
          <w:tcPr>
            <w:tcW w:w="180" w:type="dxa"/>
            <w:tcBorders>
              <w:top w:val="nil"/>
              <w:left w:val="nil"/>
              <w:bottom w:val="nil"/>
              <w:right w:val="nil"/>
              <w:tl2br w:val="nil"/>
              <w:tr2bl w:val="nil"/>
            </w:tcBorders>
            <w:noWrap/>
            <w:tcMar>
              <w:left w:w="43" w:type="dxa"/>
              <w:right w:w="103" w:type="dxa"/>
            </w:tcMar>
            <w:vAlign w:val="bottom"/>
          </w:tcPr>
          <w:p w14:paraId="71F3F2AB"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A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AD"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A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400</w:t>
            </w:r>
          </w:p>
        </w:tc>
        <w:tc>
          <w:tcPr>
            <w:tcW w:w="285" w:type="dxa"/>
            <w:tcBorders>
              <w:top w:val="nil"/>
              <w:left w:val="nil"/>
              <w:bottom w:val="nil"/>
              <w:right w:val="nil"/>
              <w:tl2br w:val="nil"/>
              <w:tr2bl w:val="nil"/>
            </w:tcBorders>
            <w:noWrap/>
            <w:tcMar>
              <w:left w:w="43" w:type="dxa"/>
              <w:right w:w="103" w:type="dxa"/>
            </w:tcMar>
            <w:vAlign w:val="bottom"/>
          </w:tcPr>
          <w:p w14:paraId="71F3F2AF"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B1" w14:textId="77777777" w:rsidR="00510CAA" w:rsidRDefault="00510CAA">
            <w:pPr>
              <w:keepNext/>
              <w:rPr>
                <w:rFonts w:ascii="Arial" w:eastAsia="Arial" w:hAnsi="Arial" w:cs="Arial"/>
                <w:color w:val="000000"/>
                <w:sz w:val="16"/>
              </w:rPr>
            </w:pPr>
          </w:p>
        </w:tc>
        <w:tc>
          <w:tcPr>
            <w:tcW w:w="117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125,203,405</w:t>
            </w:r>
          </w:p>
        </w:tc>
        <w:tc>
          <w:tcPr>
            <w:tcW w:w="285" w:type="dxa"/>
            <w:tcBorders>
              <w:top w:val="nil"/>
              <w:left w:val="nil"/>
              <w:bottom w:val="nil"/>
              <w:right w:val="nil"/>
              <w:tl2br w:val="nil"/>
              <w:tr2bl w:val="nil"/>
            </w:tcBorders>
            <w:noWrap/>
            <w:tcMar>
              <w:left w:w="43" w:type="dxa"/>
              <w:right w:w="103" w:type="dxa"/>
            </w:tcMar>
            <w:vAlign w:val="bottom"/>
          </w:tcPr>
          <w:p w14:paraId="71F3F2B3"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1,252</w:t>
            </w:r>
          </w:p>
        </w:tc>
        <w:tc>
          <w:tcPr>
            <w:tcW w:w="180" w:type="dxa"/>
            <w:tcBorders>
              <w:top w:val="nil"/>
              <w:left w:val="nil"/>
              <w:bottom w:val="nil"/>
              <w:right w:val="nil"/>
              <w:tl2br w:val="nil"/>
              <w:tr2bl w:val="nil"/>
            </w:tcBorders>
            <w:noWrap/>
            <w:tcMar>
              <w:left w:w="43" w:type="dxa"/>
              <w:right w:w="103" w:type="dxa"/>
            </w:tcMar>
            <w:vAlign w:val="bottom"/>
          </w:tcPr>
          <w:p w14:paraId="71F3F2B5"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4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1,139,363</w:t>
            </w:r>
          </w:p>
        </w:tc>
        <w:tc>
          <w:tcPr>
            <w:tcW w:w="180" w:type="dxa"/>
            <w:tcBorders>
              <w:top w:val="nil"/>
              <w:left w:val="nil"/>
              <w:bottom w:val="nil"/>
              <w:right w:val="nil"/>
              <w:tl2br w:val="nil"/>
              <w:tr2bl w:val="nil"/>
            </w:tcBorders>
            <w:noWrap/>
            <w:tcMar>
              <w:left w:w="43" w:type="dxa"/>
              <w:right w:w="103" w:type="dxa"/>
            </w:tcMar>
            <w:vAlign w:val="bottom"/>
          </w:tcPr>
          <w:p w14:paraId="71F3F2B7"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6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312</w:t>
            </w:r>
          </w:p>
        </w:tc>
        <w:tc>
          <w:tcPr>
            <w:tcW w:w="180" w:type="dxa"/>
            <w:tcBorders>
              <w:top w:val="nil"/>
              <w:left w:val="nil"/>
              <w:bottom w:val="nil"/>
              <w:right w:val="nil"/>
              <w:tl2br w:val="nil"/>
              <w:tr2bl w:val="nil"/>
            </w:tcBorders>
            <w:noWrap/>
            <w:tcMar>
              <w:left w:w="43" w:type="dxa"/>
              <w:right w:w="103" w:type="dxa"/>
            </w:tcMar>
            <w:vAlign w:val="bottom"/>
          </w:tcPr>
          <w:p w14:paraId="71F3F2B9"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1140" w:type="dxa"/>
            <w:tcBorders>
              <w:top w:val="single" w:sz="4" w:space="0" w:color="000000"/>
              <w:left w:val="nil"/>
              <w:bottom w:val="double" w:sz="6" w:space="0" w:color="000000"/>
              <w:right w:val="nil"/>
              <w:tl2br w:val="nil"/>
              <w:tr2bl w:val="nil"/>
            </w:tcBorders>
            <w:noWrap/>
            <w:tcMar>
              <w:left w:w="43" w:type="dxa"/>
              <w:right w:w="43" w:type="dxa"/>
            </w:tcMar>
            <w:vAlign w:val="bottom"/>
          </w:tcPr>
          <w:p w14:paraId="71F3F2B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(635,896)</w:t>
            </w:r>
          </w:p>
        </w:tc>
        <w:tc>
          <w:tcPr>
            <w:tcW w:w="285" w:type="dxa"/>
            <w:tcBorders>
              <w:top w:val="nil"/>
              <w:left w:val="nil"/>
              <w:bottom w:val="nil"/>
              <w:right w:val="nil"/>
              <w:tl2br w:val="nil"/>
              <w:tr2bl w:val="nil"/>
            </w:tcBorders>
            <w:noWrap/>
            <w:tcMar>
              <w:left w:w="43" w:type="dxa"/>
              <w:right w:w="103" w:type="dxa"/>
            </w:tcMar>
            <w:vAlign w:val="bottom"/>
          </w:tcPr>
          <w:p w14:paraId="71F3F2BB"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2B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505,057</w:t>
            </w:r>
          </w:p>
        </w:tc>
      </w:tr>
      <w:tr w:rsidR="00510CAA" w14:paraId="71F3F2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120" w:type="dxa"/>
            <w:tcBorders>
              <w:top w:val="nil"/>
              <w:left w:val="nil"/>
              <w:bottom w:val="nil"/>
              <w:right w:val="nil"/>
              <w:tl2br w:val="nil"/>
              <w:tr2bl w:val="nil"/>
            </w:tcBorders>
            <w:tcMar>
              <w:left w:w="0" w:type="dxa"/>
              <w:right w:w="0" w:type="dxa"/>
            </w:tcMar>
            <w:vAlign w:val="bottom"/>
          </w:tcPr>
          <w:p w14:paraId="71F3F2BE"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bottom"/>
          </w:tcPr>
          <w:p w14:paraId="71F3F2BF" w14:textId="77777777" w:rsidR="00510CAA" w:rsidRDefault="003A4815">
            <w:pPr>
              <w:keepNext/>
              <w:rPr>
                <w:rFonts w:ascii="Arial" w:eastAsia="Arial" w:hAnsi="Arial" w:cs="Arial"/>
                <w:color w:val="000000"/>
                <w:sz w:val="16"/>
              </w:rPr>
            </w:pPr>
            <w:r>
              <w:rPr>
                <w:rFonts w:ascii="Arial" w:eastAsia="Arial" w:hAnsi="Arial" w:cs="Arial"/>
                <w:color w:val="000000"/>
                <w:sz w:val="16"/>
              </w:rPr>
              <w:t>Net income</w:t>
            </w:r>
          </w:p>
        </w:tc>
        <w:tc>
          <w:tcPr>
            <w:tcW w:w="285" w:type="dxa"/>
            <w:tcBorders>
              <w:top w:val="nil"/>
              <w:left w:val="nil"/>
              <w:bottom w:val="nil"/>
              <w:right w:val="nil"/>
              <w:tl2br w:val="nil"/>
              <w:tr2bl w:val="nil"/>
            </w:tcBorders>
            <w:noWrap/>
            <w:tcMar>
              <w:left w:w="0" w:type="dxa"/>
              <w:right w:w="0" w:type="dxa"/>
            </w:tcMar>
            <w:vAlign w:val="bottom"/>
          </w:tcPr>
          <w:p w14:paraId="71F3F2C0"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2C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C2"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C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C4"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2C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C6"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C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C8" w14:textId="77777777" w:rsidR="00510CAA" w:rsidRDefault="00510CAA">
            <w:pPr>
              <w:keepNext/>
              <w:rPr>
                <w:rFonts w:ascii="Arial" w:eastAsia="Arial" w:hAnsi="Arial" w:cs="Arial"/>
                <w:color w:val="000000"/>
                <w:sz w:val="16"/>
              </w:rPr>
            </w:pPr>
          </w:p>
        </w:tc>
        <w:tc>
          <w:tcPr>
            <w:tcW w:w="810" w:type="dxa"/>
            <w:tcBorders>
              <w:top w:val="double" w:sz="6" w:space="0" w:color="000000"/>
              <w:left w:val="nil"/>
              <w:bottom w:val="nil"/>
              <w:right w:val="nil"/>
              <w:tl2br w:val="nil"/>
              <w:tr2bl w:val="nil"/>
            </w:tcBorders>
            <w:noWrap/>
            <w:tcMar>
              <w:left w:w="43" w:type="dxa"/>
              <w:right w:w="103" w:type="dxa"/>
            </w:tcMar>
            <w:vAlign w:val="bottom"/>
          </w:tcPr>
          <w:p w14:paraId="71F3F2C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CA"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C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CC" w14:textId="77777777" w:rsidR="00510CAA" w:rsidRDefault="00510CAA">
            <w:pPr>
              <w:keepNext/>
              <w:rPr>
                <w:rFonts w:ascii="Arial" w:eastAsia="Arial" w:hAnsi="Arial" w:cs="Arial"/>
                <w:color w:val="000000"/>
                <w:sz w:val="16"/>
              </w:rPr>
            </w:pPr>
          </w:p>
        </w:tc>
        <w:tc>
          <w:tcPr>
            <w:tcW w:w="1170" w:type="dxa"/>
            <w:tcBorders>
              <w:top w:val="double" w:sz="6" w:space="0" w:color="000000"/>
              <w:left w:val="nil"/>
              <w:bottom w:val="nil"/>
              <w:right w:val="nil"/>
              <w:tl2br w:val="nil"/>
              <w:tr2bl w:val="nil"/>
            </w:tcBorders>
            <w:noWrap/>
            <w:tcMar>
              <w:left w:w="43" w:type="dxa"/>
              <w:right w:w="103" w:type="dxa"/>
            </w:tcMar>
            <w:vAlign w:val="bottom"/>
          </w:tcPr>
          <w:p w14:paraId="71F3F2C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CE" w14:textId="77777777" w:rsidR="00510CAA" w:rsidRDefault="00510CAA">
            <w:pPr>
              <w:keepNext/>
              <w:rPr>
                <w:rFonts w:ascii="Arial" w:eastAsia="Arial" w:hAnsi="Arial" w:cs="Arial"/>
                <w:color w:val="000000"/>
                <w:sz w:val="16"/>
              </w:rPr>
            </w:pPr>
          </w:p>
        </w:tc>
        <w:tc>
          <w:tcPr>
            <w:tcW w:w="600" w:type="dxa"/>
            <w:tcBorders>
              <w:top w:val="double" w:sz="6" w:space="0" w:color="000000"/>
              <w:left w:val="nil"/>
              <w:bottom w:val="nil"/>
              <w:right w:val="nil"/>
              <w:tl2br w:val="nil"/>
              <w:tr2bl w:val="nil"/>
            </w:tcBorders>
            <w:noWrap/>
            <w:tcMar>
              <w:left w:w="43" w:type="dxa"/>
              <w:right w:w="103" w:type="dxa"/>
            </w:tcMar>
            <w:vAlign w:val="bottom"/>
          </w:tcPr>
          <w:p w14:paraId="71F3F2C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D0" w14:textId="77777777" w:rsidR="00510CAA" w:rsidRDefault="00510CAA">
            <w:pPr>
              <w:keepNext/>
              <w:rPr>
                <w:rFonts w:ascii="Arial" w:eastAsia="Arial" w:hAnsi="Arial" w:cs="Arial"/>
                <w:color w:val="000000"/>
                <w:sz w:val="16"/>
              </w:rPr>
            </w:pPr>
          </w:p>
        </w:tc>
        <w:tc>
          <w:tcPr>
            <w:tcW w:w="945" w:type="dxa"/>
            <w:tcBorders>
              <w:top w:val="double" w:sz="6" w:space="0" w:color="000000"/>
              <w:left w:val="nil"/>
              <w:bottom w:val="nil"/>
              <w:right w:val="nil"/>
              <w:tl2br w:val="nil"/>
              <w:tr2bl w:val="nil"/>
            </w:tcBorders>
            <w:noWrap/>
            <w:tcMar>
              <w:left w:w="43" w:type="dxa"/>
              <w:right w:w="103" w:type="dxa"/>
            </w:tcMar>
            <w:vAlign w:val="bottom"/>
          </w:tcPr>
          <w:p w14:paraId="71F3F2D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D2" w14:textId="77777777" w:rsidR="00510CAA" w:rsidRDefault="00510CAA">
            <w:pPr>
              <w:keepNext/>
              <w:rPr>
                <w:rFonts w:ascii="Arial" w:eastAsia="Arial" w:hAnsi="Arial" w:cs="Arial"/>
                <w:color w:val="000000"/>
                <w:sz w:val="16"/>
              </w:rPr>
            </w:pPr>
          </w:p>
        </w:tc>
        <w:tc>
          <w:tcPr>
            <w:tcW w:w="960" w:type="dxa"/>
            <w:tcBorders>
              <w:top w:val="double" w:sz="6" w:space="0" w:color="000000"/>
              <w:left w:val="nil"/>
              <w:bottom w:val="nil"/>
              <w:right w:val="nil"/>
              <w:tl2br w:val="nil"/>
              <w:tr2bl w:val="nil"/>
            </w:tcBorders>
            <w:noWrap/>
            <w:tcMar>
              <w:left w:w="43" w:type="dxa"/>
              <w:right w:w="103" w:type="dxa"/>
            </w:tcMar>
            <w:vAlign w:val="bottom"/>
          </w:tcPr>
          <w:p w14:paraId="71F3F2D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D4" w14:textId="77777777" w:rsidR="00510CAA" w:rsidRDefault="00510CAA">
            <w:pPr>
              <w:keepNext/>
              <w:rPr>
                <w:rFonts w:ascii="Arial" w:eastAsia="Arial" w:hAnsi="Arial" w:cs="Arial"/>
                <w:color w:val="000000"/>
                <w:sz w:val="16"/>
              </w:rPr>
            </w:pPr>
          </w:p>
        </w:tc>
        <w:tc>
          <w:tcPr>
            <w:tcW w:w="1140" w:type="dxa"/>
            <w:tcBorders>
              <w:top w:val="double" w:sz="6" w:space="0" w:color="000000"/>
              <w:left w:val="nil"/>
              <w:bottom w:val="nil"/>
              <w:right w:val="nil"/>
              <w:tl2br w:val="nil"/>
              <w:tr2bl w:val="nil"/>
            </w:tcBorders>
            <w:noWrap/>
            <w:tcMar>
              <w:left w:w="43" w:type="dxa"/>
              <w:right w:w="103" w:type="dxa"/>
            </w:tcMar>
            <w:vAlign w:val="bottom"/>
          </w:tcPr>
          <w:p w14:paraId="71F3F2D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17,827</w:t>
            </w:r>
          </w:p>
        </w:tc>
        <w:tc>
          <w:tcPr>
            <w:tcW w:w="285" w:type="dxa"/>
            <w:tcBorders>
              <w:top w:val="nil"/>
              <w:left w:val="nil"/>
              <w:bottom w:val="nil"/>
              <w:right w:val="nil"/>
              <w:tl2br w:val="nil"/>
              <w:tr2bl w:val="nil"/>
            </w:tcBorders>
            <w:noWrap/>
            <w:tcMar>
              <w:left w:w="0" w:type="dxa"/>
              <w:right w:w="0" w:type="dxa"/>
            </w:tcMar>
            <w:vAlign w:val="bottom"/>
          </w:tcPr>
          <w:p w14:paraId="71F3F2D6" w14:textId="77777777" w:rsidR="00510CAA" w:rsidRDefault="00510CAA">
            <w:pPr>
              <w:keepNext/>
              <w:rPr>
                <w:rFonts w:ascii="Arial" w:eastAsia="Arial" w:hAnsi="Arial" w:cs="Arial"/>
                <w:color w:val="000000"/>
                <w:sz w:val="16"/>
              </w:rPr>
            </w:pPr>
          </w:p>
        </w:tc>
        <w:tc>
          <w:tcPr>
            <w:tcW w:w="975" w:type="dxa"/>
            <w:tcBorders>
              <w:top w:val="double" w:sz="6" w:space="0" w:color="000000"/>
              <w:left w:val="nil"/>
              <w:bottom w:val="nil"/>
              <w:right w:val="nil"/>
              <w:tl2br w:val="nil"/>
              <w:tr2bl w:val="nil"/>
            </w:tcBorders>
            <w:noWrap/>
            <w:tcMar>
              <w:left w:w="43" w:type="dxa"/>
              <w:right w:w="103" w:type="dxa"/>
            </w:tcMar>
            <w:vAlign w:val="bottom"/>
          </w:tcPr>
          <w:p w14:paraId="71F3F2D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17,827</w:t>
            </w:r>
          </w:p>
        </w:tc>
      </w:tr>
      <w:tr w:rsidR="00510CAA" w14:paraId="71F3F2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35"/>
        </w:trPr>
        <w:tc>
          <w:tcPr>
            <w:tcW w:w="120" w:type="dxa"/>
            <w:tcBorders>
              <w:top w:val="nil"/>
              <w:left w:val="nil"/>
              <w:bottom w:val="nil"/>
              <w:right w:val="nil"/>
              <w:tl2br w:val="nil"/>
              <w:tr2bl w:val="nil"/>
            </w:tcBorders>
            <w:tcMar>
              <w:left w:w="0" w:type="dxa"/>
              <w:right w:w="0" w:type="dxa"/>
            </w:tcMar>
            <w:vAlign w:val="bottom"/>
          </w:tcPr>
          <w:p w14:paraId="71F3F2D9"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2DA"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Restricted Stock and Compensation Cost (Note 11(i))</w:t>
            </w:r>
          </w:p>
        </w:tc>
        <w:tc>
          <w:tcPr>
            <w:tcW w:w="285" w:type="dxa"/>
            <w:tcBorders>
              <w:top w:val="nil"/>
              <w:left w:val="nil"/>
              <w:bottom w:val="nil"/>
              <w:right w:val="nil"/>
              <w:tl2br w:val="nil"/>
              <w:tr2bl w:val="nil"/>
            </w:tcBorders>
            <w:noWrap/>
            <w:tcMar>
              <w:left w:w="0" w:type="dxa"/>
              <w:right w:w="0" w:type="dxa"/>
            </w:tcMar>
            <w:vAlign w:val="bottom"/>
          </w:tcPr>
          <w:p w14:paraId="71F3F2DB"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D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DD"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D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DF"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E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E1"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E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E3"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E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E5"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E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E7"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2E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2,000,000</w:t>
            </w:r>
          </w:p>
        </w:tc>
        <w:tc>
          <w:tcPr>
            <w:tcW w:w="285" w:type="dxa"/>
            <w:tcBorders>
              <w:top w:val="nil"/>
              <w:left w:val="nil"/>
              <w:bottom w:val="nil"/>
              <w:right w:val="nil"/>
              <w:tl2br w:val="nil"/>
              <w:tr2bl w:val="nil"/>
            </w:tcBorders>
            <w:noWrap/>
            <w:tcMar>
              <w:left w:w="0" w:type="dxa"/>
              <w:right w:w="0" w:type="dxa"/>
            </w:tcMar>
            <w:vAlign w:val="bottom"/>
          </w:tcPr>
          <w:p w14:paraId="71F3F2E9"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E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20</w:t>
            </w:r>
          </w:p>
        </w:tc>
        <w:tc>
          <w:tcPr>
            <w:tcW w:w="180" w:type="dxa"/>
            <w:tcBorders>
              <w:top w:val="nil"/>
              <w:left w:val="nil"/>
              <w:bottom w:val="nil"/>
              <w:right w:val="nil"/>
              <w:tl2br w:val="nil"/>
              <w:tr2bl w:val="nil"/>
            </w:tcBorders>
            <w:noWrap/>
            <w:tcMar>
              <w:left w:w="0" w:type="dxa"/>
              <w:right w:w="0" w:type="dxa"/>
            </w:tcMar>
            <w:vAlign w:val="bottom"/>
          </w:tcPr>
          <w:p w14:paraId="71F3F2EB"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2E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9,585</w:t>
            </w:r>
          </w:p>
        </w:tc>
        <w:tc>
          <w:tcPr>
            <w:tcW w:w="180" w:type="dxa"/>
            <w:tcBorders>
              <w:top w:val="nil"/>
              <w:left w:val="nil"/>
              <w:bottom w:val="nil"/>
              <w:right w:val="nil"/>
              <w:tl2br w:val="nil"/>
              <w:tr2bl w:val="nil"/>
            </w:tcBorders>
            <w:noWrap/>
            <w:tcMar>
              <w:left w:w="0" w:type="dxa"/>
              <w:right w:w="0" w:type="dxa"/>
            </w:tcMar>
            <w:vAlign w:val="bottom"/>
          </w:tcPr>
          <w:p w14:paraId="71F3F2ED"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2E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EF"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2F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2F1"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F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9,605</w:t>
            </w:r>
          </w:p>
        </w:tc>
      </w:tr>
      <w:tr w:rsidR="00510CAA" w14:paraId="71F3F30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90"/>
        </w:trPr>
        <w:tc>
          <w:tcPr>
            <w:tcW w:w="120" w:type="dxa"/>
            <w:tcBorders>
              <w:top w:val="nil"/>
              <w:left w:val="nil"/>
              <w:bottom w:val="nil"/>
              <w:right w:val="nil"/>
              <w:tl2br w:val="nil"/>
              <w:tr2bl w:val="nil"/>
            </w:tcBorders>
            <w:tcMar>
              <w:left w:w="0" w:type="dxa"/>
              <w:right w:w="0" w:type="dxa"/>
            </w:tcMar>
            <w:vAlign w:val="bottom"/>
          </w:tcPr>
          <w:p w14:paraId="71F3F2F4"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bottom"/>
          </w:tcPr>
          <w:p w14:paraId="71F3F2F5" w14:textId="77777777" w:rsidR="00510CAA" w:rsidRDefault="003A4815">
            <w:pPr>
              <w:keepNext/>
              <w:rPr>
                <w:rFonts w:ascii="Arial" w:eastAsia="Arial" w:hAnsi="Arial" w:cs="Arial"/>
                <w:color w:val="000000"/>
                <w:sz w:val="16"/>
              </w:rPr>
            </w:pPr>
            <w:r>
              <w:rPr>
                <w:rFonts w:ascii="Arial" w:eastAsia="Arial" w:hAnsi="Arial" w:cs="Arial"/>
                <w:color w:val="000000"/>
                <w:sz w:val="16"/>
              </w:rPr>
              <w:t>Issuance of Common Stock (Note 11(h))</w:t>
            </w:r>
          </w:p>
        </w:tc>
        <w:tc>
          <w:tcPr>
            <w:tcW w:w="285" w:type="dxa"/>
            <w:tcBorders>
              <w:top w:val="nil"/>
              <w:left w:val="nil"/>
              <w:bottom w:val="nil"/>
              <w:right w:val="nil"/>
              <w:tl2br w:val="nil"/>
              <w:tr2bl w:val="nil"/>
            </w:tcBorders>
            <w:noWrap/>
            <w:tcMar>
              <w:left w:w="0" w:type="dxa"/>
              <w:right w:w="0" w:type="dxa"/>
            </w:tcMar>
            <w:vAlign w:val="bottom"/>
          </w:tcPr>
          <w:p w14:paraId="71F3F2F6"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2F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F8"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F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FA"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F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2FC"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2F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2FE"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2F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00"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0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02"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30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26,674</w:t>
            </w:r>
          </w:p>
        </w:tc>
        <w:tc>
          <w:tcPr>
            <w:tcW w:w="285" w:type="dxa"/>
            <w:tcBorders>
              <w:top w:val="nil"/>
              <w:left w:val="nil"/>
              <w:bottom w:val="nil"/>
              <w:right w:val="nil"/>
              <w:tl2br w:val="nil"/>
              <w:tr2bl w:val="nil"/>
            </w:tcBorders>
            <w:noWrap/>
            <w:tcMar>
              <w:left w:w="0" w:type="dxa"/>
              <w:right w:w="0" w:type="dxa"/>
            </w:tcMar>
            <w:vAlign w:val="bottom"/>
          </w:tcPr>
          <w:p w14:paraId="71F3F304"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0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06"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30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35</w:t>
            </w:r>
          </w:p>
        </w:tc>
        <w:tc>
          <w:tcPr>
            <w:tcW w:w="180" w:type="dxa"/>
            <w:tcBorders>
              <w:top w:val="nil"/>
              <w:left w:val="nil"/>
              <w:bottom w:val="nil"/>
              <w:right w:val="nil"/>
              <w:tl2br w:val="nil"/>
              <w:tr2bl w:val="nil"/>
            </w:tcBorders>
            <w:noWrap/>
            <w:tcMar>
              <w:left w:w="0" w:type="dxa"/>
              <w:right w:w="0" w:type="dxa"/>
            </w:tcMar>
            <w:vAlign w:val="bottom"/>
          </w:tcPr>
          <w:p w14:paraId="71F3F308"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30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0A"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30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0C"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30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35</w:t>
            </w:r>
          </w:p>
        </w:tc>
      </w:tr>
      <w:tr w:rsidR="00510CAA" w14:paraId="71F3F32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120" w:type="dxa"/>
            <w:tcBorders>
              <w:top w:val="nil"/>
              <w:left w:val="nil"/>
              <w:bottom w:val="nil"/>
              <w:right w:val="nil"/>
              <w:tl2br w:val="nil"/>
              <w:tr2bl w:val="nil"/>
            </w:tcBorders>
            <w:tcMar>
              <w:left w:w="0" w:type="dxa"/>
              <w:right w:w="0" w:type="dxa"/>
            </w:tcMar>
            <w:vAlign w:val="bottom"/>
          </w:tcPr>
          <w:p w14:paraId="71F3F30F"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bottom"/>
          </w:tcPr>
          <w:p w14:paraId="71F3F310" w14:textId="77777777" w:rsidR="00510CAA" w:rsidRDefault="003A4815">
            <w:pPr>
              <w:keepNext/>
              <w:rPr>
                <w:rFonts w:ascii="Arial" w:eastAsia="Arial" w:hAnsi="Arial" w:cs="Arial"/>
                <w:color w:val="000000"/>
                <w:sz w:val="16"/>
              </w:rPr>
            </w:pPr>
            <w:r>
              <w:rPr>
                <w:rFonts w:ascii="Arial" w:eastAsia="Arial" w:hAnsi="Arial" w:cs="Arial"/>
                <w:color w:val="000000"/>
                <w:sz w:val="16"/>
              </w:rPr>
              <w:t>Stock repurchased and retired (Note 11(e))</w:t>
            </w:r>
          </w:p>
        </w:tc>
        <w:tc>
          <w:tcPr>
            <w:tcW w:w="285" w:type="dxa"/>
            <w:tcBorders>
              <w:top w:val="nil"/>
              <w:left w:val="nil"/>
              <w:bottom w:val="nil"/>
              <w:right w:val="nil"/>
              <w:tl2br w:val="nil"/>
              <w:tr2bl w:val="nil"/>
            </w:tcBorders>
            <w:noWrap/>
            <w:tcMar>
              <w:left w:w="0" w:type="dxa"/>
              <w:right w:w="0" w:type="dxa"/>
            </w:tcMar>
            <w:vAlign w:val="bottom"/>
          </w:tcPr>
          <w:p w14:paraId="71F3F311"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31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13"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1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15"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1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17"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1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19"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1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1B"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1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1D"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43" w:type="dxa"/>
            </w:tcMar>
            <w:vAlign w:val="bottom"/>
          </w:tcPr>
          <w:p w14:paraId="71F3F31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(11,442,645)</w:t>
            </w:r>
          </w:p>
        </w:tc>
        <w:tc>
          <w:tcPr>
            <w:tcW w:w="285" w:type="dxa"/>
            <w:tcBorders>
              <w:top w:val="nil"/>
              <w:left w:val="nil"/>
              <w:bottom w:val="nil"/>
              <w:right w:val="nil"/>
              <w:tl2br w:val="nil"/>
              <w:tr2bl w:val="nil"/>
            </w:tcBorders>
            <w:noWrap/>
            <w:tcMar>
              <w:left w:w="0" w:type="dxa"/>
              <w:right w:w="0" w:type="dxa"/>
            </w:tcMar>
            <w:vAlign w:val="bottom"/>
          </w:tcPr>
          <w:p w14:paraId="71F3F31F"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43" w:type="dxa"/>
            </w:tcMar>
            <w:vAlign w:val="bottom"/>
          </w:tcPr>
          <w:p w14:paraId="71F3F32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(114)</w:t>
            </w:r>
          </w:p>
        </w:tc>
        <w:tc>
          <w:tcPr>
            <w:tcW w:w="180" w:type="dxa"/>
            <w:tcBorders>
              <w:top w:val="nil"/>
              <w:left w:val="nil"/>
              <w:bottom w:val="nil"/>
              <w:right w:val="nil"/>
              <w:tl2br w:val="nil"/>
              <w:tr2bl w:val="nil"/>
            </w:tcBorders>
            <w:noWrap/>
            <w:tcMar>
              <w:left w:w="0" w:type="dxa"/>
              <w:right w:w="0" w:type="dxa"/>
            </w:tcMar>
            <w:vAlign w:val="bottom"/>
          </w:tcPr>
          <w:p w14:paraId="71F3F321"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43" w:type="dxa"/>
            </w:tcMar>
            <w:vAlign w:val="bottom"/>
          </w:tcPr>
          <w:p w14:paraId="71F3F32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(22,934)</w:t>
            </w:r>
          </w:p>
        </w:tc>
        <w:tc>
          <w:tcPr>
            <w:tcW w:w="180" w:type="dxa"/>
            <w:tcBorders>
              <w:top w:val="nil"/>
              <w:left w:val="nil"/>
              <w:bottom w:val="nil"/>
              <w:right w:val="nil"/>
              <w:tl2br w:val="nil"/>
              <w:tr2bl w:val="nil"/>
            </w:tcBorders>
            <w:noWrap/>
            <w:tcMar>
              <w:left w:w="0" w:type="dxa"/>
              <w:right w:w="0" w:type="dxa"/>
            </w:tcMar>
            <w:vAlign w:val="bottom"/>
          </w:tcPr>
          <w:p w14:paraId="71F3F323"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32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25"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103" w:type="dxa"/>
            </w:tcMar>
            <w:vAlign w:val="bottom"/>
          </w:tcPr>
          <w:p w14:paraId="71F3F32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27"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32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(23,048)</w:t>
            </w:r>
          </w:p>
        </w:tc>
      </w:tr>
      <w:tr w:rsidR="00510CAA" w14:paraId="71F3F34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35"/>
        </w:trPr>
        <w:tc>
          <w:tcPr>
            <w:tcW w:w="120" w:type="dxa"/>
            <w:tcBorders>
              <w:top w:val="nil"/>
              <w:left w:val="nil"/>
              <w:bottom w:val="nil"/>
              <w:right w:val="nil"/>
              <w:tl2br w:val="nil"/>
              <w:tr2bl w:val="nil"/>
            </w:tcBorders>
            <w:tcMar>
              <w:left w:w="0" w:type="dxa"/>
              <w:right w:w="0" w:type="dxa"/>
            </w:tcMar>
            <w:vAlign w:val="bottom"/>
          </w:tcPr>
          <w:p w14:paraId="71F3F32A"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32B"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series B preferred stock ($2.21875 per share) (Note 11(b))</w:t>
            </w:r>
          </w:p>
        </w:tc>
        <w:tc>
          <w:tcPr>
            <w:tcW w:w="285" w:type="dxa"/>
            <w:tcBorders>
              <w:top w:val="nil"/>
              <w:left w:val="nil"/>
              <w:bottom w:val="nil"/>
              <w:right w:val="nil"/>
              <w:tl2br w:val="nil"/>
              <w:tr2bl w:val="nil"/>
            </w:tcBorders>
            <w:noWrap/>
            <w:tcMar>
              <w:left w:w="0" w:type="dxa"/>
              <w:right w:w="0" w:type="dxa"/>
            </w:tcMar>
            <w:vAlign w:val="bottom"/>
          </w:tcPr>
          <w:p w14:paraId="71F3F32C"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32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2E"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2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30"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3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32"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3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34"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3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36"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3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38"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33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3A"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3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3C"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33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3E"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33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40"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34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c>
          <w:tcPr>
            <w:tcW w:w="285" w:type="dxa"/>
            <w:tcBorders>
              <w:top w:val="nil"/>
              <w:left w:val="nil"/>
              <w:bottom w:val="nil"/>
              <w:right w:val="nil"/>
              <w:tl2br w:val="nil"/>
              <w:tr2bl w:val="nil"/>
            </w:tcBorders>
            <w:noWrap/>
            <w:tcMar>
              <w:left w:w="0" w:type="dxa"/>
              <w:right w:w="0" w:type="dxa"/>
            </w:tcMar>
            <w:vAlign w:val="bottom"/>
          </w:tcPr>
          <w:p w14:paraId="71F3F342"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34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(5,769)</w:t>
            </w:r>
          </w:p>
        </w:tc>
      </w:tr>
      <w:tr w:rsidR="00510CAA" w14:paraId="71F3F35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10"/>
        </w:trPr>
        <w:tc>
          <w:tcPr>
            <w:tcW w:w="120" w:type="dxa"/>
            <w:tcBorders>
              <w:top w:val="nil"/>
              <w:left w:val="nil"/>
              <w:bottom w:val="nil"/>
              <w:right w:val="nil"/>
              <w:tl2br w:val="nil"/>
              <w:tr2bl w:val="nil"/>
            </w:tcBorders>
            <w:tcMar>
              <w:left w:w="0" w:type="dxa"/>
              <w:right w:w="0" w:type="dxa"/>
            </w:tcMar>
            <w:vAlign w:val="bottom"/>
          </w:tcPr>
          <w:p w14:paraId="71F3F345"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center"/>
          </w:tcPr>
          <w:p w14:paraId="71F3F346" w14:textId="77777777" w:rsidR="00510CAA" w:rsidRDefault="003A4815">
            <w:pPr>
              <w:keepNext/>
              <w:rPr>
                <w:rFonts w:ascii="Arial" w:eastAsia="Arial" w:hAnsi="Arial" w:cs="Arial"/>
                <w:color w:val="000000"/>
                <w:sz w:val="16"/>
              </w:rPr>
            </w:pPr>
            <w:r>
              <w:rPr>
                <w:rFonts w:ascii="Arial" w:eastAsia="Arial" w:hAnsi="Arial" w:cs="Arial"/>
                <w:color w:val="000000"/>
                <w:sz w:val="16"/>
              </w:rPr>
              <w:t>Dividends on common stock ($0.04 per share) (Notes 11(f))</w:t>
            </w:r>
          </w:p>
        </w:tc>
        <w:tc>
          <w:tcPr>
            <w:tcW w:w="285" w:type="dxa"/>
            <w:tcBorders>
              <w:top w:val="nil"/>
              <w:left w:val="nil"/>
              <w:bottom w:val="nil"/>
              <w:right w:val="nil"/>
              <w:tl2br w:val="nil"/>
              <w:tr2bl w:val="nil"/>
            </w:tcBorders>
            <w:tcMar>
              <w:left w:w="0" w:type="dxa"/>
              <w:right w:w="0" w:type="dxa"/>
            </w:tcMar>
            <w:vAlign w:val="bottom"/>
          </w:tcPr>
          <w:p w14:paraId="71F3F347" w14:textId="77777777" w:rsidR="00510CAA" w:rsidRDefault="00510CAA">
            <w:pPr>
              <w:keepNext/>
              <w:jc w:val="center"/>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103" w:type="dxa"/>
            </w:tcMar>
            <w:vAlign w:val="bottom"/>
          </w:tcPr>
          <w:p w14:paraId="71F3F34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49"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4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4B"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4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4D"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4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4F" w14:textId="77777777" w:rsidR="00510CAA" w:rsidRDefault="00510CAA">
            <w:pPr>
              <w:keepNext/>
              <w:rPr>
                <w:rFonts w:ascii="Arial" w:eastAsia="Arial" w:hAnsi="Arial" w:cs="Arial"/>
                <w:color w:val="000000"/>
                <w:sz w:val="16"/>
              </w:rPr>
            </w:pPr>
          </w:p>
        </w:tc>
        <w:tc>
          <w:tcPr>
            <w:tcW w:w="810" w:type="dxa"/>
            <w:tcBorders>
              <w:top w:val="nil"/>
              <w:left w:val="nil"/>
              <w:bottom w:val="nil"/>
              <w:right w:val="nil"/>
              <w:tl2br w:val="nil"/>
              <w:tr2bl w:val="nil"/>
            </w:tcBorders>
            <w:noWrap/>
            <w:tcMar>
              <w:left w:w="43" w:type="dxa"/>
              <w:right w:w="103" w:type="dxa"/>
            </w:tcMar>
            <w:vAlign w:val="bottom"/>
          </w:tcPr>
          <w:p w14:paraId="71F3F350"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51"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52"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53" w14:textId="77777777" w:rsidR="00510CAA" w:rsidRDefault="00510CAA">
            <w:pPr>
              <w:keepNext/>
              <w:rPr>
                <w:rFonts w:ascii="Arial" w:eastAsia="Arial" w:hAnsi="Arial" w:cs="Arial"/>
                <w:color w:val="000000"/>
                <w:sz w:val="16"/>
              </w:rPr>
            </w:pPr>
          </w:p>
        </w:tc>
        <w:tc>
          <w:tcPr>
            <w:tcW w:w="1170" w:type="dxa"/>
            <w:tcBorders>
              <w:top w:val="nil"/>
              <w:left w:val="nil"/>
              <w:bottom w:val="nil"/>
              <w:right w:val="nil"/>
              <w:tl2br w:val="nil"/>
              <w:tr2bl w:val="nil"/>
            </w:tcBorders>
            <w:noWrap/>
            <w:tcMar>
              <w:left w:w="43" w:type="dxa"/>
              <w:right w:w="103" w:type="dxa"/>
            </w:tcMar>
            <w:vAlign w:val="bottom"/>
          </w:tcPr>
          <w:p w14:paraId="71F3F354"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55" w14:textId="77777777" w:rsidR="00510CAA" w:rsidRDefault="00510CAA">
            <w:pPr>
              <w:keepNext/>
              <w:rPr>
                <w:rFonts w:ascii="Arial" w:eastAsia="Arial" w:hAnsi="Arial" w:cs="Arial"/>
                <w:color w:val="000000"/>
                <w:sz w:val="16"/>
              </w:rPr>
            </w:pPr>
          </w:p>
        </w:tc>
        <w:tc>
          <w:tcPr>
            <w:tcW w:w="600" w:type="dxa"/>
            <w:tcBorders>
              <w:top w:val="nil"/>
              <w:left w:val="nil"/>
              <w:bottom w:val="nil"/>
              <w:right w:val="nil"/>
              <w:tl2br w:val="nil"/>
              <w:tr2bl w:val="nil"/>
            </w:tcBorders>
            <w:noWrap/>
            <w:tcMar>
              <w:left w:w="43" w:type="dxa"/>
              <w:right w:w="103" w:type="dxa"/>
            </w:tcMar>
            <w:vAlign w:val="bottom"/>
          </w:tcPr>
          <w:p w14:paraId="71F3F356"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57" w14:textId="77777777" w:rsidR="00510CAA" w:rsidRDefault="00510CAA">
            <w:pPr>
              <w:keepNext/>
              <w:rPr>
                <w:rFonts w:ascii="Arial" w:eastAsia="Arial" w:hAnsi="Arial" w:cs="Arial"/>
                <w:color w:val="000000"/>
                <w:sz w:val="16"/>
              </w:rPr>
            </w:pPr>
          </w:p>
        </w:tc>
        <w:tc>
          <w:tcPr>
            <w:tcW w:w="945" w:type="dxa"/>
            <w:tcBorders>
              <w:top w:val="nil"/>
              <w:left w:val="nil"/>
              <w:bottom w:val="nil"/>
              <w:right w:val="nil"/>
              <w:tl2br w:val="nil"/>
              <w:tr2bl w:val="nil"/>
            </w:tcBorders>
            <w:noWrap/>
            <w:tcMar>
              <w:left w:w="43" w:type="dxa"/>
              <w:right w:w="103" w:type="dxa"/>
            </w:tcMar>
            <w:vAlign w:val="bottom"/>
          </w:tcPr>
          <w:p w14:paraId="71F3F358"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59" w14:textId="77777777" w:rsidR="00510CAA" w:rsidRDefault="00510CAA">
            <w:pPr>
              <w:keepNext/>
              <w:rPr>
                <w:rFonts w:ascii="Arial" w:eastAsia="Arial" w:hAnsi="Arial" w:cs="Arial"/>
                <w:color w:val="000000"/>
                <w:sz w:val="16"/>
              </w:rPr>
            </w:pPr>
          </w:p>
        </w:tc>
        <w:tc>
          <w:tcPr>
            <w:tcW w:w="960" w:type="dxa"/>
            <w:tcBorders>
              <w:top w:val="nil"/>
              <w:left w:val="nil"/>
              <w:bottom w:val="nil"/>
              <w:right w:val="nil"/>
              <w:tl2br w:val="nil"/>
              <w:tr2bl w:val="nil"/>
            </w:tcBorders>
            <w:noWrap/>
            <w:tcMar>
              <w:left w:w="43" w:type="dxa"/>
              <w:right w:w="103" w:type="dxa"/>
            </w:tcMar>
            <w:vAlign w:val="bottom"/>
          </w:tcPr>
          <w:p w14:paraId="71F3F35A"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5B" w14:textId="77777777" w:rsidR="00510CAA" w:rsidRDefault="00510CAA">
            <w:pPr>
              <w:keepNext/>
              <w:rPr>
                <w:rFonts w:ascii="Arial" w:eastAsia="Arial" w:hAnsi="Arial" w:cs="Arial"/>
                <w:color w:val="000000"/>
                <w:sz w:val="16"/>
              </w:rPr>
            </w:pPr>
          </w:p>
        </w:tc>
        <w:tc>
          <w:tcPr>
            <w:tcW w:w="1140" w:type="dxa"/>
            <w:tcBorders>
              <w:top w:val="nil"/>
              <w:left w:val="nil"/>
              <w:bottom w:val="nil"/>
              <w:right w:val="nil"/>
              <w:tl2br w:val="nil"/>
              <w:tr2bl w:val="nil"/>
            </w:tcBorders>
            <w:noWrap/>
            <w:tcMar>
              <w:left w:w="43" w:type="dxa"/>
              <w:right w:w="43" w:type="dxa"/>
            </w:tcMar>
            <w:vAlign w:val="bottom"/>
          </w:tcPr>
          <w:p w14:paraId="71F3F35C"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(4,630)</w:t>
            </w:r>
          </w:p>
        </w:tc>
        <w:tc>
          <w:tcPr>
            <w:tcW w:w="285" w:type="dxa"/>
            <w:tcBorders>
              <w:top w:val="nil"/>
              <w:left w:val="nil"/>
              <w:bottom w:val="nil"/>
              <w:right w:val="nil"/>
              <w:tl2br w:val="nil"/>
              <w:tr2bl w:val="nil"/>
            </w:tcBorders>
            <w:noWrap/>
            <w:tcMar>
              <w:left w:w="0" w:type="dxa"/>
              <w:right w:w="0" w:type="dxa"/>
            </w:tcMar>
            <w:vAlign w:val="bottom"/>
          </w:tcPr>
          <w:p w14:paraId="71F3F35D" w14:textId="77777777" w:rsidR="00510CAA" w:rsidRDefault="00510CAA">
            <w:pPr>
              <w:keepNext/>
              <w:rPr>
                <w:rFonts w:ascii="Arial" w:eastAsia="Arial" w:hAnsi="Arial" w:cs="Arial"/>
                <w:color w:val="000000"/>
                <w:sz w:val="16"/>
              </w:rPr>
            </w:pPr>
          </w:p>
        </w:tc>
        <w:tc>
          <w:tcPr>
            <w:tcW w:w="975" w:type="dxa"/>
            <w:tcBorders>
              <w:top w:val="nil"/>
              <w:left w:val="nil"/>
              <w:bottom w:val="nil"/>
              <w:right w:val="nil"/>
              <w:tl2br w:val="nil"/>
              <w:tr2bl w:val="nil"/>
            </w:tcBorders>
            <w:noWrap/>
            <w:tcMar>
              <w:left w:w="43" w:type="dxa"/>
              <w:right w:w="43" w:type="dxa"/>
            </w:tcMar>
            <w:vAlign w:val="bottom"/>
          </w:tcPr>
          <w:p w14:paraId="71F3F35E"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(4,630)</w:t>
            </w:r>
          </w:p>
        </w:tc>
      </w:tr>
      <w:tr w:rsidR="00510CAA" w14:paraId="71F3F37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120" w:type="dxa"/>
            <w:tcBorders>
              <w:top w:val="nil"/>
              <w:left w:val="nil"/>
              <w:bottom w:val="nil"/>
              <w:right w:val="nil"/>
              <w:tl2br w:val="nil"/>
              <w:tr2bl w:val="nil"/>
            </w:tcBorders>
            <w:tcMar>
              <w:left w:w="0" w:type="dxa"/>
              <w:right w:w="0" w:type="dxa"/>
            </w:tcMar>
            <w:vAlign w:val="bottom"/>
          </w:tcPr>
          <w:p w14:paraId="71F3F360" w14:textId="77777777" w:rsidR="00510CAA" w:rsidRDefault="00510CAA">
            <w:pPr>
              <w:keepNext/>
              <w:jc w:val="both"/>
              <w:rPr>
                <w:rFonts w:ascii="Arial" w:eastAsia="Arial" w:hAnsi="Arial" w:cs="Arial"/>
                <w:b/>
                <w:color w:val="000000"/>
                <w:sz w:val="16"/>
              </w:rPr>
            </w:pPr>
          </w:p>
        </w:tc>
        <w:tc>
          <w:tcPr>
            <w:tcW w:w="1755" w:type="dxa"/>
            <w:tcBorders>
              <w:top w:val="nil"/>
              <w:left w:val="nil"/>
              <w:bottom w:val="nil"/>
              <w:right w:val="nil"/>
              <w:tl2br w:val="nil"/>
              <w:tr2bl w:val="nil"/>
            </w:tcBorders>
            <w:tcMar>
              <w:left w:w="43" w:type="dxa"/>
              <w:right w:w="43" w:type="dxa"/>
            </w:tcMar>
            <w:vAlign w:val="bottom"/>
          </w:tcPr>
          <w:p w14:paraId="71F3F361" w14:textId="77777777" w:rsidR="00510CAA" w:rsidRDefault="003A4815">
            <w:pPr>
              <w:keepNext/>
              <w:rPr>
                <w:rFonts w:ascii="Arial" w:eastAsia="Arial" w:hAnsi="Arial" w:cs="Arial"/>
                <w:color w:val="000000"/>
                <w:sz w:val="16"/>
              </w:rPr>
            </w:pPr>
            <w:r>
              <w:rPr>
                <w:rFonts w:ascii="Arial" w:eastAsia="Arial" w:hAnsi="Arial" w:cs="Arial"/>
                <w:color w:val="000000"/>
                <w:sz w:val="16"/>
              </w:rPr>
              <w:t>Other Comprehensive Income</w:t>
            </w:r>
          </w:p>
        </w:tc>
        <w:tc>
          <w:tcPr>
            <w:tcW w:w="285" w:type="dxa"/>
            <w:tcBorders>
              <w:top w:val="nil"/>
              <w:left w:val="nil"/>
              <w:bottom w:val="nil"/>
              <w:right w:val="nil"/>
              <w:tl2br w:val="nil"/>
              <w:tr2bl w:val="nil"/>
            </w:tcBorders>
            <w:noWrap/>
            <w:tcMar>
              <w:left w:w="0" w:type="dxa"/>
              <w:right w:w="0" w:type="dxa"/>
            </w:tcMar>
            <w:vAlign w:val="bottom"/>
          </w:tcPr>
          <w:p w14:paraId="71F3F362" w14:textId="77777777" w:rsidR="00510CAA" w:rsidRDefault="00510CAA">
            <w:pPr>
              <w:keepNext/>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36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64"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36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66"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36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68"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36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6A" w14:textId="77777777" w:rsidR="00510CAA" w:rsidRDefault="00510CAA">
            <w:pPr>
              <w:keepNext/>
              <w:rPr>
                <w:rFonts w:ascii="Arial" w:eastAsia="Arial" w:hAnsi="Arial" w:cs="Arial"/>
                <w:color w:val="000000"/>
                <w:sz w:val="16"/>
              </w:rPr>
            </w:pPr>
          </w:p>
        </w:tc>
        <w:tc>
          <w:tcPr>
            <w:tcW w:w="810" w:type="dxa"/>
            <w:tcBorders>
              <w:top w:val="nil"/>
              <w:left w:val="nil"/>
              <w:bottom w:val="single" w:sz="4" w:space="0" w:color="000000"/>
              <w:right w:val="nil"/>
              <w:tl2br w:val="nil"/>
              <w:tr2bl w:val="nil"/>
            </w:tcBorders>
            <w:noWrap/>
            <w:tcMar>
              <w:left w:w="43" w:type="dxa"/>
              <w:right w:w="103" w:type="dxa"/>
            </w:tcMar>
            <w:vAlign w:val="bottom"/>
          </w:tcPr>
          <w:p w14:paraId="71F3F36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6C"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36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6E" w14:textId="77777777" w:rsidR="00510CAA" w:rsidRDefault="00510CAA">
            <w:pPr>
              <w:keepNext/>
              <w:rPr>
                <w:rFonts w:ascii="Arial" w:eastAsia="Arial" w:hAnsi="Arial" w:cs="Arial"/>
                <w:color w:val="000000"/>
                <w:sz w:val="16"/>
              </w:rPr>
            </w:pPr>
          </w:p>
        </w:tc>
        <w:tc>
          <w:tcPr>
            <w:tcW w:w="1170" w:type="dxa"/>
            <w:tcBorders>
              <w:top w:val="nil"/>
              <w:left w:val="nil"/>
              <w:bottom w:val="single" w:sz="4" w:space="0" w:color="000000"/>
              <w:right w:val="nil"/>
              <w:tl2br w:val="nil"/>
              <w:tr2bl w:val="nil"/>
            </w:tcBorders>
            <w:noWrap/>
            <w:tcMar>
              <w:left w:w="43" w:type="dxa"/>
              <w:right w:w="103" w:type="dxa"/>
            </w:tcMar>
            <w:vAlign w:val="bottom"/>
          </w:tcPr>
          <w:p w14:paraId="71F3F36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70" w14:textId="77777777" w:rsidR="00510CAA" w:rsidRDefault="00510CAA">
            <w:pPr>
              <w:keepNext/>
              <w:rPr>
                <w:rFonts w:ascii="Arial" w:eastAsia="Arial" w:hAnsi="Arial" w:cs="Arial"/>
                <w:color w:val="000000"/>
                <w:sz w:val="16"/>
              </w:rPr>
            </w:pPr>
          </w:p>
        </w:tc>
        <w:tc>
          <w:tcPr>
            <w:tcW w:w="600" w:type="dxa"/>
            <w:tcBorders>
              <w:top w:val="nil"/>
              <w:left w:val="nil"/>
              <w:bottom w:val="single" w:sz="4" w:space="0" w:color="000000"/>
              <w:right w:val="nil"/>
              <w:tl2br w:val="nil"/>
              <w:tr2bl w:val="nil"/>
            </w:tcBorders>
            <w:noWrap/>
            <w:tcMar>
              <w:left w:w="43" w:type="dxa"/>
              <w:right w:w="103" w:type="dxa"/>
            </w:tcMar>
            <w:vAlign w:val="bottom"/>
          </w:tcPr>
          <w:p w14:paraId="71F3F37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72" w14:textId="77777777" w:rsidR="00510CAA" w:rsidRDefault="00510CAA">
            <w:pPr>
              <w:keepNext/>
              <w:rPr>
                <w:rFonts w:ascii="Arial" w:eastAsia="Arial" w:hAnsi="Arial" w:cs="Arial"/>
                <w:color w:val="000000"/>
                <w:sz w:val="16"/>
              </w:rPr>
            </w:pPr>
          </w:p>
        </w:tc>
        <w:tc>
          <w:tcPr>
            <w:tcW w:w="945" w:type="dxa"/>
            <w:tcBorders>
              <w:top w:val="nil"/>
              <w:left w:val="nil"/>
              <w:bottom w:val="single" w:sz="4" w:space="0" w:color="000000"/>
              <w:right w:val="nil"/>
              <w:tl2br w:val="nil"/>
              <w:tr2bl w:val="nil"/>
            </w:tcBorders>
            <w:noWrap/>
            <w:tcMar>
              <w:left w:w="43" w:type="dxa"/>
              <w:right w:w="103" w:type="dxa"/>
            </w:tcMar>
            <w:vAlign w:val="bottom"/>
          </w:tcPr>
          <w:p w14:paraId="71F3F37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74" w14:textId="77777777" w:rsidR="00510CAA" w:rsidRDefault="00510CAA">
            <w:pPr>
              <w:keepNext/>
              <w:rPr>
                <w:rFonts w:ascii="Arial" w:eastAsia="Arial" w:hAnsi="Arial" w:cs="Arial"/>
                <w:color w:val="000000"/>
                <w:sz w:val="16"/>
              </w:rPr>
            </w:pPr>
          </w:p>
        </w:tc>
        <w:tc>
          <w:tcPr>
            <w:tcW w:w="960" w:type="dxa"/>
            <w:tcBorders>
              <w:top w:val="nil"/>
              <w:left w:val="nil"/>
              <w:bottom w:val="single" w:sz="4" w:space="0" w:color="000000"/>
              <w:right w:val="nil"/>
              <w:tl2br w:val="nil"/>
              <w:tr2bl w:val="nil"/>
            </w:tcBorders>
            <w:noWrap/>
            <w:tcMar>
              <w:left w:w="43" w:type="dxa"/>
              <w:right w:w="103" w:type="dxa"/>
            </w:tcMar>
            <w:vAlign w:val="bottom"/>
          </w:tcPr>
          <w:p w14:paraId="71F3F37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3,336</w:t>
            </w:r>
          </w:p>
        </w:tc>
        <w:tc>
          <w:tcPr>
            <w:tcW w:w="180" w:type="dxa"/>
            <w:tcBorders>
              <w:top w:val="nil"/>
              <w:left w:val="nil"/>
              <w:bottom w:val="nil"/>
              <w:right w:val="nil"/>
              <w:tl2br w:val="nil"/>
              <w:tr2bl w:val="nil"/>
            </w:tcBorders>
            <w:noWrap/>
            <w:tcMar>
              <w:left w:w="0" w:type="dxa"/>
              <w:right w:w="0" w:type="dxa"/>
            </w:tcMar>
            <w:vAlign w:val="bottom"/>
          </w:tcPr>
          <w:p w14:paraId="71F3F376" w14:textId="77777777" w:rsidR="00510CAA" w:rsidRDefault="00510CAA">
            <w:pPr>
              <w:keepNext/>
              <w:rPr>
                <w:rFonts w:ascii="Arial" w:eastAsia="Arial" w:hAnsi="Arial" w:cs="Arial"/>
                <w:color w:val="000000"/>
                <w:sz w:val="16"/>
              </w:rPr>
            </w:pPr>
          </w:p>
        </w:tc>
        <w:tc>
          <w:tcPr>
            <w:tcW w:w="1140" w:type="dxa"/>
            <w:tcBorders>
              <w:top w:val="nil"/>
              <w:left w:val="nil"/>
              <w:bottom w:val="single" w:sz="4" w:space="0" w:color="000000"/>
              <w:right w:val="nil"/>
              <w:tl2br w:val="nil"/>
              <w:tr2bl w:val="nil"/>
            </w:tcBorders>
            <w:noWrap/>
            <w:tcMar>
              <w:left w:w="43" w:type="dxa"/>
              <w:right w:w="103" w:type="dxa"/>
            </w:tcMar>
            <w:vAlign w:val="bottom"/>
          </w:tcPr>
          <w:p w14:paraId="71F3F37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285" w:type="dxa"/>
            <w:tcBorders>
              <w:top w:val="nil"/>
              <w:left w:val="nil"/>
              <w:bottom w:val="nil"/>
              <w:right w:val="nil"/>
              <w:tl2br w:val="nil"/>
              <w:tr2bl w:val="nil"/>
            </w:tcBorders>
            <w:noWrap/>
            <w:tcMar>
              <w:left w:w="0" w:type="dxa"/>
              <w:right w:w="0" w:type="dxa"/>
            </w:tcMar>
            <w:vAlign w:val="bottom"/>
          </w:tcPr>
          <w:p w14:paraId="71F3F378" w14:textId="77777777" w:rsidR="00510CAA" w:rsidRDefault="00510CAA">
            <w:pPr>
              <w:keepNext/>
              <w:rPr>
                <w:rFonts w:ascii="Arial" w:eastAsia="Arial" w:hAnsi="Arial" w:cs="Arial"/>
                <w:color w:val="000000"/>
                <w:sz w:val="16"/>
              </w:rPr>
            </w:pPr>
          </w:p>
        </w:tc>
        <w:tc>
          <w:tcPr>
            <w:tcW w:w="975" w:type="dxa"/>
            <w:tcBorders>
              <w:top w:val="nil"/>
              <w:left w:val="nil"/>
              <w:bottom w:val="single" w:sz="4" w:space="0" w:color="000000"/>
              <w:right w:val="nil"/>
              <w:tl2br w:val="nil"/>
              <w:tr2bl w:val="nil"/>
            </w:tcBorders>
            <w:noWrap/>
            <w:tcMar>
              <w:left w:w="43" w:type="dxa"/>
              <w:right w:w="103" w:type="dxa"/>
            </w:tcMar>
            <w:vAlign w:val="bottom"/>
          </w:tcPr>
          <w:p w14:paraId="71F3F37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3,336</w:t>
            </w:r>
          </w:p>
        </w:tc>
      </w:tr>
      <w:tr w:rsidR="00510CAA" w14:paraId="71F3F39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1875" w:type="dxa"/>
            <w:gridSpan w:val="2"/>
            <w:tcBorders>
              <w:top w:val="nil"/>
              <w:left w:val="nil"/>
              <w:bottom w:val="nil"/>
              <w:right w:val="nil"/>
              <w:tl2br w:val="nil"/>
              <w:tr2bl w:val="nil"/>
            </w:tcBorders>
            <w:noWrap/>
            <w:tcMar>
              <w:left w:w="43" w:type="dxa"/>
              <w:right w:w="43" w:type="dxa"/>
            </w:tcMar>
            <w:vAlign w:val="bottom"/>
          </w:tcPr>
          <w:p w14:paraId="71F3F37B" w14:textId="77777777" w:rsidR="00510CAA" w:rsidRDefault="003A4815">
            <w:pPr>
              <w:keepNext/>
              <w:jc w:val="both"/>
              <w:rPr>
                <w:rFonts w:ascii="Arial" w:eastAsia="Arial" w:hAnsi="Arial" w:cs="Arial"/>
                <w:b/>
                <w:color w:val="000000"/>
                <w:sz w:val="16"/>
              </w:rPr>
            </w:pPr>
            <w:r>
              <w:rPr>
                <w:rFonts w:ascii="Arial" w:eastAsia="Arial" w:hAnsi="Arial" w:cs="Arial"/>
                <w:b/>
                <w:color w:val="000000"/>
                <w:sz w:val="16"/>
              </w:rPr>
              <w:t>BALANCE, December 31, 2025</w:t>
            </w:r>
          </w:p>
        </w:tc>
        <w:tc>
          <w:tcPr>
            <w:tcW w:w="285" w:type="dxa"/>
            <w:tcBorders>
              <w:top w:val="nil"/>
              <w:left w:val="nil"/>
              <w:bottom w:val="nil"/>
              <w:right w:val="nil"/>
              <w:tl2br w:val="nil"/>
              <w:tr2bl w:val="nil"/>
            </w:tcBorders>
            <w:noWrap/>
            <w:tcMar>
              <w:left w:w="0" w:type="dxa"/>
              <w:right w:w="0" w:type="dxa"/>
            </w:tcMar>
            <w:vAlign w:val="bottom"/>
          </w:tcPr>
          <w:p w14:paraId="71F3F37C" w14:textId="77777777" w:rsidR="00510CAA" w:rsidRDefault="00510CAA">
            <w:pPr>
              <w:keepNext/>
              <w:jc w:val="center"/>
              <w:rPr>
                <w:rFonts w:ascii="Arial" w:eastAsia="Arial" w:hAnsi="Arial" w:cs="Arial"/>
                <w:color w:val="000000"/>
                <w:sz w:val="16"/>
              </w:rPr>
            </w:pP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7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2,600,000</w:t>
            </w:r>
          </w:p>
        </w:tc>
        <w:tc>
          <w:tcPr>
            <w:tcW w:w="180" w:type="dxa"/>
            <w:tcBorders>
              <w:top w:val="nil"/>
              <w:left w:val="nil"/>
              <w:bottom w:val="nil"/>
              <w:right w:val="nil"/>
              <w:tl2br w:val="nil"/>
              <w:tr2bl w:val="nil"/>
            </w:tcBorders>
            <w:noWrap/>
            <w:tcMar>
              <w:left w:w="43" w:type="dxa"/>
              <w:right w:w="103" w:type="dxa"/>
            </w:tcMar>
            <w:vAlign w:val="bottom"/>
          </w:tcPr>
          <w:p w14:paraId="71F3F37E"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7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26</w:t>
            </w:r>
          </w:p>
        </w:tc>
        <w:tc>
          <w:tcPr>
            <w:tcW w:w="165" w:type="dxa"/>
            <w:tcBorders>
              <w:top w:val="nil"/>
              <w:left w:val="nil"/>
              <w:bottom w:val="nil"/>
              <w:right w:val="nil"/>
              <w:tl2br w:val="nil"/>
              <w:tr2bl w:val="nil"/>
            </w:tcBorders>
            <w:noWrap/>
            <w:tcMar>
              <w:left w:w="0" w:type="dxa"/>
              <w:right w:w="0" w:type="dxa"/>
            </w:tcMar>
            <w:vAlign w:val="bottom"/>
          </w:tcPr>
          <w:p w14:paraId="71F3F380"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10,675</w:t>
            </w:r>
          </w:p>
        </w:tc>
        <w:tc>
          <w:tcPr>
            <w:tcW w:w="180" w:type="dxa"/>
            <w:tcBorders>
              <w:top w:val="nil"/>
              <w:left w:val="nil"/>
              <w:bottom w:val="nil"/>
              <w:right w:val="nil"/>
              <w:tl2br w:val="nil"/>
              <w:tr2bl w:val="nil"/>
            </w:tcBorders>
            <w:noWrap/>
            <w:tcMar>
              <w:left w:w="43" w:type="dxa"/>
              <w:right w:w="103" w:type="dxa"/>
            </w:tcMar>
            <w:vAlign w:val="bottom"/>
          </w:tcPr>
          <w:p w14:paraId="71F3F382"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65" w:type="dxa"/>
            <w:tcBorders>
              <w:top w:val="nil"/>
              <w:left w:val="nil"/>
              <w:bottom w:val="nil"/>
              <w:right w:val="nil"/>
              <w:tl2br w:val="nil"/>
              <w:tr2bl w:val="nil"/>
            </w:tcBorders>
            <w:noWrap/>
            <w:tcMar>
              <w:left w:w="0" w:type="dxa"/>
              <w:right w:w="0" w:type="dxa"/>
            </w:tcMar>
            <w:vAlign w:val="bottom"/>
          </w:tcPr>
          <w:p w14:paraId="71F3F384" w14:textId="77777777" w:rsidR="00510CAA" w:rsidRDefault="00510CAA">
            <w:pPr>
              <w:keepNext/>
              <w:rPr>
                <w:rFonts w:ascii="Arial" w:eastAsia="Arial" w:hAnsi="Arial" w:cs="Arial"/>
                <w:color w:val="000000"/>
                <w:sz w:val="16"/>
              </w:rPr>
            </w:pPr>
          </w:p>
        </w:tc>
        <w:tc>
          <w:tcPr>
            <w:tcW w:w="81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5"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400</w:t>
            </w:r>
          </w:p>
        </w:tc>
        <w:tc>
          <w:tcPr>
            <w:tcW w:w="285" w:type="dxa"/>
            <w:tcBorders>
              <w:top w:val="nil"/>
              <w:left w:val="nil"/>
              <w:bottom w:val="nil"/>
              <w:right w:val="nil"/>
              <w:tl2br w:val="nil"/>
              <w:tr2bl w:val="nil"/>
            </w:tcBorders>
            <w:noWrap/>
            <w:tcMar>
              <w:left w:w="43" w:type="dxa"/>
              <w:right w:w="103" w:type="dxa"/>
            </w:tcMar>
            <w:vAlign w:val="bottom"/>
          </w:tcPr>
          <w:p w14:paraId="71F3F386"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7"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80" w:type="dxa"/>
            <w:tcBorders>
              <w:top w:val="nil"/>
              <w:left w:val="nil"/>
              <w:bottom w:val="nil"/>
              <w:right w:val="nil"/>
              <w:tl2br w:val="nil"/>
              <w:tr2bl w:val="nil"/>
            </w:tcBorders>
            <w:noWrap/>
            <w:tcMar>
              <w:left w:w="0" w:type="dxa"/>
              <w:right w:w="0" w:type="dxa"/>
            </w:tcMar>
            <w:vAlign w:val="bottom"/>
          </w:tcPr>
          <w:p w14:paraId="71F3F388" w14:textId="77777777" w:rsidR="00510CAA" w:rsidRDefault="00510CAA">
            <w:pPr>
              <w:keepNext/>
              <w:rPr>
                <w:rFonts w:ascii="Arial" w:eastAsia="Arial" w:hAnsi="Arial" w:cs="Arial"/>
                <w:color w:val="000000"/>
                <w:sz w:val="16"/>
              </w:rPr>
            </w:pPr>
          </w:p>
        </w:tc>
        <w:tc>
          <w:tcPr>
            <w:tcW w:w="117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115,787,434</w:t>
            </w:r>
          </w:p>
        </w:tc>
        <w:tc>
          <w:tcPr>
            <w:tcW w:w="285" w:type="dxa"/>
            <w:tcBorders>
              <w:top w:val="nil"/>
              <w:left w:val="nil"/>
              <w:bottom w:val="nil"/>
              <w:right w:val="nil"/>
              <w:tl2br w:val="nil"/>
              <w:tr2bl w:val="nil"/>
            </w:tcBorders>
            <w:noWrap/>
            <w:tcMar>
              <w:left w:w="43" w:type="dxa"/>
              <w:right w:w="103" w:type="dxa"/>
            </w:tcMar>
            <w:vAlign w:val="bottom"/>
          </w:tcPr>
          <w:p w14:paraId="71F3F38A"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60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1,158</w:t>
            </w:r>
          </w:p>
        </w:tc>
        <w:tc>
          <w:tcPr>
            <w:tcW w:w="180" w:type="dxa"/>
            <w:tcBorders>
              <w:top w:val="nil"/>
              <w:left w:val="nil"/>
              <w:bottom w:val="nil"/>
              <w:right w:val="nil"/>
              <w:tl2br w:val="nil"/>
              <w:tr2bl w:val="nil"/>
            </w:tcBorders>
            <w:noWrap/>
            <w:tcMar>
              <w:left w:w="43" w:type="dxa"/>
              <w:right w:w="103" w:type="dxa"/>
            </w:tcMar>
            <w:vAlign w:val="bottom"/>
          </w:tcPr>
          <w:p w14:paraId="71F3F38C"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4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D"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1,126,049</w:t>
            </w:r>
          </w:p>
        </w:tc>
        <w:tc>
          <w:tcPr>
            <w:tcW w:w="180" w:type="dxa"/>
            <w:tcBorders>
              <w:top w:val="nil"/>
              <w:left w:val="nil"/>
              <w:bottom w:val="nil"/>
              <w:right w:val="nil"/>
              <w:tl2br w:val="nil"/>
              <w:tr2bl w:val="nil"/>
            </w:tcBorders>
            <w:noWrap/>
            <w:tcMar>
              <w:left w:w="43" w:type="dxa"/>
              <w:right w:w="103" w:type="dxa"/>
            </w:tcMar>
            <w:vAlign w:val="bottom"/>
          </w:tcPr>
          <w:p w14:paraId="71F3F38E"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60"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8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3,648</w:t>
            </w:r>
          </w:p>
        </w:tc>
        <w:tc>
          <w:tcPr>
            <w:tcW w:w="180" w:type="dxa"/>
            <w:tcBorders>
              <w:top w:val="nil"/>
              <w:left w:val="nil"/>
              <w:bottom w:val="nil"/>
              <w:right w:val="nil"/>
              <w:tl2br w:val="nil"/>
              <w:tr2bl w:val="nil"/>
            </w:tcBorders>
            <w:noWrap/>
            <w:tcMar>
              <w:left w:w="43" w:type="dxa"/>
              <w:right w:w="103" w:type="dxa"/>
            </w:tcMar>
            <w:vAlign w:val="bottom"/>
          </w:tcPr>
          <w:p w14:paraId="71F3F390"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1140" w:type="dxa"/>
            <w:tcBorders>
              <w:top w:val="single" w:sz="4" w:space="0" w:color="000000"/>
              <w:left w:val="nil"/>
              <w:bottom w:val="double" w:sz="6" w:space="0" w:color="000000"/>
              <w:right w:val="nil"/>
              <w:tl2br w:val="nil"/>
              <w:tr2bl w:val="nil"/>
            </w:tcBorders>
            <w:noWrap/>
            <w:tcMar>
              <w:left w:w="43" w:type="dxa"/>
              <w:right w:w="43" w:type="dxa"/>
            </w:tcMar>
            <w:vAlign w:val="bottom"/>
          </w:tcPr>
          <w:p w14:paraId="71F3F39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(628,468)</w:t>
            </w:r>
          </w:p>
        </w:tc>
        <w:tc>
          <w:tcPr>
            <w:tcW w:w="285" w:type="dxa"/>
            <w:tcBorders>
              <w:top w:val="nil"/>
              <w:left w:val="nil"/>
              <w:bottom w:val="nil"/>
              <w:right w:val="nil"/>
              <w:tl2br w:val="nil"/>
              <w:tr2bl w:val="nil"/>
            </w:tcBorders>
            <w:noWrap/>
            <w:tcMar>
              <w:left w:w="43" w:type="dxa"/>
              <w:right w:w="103" w:type="dxa"/>
            </w:tcMar>
            <w:vAlign w:val="bottom"/>
          </w:tcPr>
          <w:p w14:paraId="71F3F392" w14:textId="77777777" w:rsidR="00510CAA" w:rsidRDefault="003A4815">
            <w:pPr>
              <w:keepNext/>
              <w:rPr>
                <w:rFonts w:ascii="Arial" w:eastAsia="Arial" w:hAnsi="Arial" w:cs="Arial"/>
                <w:color w:val="000000"/>
                <w:sz w:val="16"/>
              </w:rPr>
            </w:pPr>
            <w:r>
              <w:rPr>
                <w:rFonts w:ascii="Arial" w:eastAsia="Arial" w:hAnsi="Arial" w:cs="Arial"/>
                <w:color w:val="000000"/>
                <w:sz w:val="16"/>
              </w:rPr>
              <w:t>$</w:t>
            </w:r>
          </w:p>
        </w:tc>
        <w:tc>
          <w:tcPr>
            <w:tcW w:w="975" w:type="dxa"/>
            <w:tcBorders>
              <w:top w:val="single" w:sz="4" w:space="0" w:color="000000"/>
              <w:left w:val="nil"/>
              <w:bottom w:val="double" w:sz="6" w:space="0" w:color="000000"/>
              <w:right w:val="nil"/>
              <w:tl2br w:val="nil"/>
              <w:tr2bl w:val="nil"/>
            </w:tcBorders>
            <w:noWrap/>
            <w:tcMar>
              <w:left w:w="43" w:type="dxa"/>
              <w:right w:w="103" w:type="dxa"/>
            </w:tcMar>
            <w:vAlign w:val="bottom"/>
          </w:tcPr>
          <w:p w14:paraId="71F3F39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502,413</w:t>
            </w:r>
          </w:p>
        </w:tc>
      </w:tr>
      <w:tr w:rsidR="00510CAA" w14:paraId="71F3F39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4610" w:type="dxa"/>
            <w:gridSpan w:val="26"/>
            <w:tcBorders>
              <w:top w:val="nil"/>
              <w:left w:val="nil"/>
              <w:bottom w:val="nil"/>
              <w:right w:val="nil"/>
              <w:tl2br w:val="nil"/>
              <w:tr2bl w:val="nil"/>
            </w:tcBorders>
            <w:tcMar>
              <w:left w:w="43" w:type="dxa"/>
              <w:right w:w="43" w:type="dxa"/>
            </w:tcMar>
            <w:vAlign w:val="bottom"/>
          </w:tcPr>
          <w:p w14:paraId="71F3F395" w14:textId="77777777" w:rsidR="00510CAA" w:rsidRDefault="003A4815">
            <w:pPr>
              <w:keepNext/>
              <w:jc w:val="center"/>
              <w:rPr>
                <w:rFonts w:ascii="Arial" w:eastAsia="Arial" w:hAnsi="Arial" w:cs="Arial"/>
                <w:color w:val="000000"/>
                <w:sz w:val="16"/>
              </w:rPr>
            </w:pPr>
            <w:r>
              <w:rPr>
                <w:rFonts w:ascii="Arial" w:eastAsia="Arial" w:hAnsi="Arial" w:cs="Arial"/>
                <w:color w:val="000000"/>
                <w:sz w:val="16"/>
              </w:rPr>
              <w:t>The accompanying notes are an integral part of these consolidated financial statements.</w:t>
            </w:r>
          </w:p>
        </w:tc>
      </w:tr>
    </w:tbl>
    <w:p w14:paraId="71F3F397" w14:textId="77777777" w:rsidR="00510CAA" w:rsidRDefault="00510CAA">
      <w:pPr>
        <w:rPr>
          <w:rFonts w:ascii="Arial" w:eastAsia="Arial" w:hAnsi="Arial" w:cs="Arial"/>
        </w:rPr>
        <w:sectPr w:rsidR="00510CAA">
          <w:headerReference w:type="even" r:id="rId73"/>
          <w:headerReference w:type="default" r:id="rId74"/>
          <w:footerReference w:type="even" r:id="rId75"/>
          <w:footerReference w:type="default" r:id="rId76"/>
          <w:headerReference w:type="first" r:id="rId77"/>
          <w:footerReference w:type="first" r:id="rId78"/>
          <w:type w:val="continuous"/>
          <w:pgSz w:w="15840" w:h="12240" w:orient="landscape"/>
          <w:pgMar w:top="510" w:right="340" w:bottom="1077" w:left="680" w:header="720" w:footer="720" w:gutter="0"/>
          <w:pgBorders>
            <w:top w:val="nil"/>
            <w:left w:val="nil"/>
            <w:bottom w:val="nil"/>
            <w:right w:val="nil"/>
          </w:pgBorders>
          <w:cols w:space="720"/>
        </w:sectPr>
      </w:pPr>
    </w:p>
    <w:tbl>
      <w:tblPr>
        <w:tblStyle w:val="CDMRange1"/>
        <w:tblW w:w="10515" w:type="dxa"/>
        <w:tblLayout w:type="fixed"/>
        <w:tblLook w:val="0600" w:firstRow="0" w:lastRow="0" w:firstColumn="0" w:lastColumn="0" w:noHBand="1" w:noVBand="1"/>
      </w:tblPr>
      <w:tblGrid>
        <w:gridCol w:w="90"/>
        <w:gridCol w:w="240"/>
        <w:gridCol w:w="5325"/>
        <w:gridCol w:w="180"/>
        <w:gridCol w:w="1440"/>
        <w:gridCol w:w="180"/>
        <w:gridCol w:w="1440"/>
        <w:gridCol w:w="180"/>
        <w:gridCol w:w="1440"/>
      </w:tblGrid>
      <w:tr w:rsidR="00510CAA" w14:paraId="71F3F39D" w14:textId="77777777">
        <w:trPr>
          <w:cantSplit/>
          <w:trHeight w:hRule="exact" w:val="210"/>
        </w:trPr>
        <w:tc>
          <w:tcPr>
            <w:tcW w:w="7275" w:type="dxa"/>
            <w:gridSpan w:val="5"/>
            <w:tcBorders>
              <w:top w:val="nil"/>
              <w:left w:val="nil"/>
              <w:bottom w:val="nil"/>
              <w:right w:val="nil"/>
              <w:tl2br w:val="nil"/>
              <w:tr2bl w:val="nil"/>
            </w:tcBorders>
            <w:noWrap/>
            <w:tcMar>
              <w:left w:w="0" w:type="dxa"/>
              <w:right w:w="0" w:type="dxa"/>
            </w:tcMar>
            <w:vAlign w:val="bottom"/>
          </w:tcPr>
          <w:p w14:paraId="71F3F398" w14:textId="77777777" w:rsidR="00510CAA" w:rsidRDefault="003A4815">
            <w:pPr>
              <w:keepNext/>
              <w:pageBreakBefore/>
              <w:rPr>
                <w:rFonts w:ascii="Arial" w:eastAsia="Arial" w:hAnsi="Arial" w:cs="Arial"/>
                <w:b/>
                <w:color w:val="000000"/>
                <w:sz w:val="18"/>
              </w:rPr>
            </w:pPr>
            <w:bookmarkStart w:id="390" w:name="RG_MARKER_23119"/>
            <w:r>
              <w:rPr>
                <w:rFonts w:ascii="Arial" w:eastAsia="Arial" w:hAnsi="Arial" w:cs="Arial"/>
                <w:b/>
                <w:color w:val="000000"/>
                <w:sz w:val="18"/>
              </w:rPr>
              <w:t xml:space="preserve">DIANA SHIPPING INC. </w:t>
            </w:r>
            <w:bookmarkEnd w:id="390"/>
          </w:p>
        </w:tc>
        <w:tc>
          <w:tcPr>
            <w:tcW w:w="180" w:type="dxa"/>
            <w:tcBorders>
              <w:top w:val="nil"/>
              <w:left w:val="nil"/>
              <w:bottom w:val="nil"/>
              <w:right w:val="nil"/>
              <w:tl2br w:val="nil"/>
              <w:tr2bl w:val="nil"/>
            </w:tcBorders>
            <w:noWrap/>
            <w:tcMar>
              <w:left w:w="0" w:type="dxa"/>
              <w:right w:w="0" w:type="dxa"/>
            </w:tcMar>
            <w:vAlign w:val="bottom"/>
          </w:tcPr>
          <w:p w14:paraId="71F3F399" w14:textId="77777777" w:rsidR="00510CAA" w:rsidRDefault="00510CAA">
            <w:pPr>
              <w:keepNext/>
              <w:jc w:val="both"/>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39A"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39B" w14:textId="77777777" w:rsidR="00510CAA" w:rsidRDefault="00510CAA">
            <w:pPr>
              <w:keepNext/>
              <w:jc w:val="both"/>
              <w:rPr>
                <w:rFonts w:ascii="Arial" w:eastAsia="Arial" w:hAnsi="Arial" w:cs="Arial"/>
                <w:b/>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39C" w14:textId="77777777" w:rsidR="00510CAA" w:rsidRDefault="00510CAA">
            <w:pPr>
              <w:keepNext/>
              <w:rPr>
                <w:rFonts w:ascii="Arial" w:eastAsia="Arial" w:hAnsi="Arial" w:cs="Arial"/>
                <w:color w:val="000000"/>
                <w:sz w:val="18"/>
              </w:rPr>
            </w:pPr>
          </w:p>
        </w:tc>
      </w:tr>
      <w:tr w:rsidR="00510CAA" w14:paraId="71F3F3A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8895" w:type="dxa"/>
            <w:gridSpan w:val="7"/>
            <w:tcBorders>
              <w:top w:val="nil"/>
              <w:left w:val="nil"/>
              <w:bottom w:val="nil"/>
              <w:right w:val="nil"/>
              <w:tl2br w:val="nil"/>
              <w:tr2bl w:val="nil"/>
            </w:tcBorders>
            <w:noWrap/>
            <w:tcMar>
              <w:left w:w="0" w:type="dxa"/>
              <w:right w:w="0" w:type="dxa"/>
            </w:tcMar>
            <w:vAlign w:val="bottom"/>
          </w:tcPr>
          <w:p w14:paraId="71F3F39E" w14:textId="77777777" w:rsidR="00510CAA" w:rsidRDefault="003A4815">
            <w:pPr>
              <w:keepNext/>
              <w:rPr>
                <w:rFonts w:ascii="Arial" w:eastAsia="Arial" w:hAnsi="Arial" w:cs="Arial"/>
                <w:color w:val="000000"/>
                <w:sz w:val="18"/>
              </w:rPr>
            </w:pPr>
            <w:r>
              <w:rPr>
                <w:rFonts w:ascii="Arial" w:eastAsia="Arial" w:hAnsi="Arial" w:cs="Arial"/>
                <w:color w:val="000000"/>
                <w:sz w:val="18"/>
              </w:rPr>
              <w:t>CONSOLIDATED STATEMENTS OF CASH FLOWS</w:t>
            </w:r>
          </w:p>
        </w:tc>
        <w:tc>
          <w:tcPr>
            <w:tcW w:w="180" w:type="dxa"/>
            <w:tcBorders>
              <w:top w:val="nil"/>
              <w:left w:val="nil"/>
              <w:bottom w:val="nil"/>
              <w:right w:val="nil"/>
              <w:tl2br w:val="nil"/>
              <w:tr2bl w:val="nil"/>
            </w:tcBorders>
            <w:noWrap/>
            <w:tcMar>
              <w:left w:w="0" w:type="dxa"/>
              <w:right w:w="0" w:type="dxa"/>
            </w:tcMar>
            <w:vAlign w:val="bottom"/>
          </w:tcPr>
          <w:p w14:paraId="71F3F39F" w14:textId="77777777" w:rsidR="00510CAA" w:rsidRDefault="00510CAA">
            <w:pPr>
              <w:keepNext/>
              <w:rPr>
                <w:rFonts w:ascii="Arial" w:eastAsia="Arial" w:hAnsi="Arial" w:cs="Arial"/>
                <w:color w:val="000000"/>
              </w:rPr>
            </w:pPr>
          </w:p>
        </w:tc>
        <w:tc>
          <w:tcPr>
            <w:tcW w:w="1440" w:type="dxa"/>
            <w:tcBorders>
              <w:top w:val="nil"/>
              <w:left w:val="nil"/>
              <w:bottom w:val="nil"/>
              <w:right w:val="nil"/>
              <w:tl2br w:val="nil"/>
              <w:tr2bl w:val="nil"/>
            </w:tcBorders>
            <w:noWrap/>
            <w:tcMar>
              <w:left w:w="0" w:type="dxa"/>
              <w:right w:w="0" w:type="dxa"/>
            </w:tcMar>
            <w:vAlign w:val="bottom"/>
          </w:tcPr>
          <w:p w14:paraId="71F3F3A0" w14:textId="77777777" w:rsidR="00510CAA" w:rsidRDefault="00510CAA">
            <w:pPr>
              <w:keepNext/>
              <w:rPr>
                <w:rFonts w:ascii="Arial" w:eastAsia="Arial" w:hAnsi="Arial" w:cs="Arial"/>
                <w:color w:val="000000"/>
              </w:rPr>
            </w:pPr>
          </w:p>
        </w:tc>
      </w:tr>
      <w:tr w:rsidR="00510CAA" w14:paraId="71F3F3A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8895" w:type="dxa"/>
            <w:gridSpan w:val="7"/>
            <w:tcBorders>
              <w:top w:val="nil"/>
              <w:left w:val="nil"/>
              <w:bottom w:val="nil"/>
              <w:right w:val="nil"/>
              <w:tl2br w:val="nil"/>
              <w:tr2bl w:val="nil"/>
            </w:tcBorders>
            <w:noWrap/>
            <w:tcMar>
              <w:left w:w="0" w:type="dxa"/>
              <w:right w:w="0" w:type="dxa"/>
            </w:tcMar>
            <w:vAlign w:val="bottom"/>
          </w:tcPr>
          <w:p w14:paraId="71F3F3A2" w14:textId="77777777" w:rsidR="00510CAA" w:rsidRDefault="003A4815">
            <w:pPr>
              <w:keepNext/>
              <w:rPr>
                <w:rFonts w:ascii="Arial" w:eastAsia="Arial" w:hAnsi="Arial" w:cs="Arial"/>
                <w:color w:val="000000"/>
                <w:sz w:val="18"/>
              </w:rPr>
            </w:pPr>
            <w:r>
              <w:rPr>
                <w:rFonts w:ascii="Arial" w:eastAsia="Arial" w:hAnsi="Arial" w:cs="Arial"/>
                <w:color w:val="000000"/>
                <w:sz w:val="18"/>
              </w:rPr>
              <w:t>For the years ended December 31, 2025, 2024 and 2023</w:t>
            </w:r>
          </w:p>
        </w:tc>
        <w:tc>
          <w:tcPr>
            <w:tcW w:w="180" w:type="dxa"/>
            <w:tcBorders>
              <w:top w:val="nil"/>
              <w:left w:val="nil"/>
              <w:bottom w:val="nil"/>
              <w:right w:val="nil"/>
              <w:tl2br w:val="nil"/>
              <w:tr2bl w:val="nil"/>
            </w:tcBorders>
            <w:noWrap/>
            <w:tcMar>
              <w:left w:w="0" w:type="dxa"/>
              <w:right w:w="0" w:type="dxa"/>
            </w:tcMar>
            <w:vAlign w:val="bottom"/>
          </w:tcPr>
          <w:p w14:paraId="71F3F3A3" w14:textId="77777777" w:rsidR="00510CAA" w:rsidRDefault="00510CAA">
            <w:pPr>
              <w:keepNext/>
              <w:rPr>
                <w:rFonts w:ascii="Arial" w:eastAsia="Arial" w:hAnsi="Arial" w:cs="Arial"/>
                <w:color w:val="000000"/>
              </w:rPr>
            </w:pPr>
          </w:p>
        </w:tc>
        <w:tc>
          <w:tcPr>
            <w:tcW w:w="1440" w:type="dxa"/>
            <w:tcBorders>
              <w:top w:val="nil"/>
              <w:left w:val="nil"/>
              <w:bottom w:val="nil"/>
              <w:right w:val="nil"/>
              <w:tl2br w:val="nil"/>
              <w:tr2bl w:val="nil"/>
            </w:tcBorders>
            <w:noWrap/>
            <w:tcMar>
              <w:left w:w="0" w:type="dxa"/>
              <w:right w:w="0" w:type="dxa"/>
            </w:tcMar>
            <w:vAlign w:val="bottom"/>
          </w:tcPr>
          <w:p w14:paraId="71F3F3A4" w14:textId="77777777" w:rsidR="00510CAA" w:rsidRDefault="00510CAA">
            <w:pPr>
              <w:keepNext/>
              <w:rPr>
                <w:rFonts w:ascii="Arial" w:eastAsia="Arial" w:hAnsi="Arial" w:cs="Arial"/>
                <w:color w:val="000000"/>
              </w:rPr>
            </w:pPr>
          </w:p>
        </w:tc>
      </w:tr>
      <w:tr w:rsidR="00510CAA" w14:paraId="71F3F3A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7455" w:type="dxa"/>
            <w:gridSpan w:val="6"/>
            <w:tcBorders>
              <w:top w:val="nil"/>
              <w:left w:val="nil"/>
              <w:bottom w:val="nil"/>
              <w:right w:val="nil"/>
              <w:tl2br w:val="nil"/>
              <w:tr2bl w:val="nil"/>
            </w:tcBorders>
            <w:noWrap/>
            <w:tcMar>
              <w:left w:w="0" w:type="dxa"/>
              <w:right w:w="0" w:type="dxa"/>
            </w:tcMar>
            <w:vAlign w:val="bottom"/>
          </w:tcPr>
          <w:p w14:paraId="71F3F3A6" w14:textId="77777777" w:rsidR="00510CAA" w:rsidRDefault="003A4815">
            <w:pPr>
              <w:keepNext/>
              <w:rPr>
                <w:rFonts w:ascii="Arial" w:eastAsia="Arial" w:hAnsi="Arial" w:cs="Arial"/>
                <w:color w:val="000000"/>
                <w:sz w:val="18"/>
              </w:rPr>
            </w:pPr>
            <w:r>
              <w:rPr>
                <w:rFonts w:ascii="Arial" w:eastAsia="Arial" w:hAnsi="Arial" w:cs="Arial"/>
                <w:color w:val="000000"/>
                <w:sz w:val="18"/>
              </w:rPr>
              <w:t>(Expressed in thousands of U.S. Dollars)</w:t>
            </w:r>
          </w:p>
        </w:tc>
        <w:tc>
          <w:tcPr>
            <w:tcW w:w="1440" w:type="dxa"/>
            <w:tcBorders>
              <w:top w:val="nil"/>
              <w:left w:val="nil"/>
              <w:bottom w:val="nil"/>
              <w:right w:val="nil"/>
              <w:tl2br w:val="nil"/>
              <w:tr2bl w:val="nil"/>
            </w:tcBorders>
            <w:tcMar>
              <w:left w:w="0" w:type="dxa"/>
              <w:right w:w="0" w:type="dxa"/>
            </w:tcMar>
            <w:vAlign w:val="bottom"/>
          </w:tcPr>
          <w:p w14:paraId="71F3F3A7"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3A8" w14:textId="77777777" w:rsidR="00510CAA" w:rsidRDefault="00510CAA">
            <w:pPr>
              <w:keepNext/>
              <w:rPr>
                <w:rFonts w:ascii="Arial" w:eastAsia="Arial" w:hAnsi="Arial" w:cs="Arial"/>
                <w:color w:val="000000"/>
                <w:sz w:val="16"/>
              </w:rPr>
            </w:pPr>
          </w:p>
        </w:tc>
        <w:tc>
          <w:tcPr>
            <w:tcW w:w="1440" w:type="dxa"/>
            <w:tcBorders>
              <w:top w:val="nil"/>
              <w:left w:val="nil"/>
              <w:bottom w:val="nil"/>
              <w:right w:val="nil"/>
              <w:tl2br w:val="nil"/>
              <w:tr2bl w:val="nil"/>
            </w:tcBorders>
            <w:tcMar>
              <w:left w:w="0" w:type="dxa"/>
              <w:right w:w="0" w:type="dxa"/>
            </w:tcMar>
            <w:vAlign w:val="bottom"/>
          </w:tcPr>
          <w:p w14:paraId="71F3F3A9" w14:textId="77777777" w:rsidR="00510CAA" w:rsidRDefault="00510CAA">
            <w:pPr>
              <w:keepNext/>
              <w:rPr>
                <w:rFonts w:ascii="Arial" w:eastAsia="Arial" w:hAnsi="Arial" w:cs="Arial"/>
                <w:color w:val="000000"/>
                <w:sz w:val="18"/>
              </w:rPr>
            </w:pPr>
          </w:p>
        </w:tc>
      </w:tr>
      <w:tr w:rsidR="00510CAA" w14:paraId="71F3F3B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3AB" w14:textId="77777777" w:rsidR="00510CAA" w:rsidRDefault="00510CAA">
            <w:pPr>
              <w:keepNext/>
              <w:jc w:val="center"/>
              <w:rPr>
                <w:rFonts w:ascii="Arial" w:eastAsia="Arial" w:hAnsi="Arial" w:cs="Arial"/>
                <w:b/>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AC" w14:textId="77777777" w:rsidR="00510CAA" w:rsidRDefault="00510CAA">
            <w:pPr>
              <w:keepNext/>
              <w:jc w:val="center"/>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AD" w14:textId="77777777" w:rsidR="00510CAA" w:rsidRDefault="00510CAA">
            <w:pPr>
              <w:keepNext/>
              <w:jc w:val="center"/>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3AE" w14:textId="77777777" w:rsidR="00510CAA" w:rsidRDefault="00510CAA">
            <w:pPr>
              <w:keepNext/>
              <w:jc w:val="right"/>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3AF"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2025</w:t>
            </w:r>
          </w:p>
        </w:tc>
        <w:tc>
          <w:tcPr>
            <w:tcW w:w="180" w:type="dxa"/>
            <w:tcBorders>
              <w:top w:val="nil"/>
              <w:left w:val="nil"/>
              <w:bottom w:val="nil"/>
              <w:right w:val="nil"/>
              <w:tl2br w:val="nil"/>
              <w:tr2bl w:val="nil"/>
            </w:tcBorders>
            <w:noWrap/>
            <w:tcMar>
              <w:left w:w="0" w:type="dxa"/>
              <w:right w:w="0" w:type="dxa"/>
            </w:tcMar>
            <w:vAlign w:val="bottom"/>
          </w:tcPr>
          <w:p w14:paraId="71F3F3B0"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3B1"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2024</w:t>
            </w:r>
          </w:p>
        </w:tc>
        <w:tc>
          <w:tcPr>
            <w:tcW w:w="180" w:type="dxa"/>
            <w:tcBorders>
              <w:top w:val="nil"/>
              <w:left w:val="nil"/>
              <w:bottom w:val="nil"/>
              <w:right w:val="nil"/>
              <w:tl2br w:val="nil"/>
              <w:tr2bl w:val="nil"/>
            </w:tcBorders>
            <w:tcMar>
              <w:left w:w="0" w:type="dxa"/>
              <w:right w:w="0" w:type="dxa"/>
            </w:tcMar>
            <w:vAlign w:val="bottom"/>
          </w:tcPr>
          <w:p w14:paraId="71F3F3B2" w14:textId="77777777" w:rsidR="00510CAA" w:rsidRDefault="00510CAA">
            <w:pPr>
              <w:keepNext/>
              <w:jc w:val="center"/>
              <w:rPr>
                <w:rFonts w:ascii="Arial" w:eastAsia="Arial" w:hAnsi="Arial" w:cs="Arial"/>
                <w:b/>
                <w:color w:val="000000"/>
                <w:sz w:val="16"/>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3B3"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2023</w:t>
            </w:r>
          </w:p>
        </w:tc>
      </w:tr>
      <w:tr w:rsidR="00510CAA" w14:paraId="71F3F3B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5655" w:type="dxa"/>
            <w:gridSpan w:val="3"/>
            <w:tcBorders>
              <w:top w:val="nil"/>
              <w:left w:val="nil"/>
              <w:bottom w:val="nil"/>
              <w:right w:val="nil"/>
              <w:tl2br w:val="nil"/>
              <w:tr2bl w:val="nil"/>
            </w:tcBorders>
            <w:tcMar>
              <w:left w:w="0" w:type="dxa"/>
              <w:right w:w="0" w:type="dxa"/>
            </w:tcMar>
            <w:vAlign w:val="bottom"/>
          </w:tcPr>
          <w:p w14:paraId="71F3F3B5"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 xml:space="preserve"> Cash Flows from Operating Activities: </w:t>
            </w:r>
          </w:p>
        </w:tc>
        <w:tc>
          <w:tcPr>
            <w:tcW w:w="180" w:type="dxa"/>
            <w:tcBorders>
              <w:top w:val="nil"/>
              <w:left w:val="nil"/>
              <w:bottom w:val="nil"/>
              <w:right w:val="nil"/>
              <w:tl2br w:val="nil"/>
              <w:tr2bl w:val="nil"/>
            </w:tcBorders>
            <w:noWrap/>
            <w:tcMar>
              <w:left w:w="0" w:type="dxa"/>
              <w:right w:w="0" w:type="dxa"/>
            </w:tcMar>
            <w:vAlign w:val="bottom"/>
          </w:tcPr>
          <w:p w14:paraId="71F3F3B6" w14:textId="77777777" w:rsidR="00510CAA" w:rsidRDefault="00510CAA">
            <w:pPr>
              <w:keepNext/>
              <w:jc w:val="right"/>
              <w:rPr>
                <w:rFonts w:ascii="Arial" w:eastAsia="Arial" w:hAnsi="Arial" w:cs="Arial"/>
                <w:b/>
                <w:color w:val="000000"/>
                <w:sz w:val="18"/>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3B7"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3B8" w14:textId="77777777" w:rsidR="00510CAA" w:rsidRDefault="00510CAA">
            <w:pPr>
              <w:keepNext/>
              <w:jc w:val="right"/>
              <w:rPr>
                <w:rFonts w:ascii="Arial" w:eastAsia="Arial" w:hAnsi="Arial" w:cs="Arial"/>
                <w:b/>
                <w:color w:val="000000"/>
                <w:sz w:val="18"/>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3B9"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tcMar>
              <w:left w:w="0" w:type="dxa"/>
              <w:right w:w="0" w:type="dxa"/>
            </w:tcMar>
            <w:vAlign w:val="bottom"/>
          </w:tcPr>
          <w:p w14:paraId="71F3F3BA" w14:textId="77777777" w:rsidR="00510CAA" w:rsidRDefault="00510CAA">
            <w:pPr>
              <w:keepNext/>
              <w:jc w:val="right"/>
              <w:rPr>
                <w:rFonts w:ascii="Arial" w:eastAsia="Arial" w:hAnsi="Arial" w:cs="Arial"/>
                <w:b/>
                <w:color w:val="000000"/>
                <w:sz w:val="16"/>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3BB" w14:textId="77777777" w:rsidR="00510CAA" w:rsidRDefault="00510CAA">
            <w:pPr>
              <w:keepNext/>
              <w:jc w:val="right"/>
              <w:rPr>
                <w:rFonts w:ascii="Arial" w:eastAsia="Arial" w:hAnsi="Arial" w:cs="Arial"/>
                <w:color w:val="000000"/>
                <w:sz w:val="18"/>
              </w:rPr>
            </w:pPr>
          </w:p>
        </w:tc>
      </w:tr>
      <w:tr w:rsidR="00510CAA" w14:paraId="71F3F3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3BD"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3BE"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Net income</w:t>
            </w:r>
          </w:p>
        </w:tc>
        <w:tc>
          <w:tcPr>
            <w:tcW w:w="180" w:type="dxa"/>
            <w:tcBorders>
              <w:top w:val="nil"/>
              <w:left w:val="nil"/>
              <w:bottom w:val="nil"/>
              <w:right w:val="nil"/>
              <w:tl2br w:val="nil"/>
              <w:tr2bl w:val="nil"/>
            </w:tcBorders>
            <w:noWrap/>
            <w:tcMar>
              <w:left w:w="0" w:type="dxa"/>
              <w:right w:w="0" w:type="dxa"/>
            </w:tcMar>
            <w:vAlign w:val="bottom"/>
          </w:tcPr>
          <w:p w14:paraId="71F3F3B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3C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17,827</w:t>
            </w:r>
          </w:p>
        </w:tc>
        <w:tc>
          <w:tcPr>
            <w:tcW w:w="180" w:type="dxa"/>
            <w:tcBorders>
              <w:top w:val="nil"/>
              <w:left w:val="nil"/>
              <w:bottom w:val="nil"/>
              <w:right w:val="nil"/>
              <w:tl2br w:val="nil"/>
              <w:tr2bl w:val="nil"/>
            </w:tcBorders>
            <w:noWrap/>
            <w:tcMar>
              <w:left w:w="0" w:type="dxa"/>
              <w:right w:w="60" w:type="dxa"/>
            </w:tcMar>
            <w:vAlign w:val="bottom"/>
          </w:tcPr>
          <w:p w14:paraId="71F3F3C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3C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12,746</w:t>
            </w:r>
          </w:p>
        </w:tc>
        <w:tc>
          <w:tcPr>
            <w:tcW w:w="180" w:type="dxa"/>
            <w:tcBorders>
              <w:top w:val="nil"/>
              <w:left w:val="nil"/>
              <w:bottom w:val="nil"/>
              <w:right w:val="nil"/>
              <w:tl2br w:val="nil"/>
              <w:tr2bl w:val="nil"/>
            </w:tcBorders>
            <w:noWrap/>
            <w:tcMar>
              <w:left w:w="0" w:type="dxa"/>
              <w:right w:w="60" w:type="dxa"/>
            </w:tcMar>
            <w:vAlign w:val="bottom"/>
          </w:tcPr>
          <w:p w14:paraId="71F3F3C3"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nil"/>
              <w:left w:val="nil"/>
              <w:bottom w:val="nil"/>
              <w:right w:val="nil"/>
              <w:tl2br w:val="nil"/>
              <w:tr2bl w:val="nil"/>
            </w:tcBorders>
            <w:noWrap/>
            <w:tcMar>
              <w:left w:w="0" w:type="dxa"/>
              <w:right w:w="60" w:type="dxa"/>
            </w:tcMar>
            <w:vAlign w:val="bottom"/>
          </w:tcPr>
          <w:p w14:paraId="71F3F3C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49,844</w:t>
            </w:r>
          </w:p>
        </w:tc>
      </w:tr>
      <w:tr w:rsidR="00510CAA" w14:paraId="71F3F3C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05"/>
        </w:trPr>
        <w:tc>
          <w:tcPr>
            <w:tcW w:w="90" w:type="dxa"/>
            <w:tcBorders>
              <w:top w:val="nil"/>
              <w:left w:val="nil"/>
              <w:bottom w:val="nil"/>
              <w:right w:val="nil"/>
              <w:tl2br w:val="nil"/>
              <w:tr2bl w:val="nil"/>
            </w:tcBorders>
            <w:tcMar>
              <w:left w:w="0" w:type="dxa"/>
              <w:right w:w="0" w:type="dxa"/>
            </w:tcMar>
            <w:vAlign w:val="bottom"/>
          </w:tcPr>
          <w:p w14:paraId="71F3F3C6"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noWrap/>
            <w:tcMar>
              <w:left w:w="0" w:type="dxa"/>
              <w:right w:w="0" w:type="dxa"/>
            </w:tcMar>
            <w:vAlign w:val="bottom"/>
          </w:tcPr>
          <w:p w14:paraId="71F3F3C7"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Adjustments to reconcile net income to cash provided by operating activities</w:t>
            </w:r>
          </w:p>
        </w:tc>
        <w:tc>
          <w:tcPr>
            <w:tcW w:w="180" w:type="dxa"/>
            <w:tcBorders>
              <w:top w:val="nil"/>
              <w:left w:val="nil"/>
              <w:bottom w:val="nil"/>
              <w:right w:val="nil"/>
              <w:tl2br w:val="nil"/>
              <w:tr2bl w:val="nil"/>
            </w:tcBorders>
            <w:noWrap/>
            <w:tcMar>
              <w:left w:w="0" w:type="dxa"/>
              <w:right w:w="0" w:type="dxa"/>
            </w:tcMar>
            <w:vAlign w:val="bottom"/>
          </w:tcPr>
          <w:p w14:paraId="71F3F3C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3C9"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3C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3CB"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3CC"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3CD" w14:textId="77777777" w:rsidR="00510CAA" w:rsidRDefault="00510CAA">
            <w:pPr>
              <w:keepNext/>
              <w:jc w:val="right"/>
              <w:rPr>
                <w:rFonts w:ascii="Arial" w:eastAsia="Arial" w:hAnsi="Arial" w:cs="Arial"/>
                <w:color w:val="000000"/>
                <w:sz w:val="18"/>
              </w:rPr>
            </w:pPr>
          </w:p>
        </w:tc>
      </w:tr>
      <w:tr w:rsidR="00510CAA" w14:paraId="71F3F3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3CF"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D0"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D1"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Depreciation and amortization of deferred charges</w:t>
            </w:r>
          </w:p>
        </w:tc>
        <w:tc>
          <w:tcPr>
            <w:tcW w:w="180" w:type="dxa"/>
            <w:tcBorders>
              <w:top w:val="nil"/>
              <w:left w:val="nil"/>
              <w:bottom w:val="nil"/>
              <w:right w:val="nil"/>
              <w:tl2br w:val="nil"/>
              <w:tr2bl w:val="nil"/>
            </w:tcBorders>
            <w:noWrap/>
            <w:tcMar>
              <w:left w:w="0" w:type="dxa"/>
              <w:right w:w="0" w:type="dxa"/>
            </w:tcMar>
            <w:vAlign w:val="bottom"/>
          </w:tcPr>
          <w:p w14:paraId="71F3F3D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D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46,525</w:t>
            </w:r>
          </w:p>
        </w:tc>
        <w:tc>
          <w:tcPr>
            <w:tcW w:w="180" w:type="dxa"/>
            <w:tcBorders>
              <w:top w:val="nil"/>
              <w:left w:val="nil"/>
              <w:bottom w:val="nil"/>
              <w:right w:val="nil"/>
              <w:tl2br w:val="nil"/>
              <w:tr2bl w:val="nil"/>
            </w:tcBorders>
            <w:noWrap/>
            <w:tcMar>
              <w:left w:w="0" w:type="dxa"/>
              <w:right w:w="0" w:type="dxa"/>
            </w:tcMar>
            <w:vAlign w:val="bottom"/>
          </w:tcPr>
          <w:p w14:paraId="71F3F3D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D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44,691</w:t>
            </w:r>
          </w:p>
        </w:tc>
        <w:tc>
          <w:tcPr>
            <w:tcW w:w="180" w:type="dxa"/>
            <w:tcBorders>
              <w:top w:val="nil"/>
              <w:left w:val="nil"/>
              <w:bottom w:val="nil"/>
              <w:right w:val="nil"/>
              <w:tl2br w:val="nil"/>
              <w:tr2bl w:val="nil"/>
            </w:tcBorders>
            <w:noWrap/>
            <w:tcMar>
              <w:left w:w="0" w:type="dxa"/>
              <w:right w:w="0" w:type="dxa"/>
            </w:tcMar>
            <w:vAlign w:val="bottom"/>
          </w:tcPr>
          <w:p w14:paraId="71F3F3D6"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3D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49,785</w:t>
            </w:r>
          </w:p>
        </w:tc>
      </w:tr>
      <w:tr w:rsidR="00510CAA" w14:paraId="71F3F3E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3D9"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DA"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D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Amortization of debt issuance costs (Note 12)</w:t>
            </w:r>
          </w:p>
        </w:tc>
        <w:tc>
          <w:tcPr>
            <w:tcW w:w="180" w:type="dxa"/>
            <w:tcBorders>
              <w:top w:val="nil"/>
              <w:left w:val="nil"/>
              <w:bottom w:val="nil"/>
              <w:right w:val="nil"/>
              <w:tl2br w:val="nil"/>
              <w:tr2bl w:val="nil"/>
            </w:tcBorders>
            <w:noWrap/>
            <w:tcMar>
              <w:left w:w="0" w:type="dxa"/>
              <w:right w:w="0" w:type="dxa"/>
            </w:tcMar>
            <w:vAlign w:val="bottom"/>
          </w:tcPr>
          <w:p w14:paraId="71F3F3D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D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2,139</w:t>
            </w:r>
          </w:p>
        </w:tc>
        <w:tc>
          <w:tcPr>
            <w:tcW w:w="180" w:type="dxa"/>
            <w:tcBorders>
              <w:top w:val="nil"/>
              <w:left w:val="nil"/>
              <w:bottom w:val="nil"/>
              <w:right w:val="nil"/>
              <w:tl2br w:val="nil"/>
              <w:tr2bl w:val="nil"/>
            </w:tcBorders>
            <w:noWrap/>
            <w:tcMar>
              <w:left w:w="0" w:type="dxa"/>
              <w:right w:w="0" w:type="dxa"/>
            </w:tcMar>
            <w:vAlign w:val="bottom"/>
          </w:tcPr>
          <w:p w14:paraId="71F3F3D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D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2,372</w:t>
            </w:r>
          </w:p>
        </w:tc>
        <w:tc>
          <w:tcPr>
            <w:tcW w:w="180" w:type="dxa"/>
            <w:tcBorders>
              <w:top w:val="nil"/>
              <w:left w:val="nil"/>
              <w:bottom w:val="nil"/>
              <w:right w:val="nil"/>
              <w:tl2br w:val="nil"/>
              <w:tr2bl w:val="nil"/>
            </w:tcBorders>
            <w:noWrap/>
            <w:tcMar>
              <w:left w:w="0" w:type="dxa"/>
              <w:right w:w="0" w:type="dxa"/>
            </w:tcMar>
            <w:vAlign w:val="bottom"/>
          </w:tcPr>
          <w:p w14:paraId="71F3F3E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3E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2,620</w:t>
            </w:r>
          </w:p>
        </w:tc>
      </w:tr>
      <w:tr w:rsidR="00510CAA" w14:paraId="71F3F3E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3E3"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E4"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E5"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Compensation cost on restricted stock (Note 11(i))</w:t>
            </w:r>
          </w:p>
        </w:tc>
        <w:tc>
          <w:tcPr>
            <w:tcW w:w="180" w:type="dxa"/>
            <w:tcBorders>
              <w:top w:val="nil"/>
              <w:left w:val="nil"/>
              <w:bottom w:val="nil"/>
              <w:right w:val="nil"/>
              <w:tl2br w:val="nil"/>
              <w:tr2bl w:val="nil"/>
            </w:tcBorders>
            <w:noWrap/>
            <w:tcMar>
              <w:left w:w="0" w:type="dxa"/>
              <w:right w:w="0" w:type="dxa"/>
            </w:tcMar>
            <w:vAlign w:val="bottom"/>
          </w:tcPr>
          <w:p w14:paraId="71F3F3E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E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9,605</w:t>
            </w:r>
          </w:p>
        </w:tc>
        <w:tc>
          <w:tcPr>
            <w:tcW w:w="180" w:type="dxa"/>
            <w:tcBorders>
              <w:top w:val="nil"/>
              <w:left w:val="nil"/>
              <w:bottom w:val="nil"/>
              <w:right w:val="nil"/>
              <w:tl2br w:val="nil"/>
              <w:tr2bl w:val="nil"/>
            </w:tcBorders>
            <w:noWrap/>
            <w:tcMar>
              <w:left w:w="0" w:type="dxa"/>
              <w:right w:w="0" w:type="dxa"/>
            </w:tcMar>
            <w:vAlign w:val="bottom"/>
          </w:tcPr>
          <w:p w14:paraId="71F3F3E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E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10,012</w:t>
            </w:r>
          </w:p>
        </w:tc>
        <w:tc>
          <w:tcPr>
            <w:tcW w:w="180" w:type="dxa"/>
            <w:tcBorders>
              <w:top w:val="nil"/>
              <w:left w:val="nil"/>
              <w:bottom w:val="nil"/>
              <w:right w:val="nil"/>
              <w:tl2br w:val="nil"/>
              <w:tr2bl w:val="nil"/>
            </w:tcBorders>
            <w:noWrap/>
            <w:tcMar>
              <w:left w:w="0" w:type="dxa"/>
              <w:right w:w="0" w:type="dxa"/>
            </w:tcMar>
            <w:vAlign w:val="bottom"/>
          </w:tcPr>
          <w:p w14:paraId="71F3F3EA"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3E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9,938</w:t>
            </w:r>
          </w:p>
        </w:tc>
      </w:tr>
      <w:tr w:rsidR="00510CAA" w14:paraId="71F3F3F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3ED"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EE"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EF"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Dividend income</w:t>
            </w:r>
          </w:p>
        </w:tc>
        <w:tc>
          <w:tcPr>
            <w:tcW w:w="180" w:type="dxa"/>
            <w:tcBorders>
              <w:top w:val="nil"/>
              <w:left w:val="nil"/>
              <w:bottom w:val="nil"/>
              <w:right w:val="nil"/>
              <w:tl2br w:val="nil"/>
              <w:tr2bl w:val="nil"/>
            </w:tcBorders>
            <w:noWrap/>
            <w:tcMar>
              <w:left w:w="0" w:type="dxa"/>
              <w:right w:w="0" w:type="dxa"/>
            </w:tcMar>
            <w:vAlign w:val="bottom"/>
          </w:tcPr>
          <w:p w14:paraId="71F3F3F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F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3F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F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3F4"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3F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w:t>
            </w:r>
          </w:p>
        </w:tc>
      </w:tr>
      <w:tr w:rsidR="00510CAA" w14:paraId="71F3F40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3F7"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3F8"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3F9"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Pension and other postretirement benefits</w:t>
            </w:r>
          </w:p>
        </w:tc>
        <w:tc>
          <w:tcPr>
            <w:tcW w:w="180" w:type="dxa"/>
            <w:tcBorders>
              <w:top w:val="nil"/>
              <w:left w:val="nil"/>
              <w:bottom w:val="nil"/>
              <w:right w:val="nil"/>
              <w:tl2br w:val="nil"/>
              <w:tr2bl w:val="nil"/>
            </w:tcBorders>
            <w:noWrap/>
            <w:tcMar>
              <w:left w:w="0" w:type="dxa"/>
              <w:right w:w="0" w:type="dxa"/>
            </w:tcMar>
            <w:vAlign w:val="bottom"/>
          </w:tcPr>
          <w:p w14:paraId="71F3F3F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F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w:t>
            </w:r>
          </w:p>
        </w:tc>
        <w:tc>
          <w:tcPr>
            <w:tcW w:w="180" w:type="dxa"/>
            <w:tcBorders>
              <w:top w:val="nil"/>
              <w:left w:val="nil"/>
              <w:bottom w:val="nil"/>
              <w:right w:val="nil"/>
              <w:tl2br w:val="nil"/>
              <w:tr2bl w:val="nil"/>
            </w:tcBorders>
            <w:noWrap/>
            <w:tcMar>
              <w:left w:w="0" w:type="dxa"/>
              <w:right w:w="0" w:type="dxa"/>
            </w:tcMar>
            <w:vAlign w:val="bottom"/>
          </w:tcPr>
          <w:p w14:paraId="71F3F3F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3F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w:t>
            </w:r>
          </w:p>
        </w:tc>
        <w:tc>
          <w:tcPr>
            <w:tcW w:w="180" w:type="dxa"/>
            <w:tcBorders>
              <w:top w:val="nil"/>
              <w:left w:val="nil"/>
              <w:bottom w:val="nil"/>
              <w:right w:val="nil"/>
              <w:tl2br w:val="nil"/>
              <w:tr2bl w:val="nil"/>
            </w:tcBorders>
            <w:noWrap/>
            <w:tcMar>
              <w:left w:w="0" w:type="dxa"/>
              <w:right w:w="0" w:type="dxa"/>
            </w:tcMar>
            <w:vAlign w:val="bottom"/>
          </w:tcPr>
          <w:p w14:paraId="71F3F3FE"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3F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55</w:t>
            </w:r>
          </w:p>
        </w:tc>
      </w:tr>
      <w:tr w:rsidR="00510CAA" w14:paraId="71F3F40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01"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02"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03"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(Gain)/loss on derivative instruments (Note 8)</w:t>
            </w:r>
          </w:p>
        </w:tc>
        <w:tc>
          <w:tcPr>
            <w:tcW w:w="180" w:type="dxa"/>
            <w:tcBorders>
              <w:top w:val="nil"/>
              <w:left w:val="nil"/>
              <w:bottom w:val="nil"/>
              <w:right w:val="nil"/>
              <w:tl2br w:val="nil"/>
              <w:tr2bl w:val="nil"/>
            </w:tcBorders>
            <w:noWrap/>
            <w:tcMar>
              <w:left w:w="0" w:type="dxa"/>
              <w:right w:w="0" w:type="dxa"/>
            </w:tcMar>
            <w:vAlign w:val="bottom"/>
          </w:tcPr>
          <w:p w14:paraId="71F3F40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0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196</w:t>
            </w:r>
          </w:p>
        </w:tc>
        <w:tc>
          <w:tcPr>
            <w:tcW w:w="180" w:type="dxa"/>
            <w:tcBorders>
              <w:top w:val="nil"/>
              <w:left w:val="nil"/>
              <w:bottom w:val="nil"/>
              <w:right w:val="nil"/>
              <w:tl2br w:val="nil"/>
              <w:tr2bl w:val="nil"/>
            </w:tcBorders>
            <w:noWrap/>
            <w:tcMar>
              <w:left w:w="0" w:type="dxa"/>
              <w:right w:w="0" w:type="dxa"/>
            </w:tcMar>
            <w:vAlign w:val="bottom"/>
          </w:tcPr>
          <w:p w14:paraId="71F3F40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0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(274)</w:t>
            </w:r>
          </w:p>
        </w:tc>
        <w:tc>
          <w:tcPr>
            <w:tcW w:w="180" w:type="dxa"/>
            <w:tcBorders>
              <w:top w:val="nil"/>
              <w:left w:val="nil"/>
              <w:bottom w:val="nil"/>
              <w:right w:val="nil"/>
              <w:tl2br w:val="nil"/>
              <w:tr2bl w:val="nil"/>
            </w:tcBorders>
            <w:noWrap/>
            <w:tcMar>
              <w:left w:w="0" w:type="dxa"/>
              <w:right w:w="0" w:type="dxa"/>
            </w:tcMar>
            <w:vAlign w:val="bottom"/>
          </w:tcPr>
          <w:p w14:paraId="71F3F408"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0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439</w:t>
            </w:r>
          </w:p>
        </w:tc>
      </w:tr>
      <w:tr w:rsidR="00510CAA" w14:paraId="71F3F41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0B"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0C"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0D"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Gain on sale of vessels (Note 6)</w:t>
            </w:r>
          </w:p>
        </w:tc>
        <w:tc>
          <w:tcPr>
            <w:tcW w:w="180" w:type="dxa"/>
            <w:tcBorders>
              <w:top w:val="nil"/>
              <w:left w:val="nil"/>
              <w:bottom w:val="nil"/>
              <w:right w:val="nil"/>
              <w:tl2br w:val="nil"/>
              <w:tr2bl w:val="nil"/>
            </w:tcBorders>
            <w:noWrap/>
            <w:tcMar>
              <w:left w:w="0" w:type="dxa"/>
              <w:right w:w="0" w:type="dxa"/>
            </w:tcMar>
            <w:vAlign w:val="bottom"/>
          </w:tcPr>
          <w:p w14:paraId="71F3F40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0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(3,663)</w:t>
            </w:r>
          </w:p>
        </w:tc>
        <w:tc>
          <w:tcPr>
            <w:tcW w:w="180" w:type="dxa"/>
            <w:tcBorders>
              <w:top w:val="nil"/>
              <w:left w:val="nil"/>
              <w:bottom w:val="nil"/>
              <w:right w:val="nil"/>
              <w:tl2br w:val="nil"/>
              <w:tr2bl w:val="nil"/>
            </w:tcBorders>
            <w:noWrap/>
            <w:tcMar>
              <w:left w:w="0" w:type="dxa"/>
              <w:right w:w="0" w:type="dxa"/>
            </w:tcMar>
            <w:vAlign w:val="bottom"/>
          </w:tcPr>
          <w:p w14:paraId="71F3F41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1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(5,799)</w:t>
            </w:r>
          </w:p>
        </w:tc>
        <w:tc>
          <w:tcPr>
            <w:tcW w:w="180" w:type="dxa"/>
            <w:tcBorders>
              <w:top w:val="nil"/>
              <w:left w:val="nil"/>
              <w:bottom w:val="nil"/>
              <w:right w:val="nil"/>
              <w:tl2br w:val="nil"/>
              <w:tr2bl w:val="nil"/>
            </w:tcBorders>
            <w:noWrap/>
            <w:tcMar>
              <w:left w:w="0" w:type="dxa"/>
              <w:right w:w="0" w:type="dxa"/>
            </w:tcMar>
            <w:vAlign w:val="bottom"/>
          </w:tcPr>
          <w:p w14:paraId="71F3F412"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1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(5,323)</w:t>
            </w:r>
          </w:p>
        </w:tc>
      </w:tr>
      <w:tr w:rsidR="00510CAA" w14:paraId="71F3F41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15"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16"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17" w14:textId="77777777" w:rsidR="00510CAA" w:rsidRDefault="003A4815">
            <w:pPr>
              <w:keepNext/>
              <w:rPr>
                <w:rFonts w:ascii="Arial" w:eastAsia="Arial" w:hAnsi="Arial" w:cs="Arial"/>
                <w:color w:val="000000"/>
                <w:sz w:val="18"/>
              </w:rPr>
            </w:pPr>
            <w:r>
              <w:rPr>
                <w:rFonts w:ascii="Arial" w:eastAsia="Arial" w:hAnsi="Arial" w:cs="Arial"/>
                <w:color w:val="000000"/>
                <w:sz w:val="18"/>
              </w:rPr>
              <w:t>(Gain)/loss on related party investments (Note 5)</w:t>
            </w:r>
          </w:p>
        </w:tc>
        <w:tc>
          <w:tcPr>
            <w:tcW w:w="180" w:type="dxa"/>
            <w:tcBorders>
              <w:top w:val="nil"/>
              <w:left w:val="nil"/>
              <w:bottom w:val="nil"/>
              <w:right w:val="nil"/>
              <w:tl2br w:val="nil"/>
              <w:tr2bl w:val="nil"/>
            </w:tcBorders>
            <w:noWrap/>
            <w:tcMar>
              <w:left w:w="0" w:type="dxa"/>
              <w:right w:w="0" w:type="dxa"/>
            </w:tcMar>
            <w:vAlign w:val="bottom"/>
          </w:tcPr>
          <w:p w14:paraId="71F3F41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1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1,072</w:t>
            </w:r>
          </w:p>
        </w:tc>
        <w:tc>
          <w:tcPr>
            <w:tcW w:w="180" w:type="dxa"/>
            <w:tcBorders>
              <w:top w:val="nil"/>
              <w:left w:val="nil"/>
              <w:bottom w:val="nil"/>
              <w:right w:val="nil"/>
              <w:tl2br w:val="nil"/>
              <w:tr2bl w:val="nil"/>
            </w:tcBorders>
            <w:noWrap/>
            <w:tcMar>
              <w:left w:w="0" w:type="dxa"/>
              <w:right w:w="0" w:type="dxa"/>
            </w:tcMar>
            <w:vAlign w:val="bottom"/>
          </w:tcPr>
          <w:p w14:paraId="71F3F41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1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3,905</w:t>
            </w:r>
          </w:p>
        </w:tc>
        <w:tc>
          <w:tcPr>
            <w:tcW w:w="180" w:type="dxa"/>
            <w:tcBorders>
              <w:top w:val="nil"/>
              <w:left w:val="nil"/>
              <w:bottom w:val="nil"/>
              <w:right w:val="nil"/>
              <w:tl2br w:val="nil"/>
              <w:tr2bl w:val="nil"/>
            </w:tcBorders>
            <w:noWrap/>
            <w:tcMar>
              <w:left w:w="0" w:type="dxa"/>
              <w:right w:w="0" w:type="dxa"/>
            </w:tcMar>
            <w:vAlign w:val="bottom"/>
          </w:tcPr>
          <w:p w14:paraId="71F3F41C"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1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(1,502)</w:t>
            </w:r>
          </w:p>
        </w:tc>
      </w:tr>
      <w:tr w:rsidR="00510CAA" w14:paraId="71F3F4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noWrap/>
            <w:tcMar>
              <w:left w:w="0" w:type="dxa"/>
              <w:right w:w="0" w:type="dxa"/>
            </w:tcMar>
            <w:vAlign w:val="bottom"/>
          </w:tcPr>
          <w:p w14:paraId="71F3F41F"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420"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21"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Loss on extinguishment of debt</w:t>
            </w:r>
          </w:p>
        </w:tc>
        <w:tc>
          <w:tcPr>
            <w:tcW w:w="180" w:type="dxa"/>
            <w:tcBorders>
              <w:top w:val="nil"/>
              <w:left w:val="nil"/>
              <w:bottom w:val="nil"/>
              <w:right w:val="nil"/>
              <w:tl2br w:val="nil"/>
              <w:tr2bl w:val="nil"/>
            </w:tcBorders>
            <w:noWrap/>
            <w:tcMar>
              <w:left w:w="0" w:type="dxa"/>
              <w:right w:w="0" w:type="dxa"/>
            </w:tcMar>
            <w:vAlign w:val="bottom"/>
          </w:tcPr>
          <w:p w14:paraId="71F3F42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2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2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2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3,475</w:t>
            </w:r>
          </w:p>
        </w:tc>
        <w:tc>
          <w:tcPr>
            <w:tcW w:w="180" w:type="dxa"/>
            <w:tcBorders>
              <w:top w:val="nil"/>
              <w:left w:val="nil"/>
              <w:bottom w:val="nil"/>
              <w:right w:val="nil"/>
              <w:tl2br w:val="nil"/>
              <w:tr2bl w:val="nil"/>
            </w:tcBorders>
            <w:noWrap/>
            <w:tcMar>
              <w:left w:w="0" w:type="dxa"/>
              <w:right w:w="0" w:type="dxa"/>
            </w:tcMar>
            <w:vAlign w:val="bottom"/>
          </w:tcPr>
          <w:p w14:paraId="71F3F426"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2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748</w:t>
            </w:r>
          </w:p>
        </w:tc>
      </w:tr>
      <w:tr w:rsidR="00510CAA" w14:paraId="71F3F43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noWrap/>
            <w:tcMar>
              <w:left w:w="0" w:type="dxa"/>
              <w:right w:w="0" w:type="dxa"/>
            </w:tcMar>
            <w:vAlign w:val="bottom"/>
          </w:tcPr>
          <w:p w14:paraId="71F3F429"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42A"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2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Gain on deconsolidation of subsidiary</w:t>
            </w:r>
          </w:p>
        </w:tc>
        <w:tc>
          <w:tcPr>
            <w:tcW w:w="180" w:type="dxa"/>
            <w:tcBorders>
              <w:top w:val="nil"/>
              <w:left w:val="nil"/>
              <w:bottom w:val="nil"/>
              <w:right w:val="nil"/>
              <w:tl2br w:val="nil"/>
              <w:tr2bl w:val="nil"/>
            </w:tcBorders>
            <w:noWrap/>
            <w:tcMar>
              <w:left w:w="0" w:type="dxa"/>
              <w:right w:w="0" w:type="dxa"/>
            </w:tcMar>
            <w:vAlign w:val="bottom"/>
          </w:tcPr>
          <w:p w14:paraId="71F3F42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2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2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2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3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3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(844)</w:t>
            </w:r>
          </w:p>
        </w:tc>
      </w:tr>
      <w:tr w:rsidR="00510CAA" w14:paraId="71F3F43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33"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34"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35" w14:textId="77777777" w:rsidR="00510CAA" w:rsidRDefault="003A4815">
            <w:pPr>
              <w:keepNext/>
              <w:rPr>
                <w:rFonts w:ascii="Arial" w:eastAsia="Arial" w:hAnsi="Arial" w:cs="Arial"/>
                <w:color w:val="000000"/>
                <w:sz w:val="18"/>
              </w:rPr>
            </w:pPr>
            <w:r>
              <w:rPr>
                <w:rFonts w:ascii="Arial" w:eastAsia="Arial" w:hAnsi="Arial" w:cs="Arial"/>
                <w:color w:val="000000"/>
                <w:sz w:val="18"/>
              </w:rPr>
              <w:t>Loss from equity method investments, net of dividend (Note 4)</w:t>
            </w:r>
          </w:p>
        </w:tc>
        <w:tc>
          <w:tcPr>
            <w:tcW w:w="180" w:type="dxa"/>
            <w:tcBorders>
              <w:top w:val="nil"/>
              <w:left w:val="nil"/>
              <w:bottom w:val="nil"/>
              <w:right w:val="nil"/>
              <w:tl2br w:val="nil"/>
              <w:tr2bl w:val="nil"/>
            </w:tcBorders>
            <w:noWrap/>
            <w:tcMar>
              <w:left w:w="0" w:type="dxa"/>
              <w:right w:w="0" w:type="dxa"/>
            </w:tcMar>
            <w:vAlign w:val="bottom"/>
          </w:tcPr>
          <w:p w14:paraId="71F3F43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3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2,830</w:t>
            </w:r>
          </w:p>
        </w:tc>
        <w:tc>
          <w:tcPr>
            <w:tcW w:w="180" w:type="dxa"/>
            <w:tcBorders>
              <w:top w:val="nil"/>
              <w:left w:val="nil"/>
              <w:bottom w:val="nil"/>
              <w:right w:val="nil"/>
              <w:tl2br w:val="nil"/>
              <w:tr2bl w:val="nil"/>
            </w:tcBorders>
            <w:noWrap/>
            <w:tcMar>
              <w:left w:w="0" w:type="dxa"/>
              <w:right w:w="0" w:type="dxa"/>
            </w:tcMar>
            <w:vAlign w:val="bottom"/>
          </w:tcPr>
          <w:p w14:paraId="71F3F43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3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146</w:t>
            </w:r>
          </w:p>
        </w:tc>
        <w:tc>
          <w:tcPr>
            <w:tcW w:w="180" w:type="dxa"/>
            <w:tcBorders>
              <w:top w:val="nil"/>
              <w:left w:val="nil"/>
              <w:bottom w:val="nil"/>
              <w:right w:val="nil"/>
              <w:tl2br w:val="nil"/>
              <w:tr2bl w:val="nil"/>
            </w:tcBorders>
            <w:noWrap/>
            <w:tcMar>
              <w:left w:w="0" w:type="dxa"/>
              <w:right w:w="0" w:type="dxa"/>
            </w:tcMar>
            <w:vAlign w:val="bottom"/>
          </w:tcPr>
          <w:p w14:paraId="71F3F43A"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3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262</w:t>
            </w:r>
          </w:p>
        </w:tc>
      </w:tr>
      <w:tr w:rsidR="00510CAA" w14:paraId="71F3F44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3D"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3E"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3F" w14:textId="77777777" w:rsidR="00510CAA" w:rsidRDefault="003A4815">
            <w:pPr>
              <w:keepNext/>
              <w:rPr>
                <w:rFonts w:ascii="Arial" w:eastAsia="Arial" w:hAnsi="Arial" w:cs="Arial"/>
                <w:color w:val="000000"/>
                <w:sz w:val="18"/>
              </w:rPr>
            </w:pPr>
            <w:r>
              <w:rPr>
                <w:rFonts w:ascii="Arial" w:eastAsia="Arial" w:hAnsi="Arial" w:cs="Arial"/>
                <w:color w:val="000000"/>
                <w:sz w:val="18"/>
              </w:rPr>
              <w:t>(Gain)/loss on equity securities (Note 5(b))</w:t>
            </w:r>
          </w:p>
        </w:tc>
        <w:tc>
          <w:tcPr>
            <w:tcW w:w="180" w:type="dxa"/>
            <w:tcBorders>
              <w:top w:val="nil"/>
              <w:left w:val="nil"/>
              <w:bottom w:val="nil"/>
              <w:right w:val="nil"/>
              <w:tl2br w:val="nil"/>
              <w:tr2bl w:val="nil"/>
            </w:tcBorders>
            <w:noWrap/>
            <w:tcMar>
              <w:left w:w="0" w:type="dxa"/>
              <w:right w:w="0" w:type="dxa"/>
            </w:tcMar>
            <w:vAlign w:val="bottom"/>
          </w:tcPr>
          <w:p w14:paraId="71F3F44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4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(14,671)</w:t>
            </w:r>
          </w:p>
        </w:tc>
        <w:tc>
          <w:tcPr>
            <w:tcW w:w="180" w:type="dxa"/>
            <w:tcBorders>
              <w:top w:val="nil"/>
              <w:left w:val="nil"/>
              <w:bottom w:val="nil"/>
              <w:right w:val="nil"/>
              <w:tl2br w:val="nil"/>
              <w:tr2bl w:val="nil"/>
            </w:tcBorders>
            <w:noWrap/>
            <w:tcMar>
              <w:left w:w="0" w:type="dxa"/>
              <w:right w:w="0" w:type="dxa"/>
            </w:tcMar>
            <w:vAlign w:val="bottom"/>
          </w:tcPr>
          <w:p w14:paraId="71F3F44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4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400</w:t>
            </w:r>
          </w:p>
        </w:tc>
        <w:tc>
          <w:tcPr>
            <w:tcW w:w="180" w:type="dxa"/>
            <w:tcBorders>
              <w:top w:val="nil"/>
              <w:left w:val="nil"/>
              <w:bottom w:val="nil"/>
              <w:right w:val="nil"/>
              <w:tl2br w:val="nil"/>
              <w:tr2bl w:val="nil"/>
            </w:tcBorders>
            <w:noWrap/>
            <w:tcMar>
              <w:left w:w="0" w:type="dxa"/>
              <w:right w:w="0" w:type="dxa"/>
            </w:tcMar>
            <w:vAlign w:val="bottom"/>
          </w:tcPr>
          <w:p w14:paraId="71F3F444"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4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(2,813)</w:t>
            </w:r>
          </w:p>
        </w:tc>
      </w:tr>
      <w:tr w:rsidR="00510CAA" w14:paraId="71F3F4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47"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48"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49" w14:textId="77777777" w:rsidR="00510CAA" w:rsidRDefault="003A4815">
            <w:pPr>
              <w:keepNext/>
              <w:rPr>
                <w:rFonts w:ascii="Arial" w:eastAsia="Arial" w:hAnsi="Arial" w:cs="Arial"/>
                <w:color w:val="000000"/>
                <w:sz w:val="18"/>
              </w:rPr>
            </w:pPr>
            <w:r>
              <w:rPr>
                <w:rFonts w:ascii="Arial" w:eastAsia="Arial" w:hAnsi="Arial" w:cs="Arial"/>
                <w:color w:val="000000"/>
                <w:sz w:val="18"/>
              </w:rPr>
              <w:t>Gain on warrants (Note 11(h))</w:t>
            </w:r>
          </w:p>
        </w:tc>
        <w:tc>
          <w:tcPr>
            <w:tcW w:w="180" w:type="dxa"/>
            <w:tcBorders>
              <w:top w:val="nil"/>
              <w:left w:val="nil"/>
              <w:bottom w:val="nil"/>
              <w:right w:val="nil"/>
              <w:tl2br w:val="nil"/>
              <w:tr2bl w:val="nil"/>
            </w:tcBorders>
            <w:noWrap/>
            <w:tcMar>
              <w:left w:w="0" w:type="dxa"/>
              <w:right w:w="0" w:type="dxa"/>
            </w:tcMar>
            <w:vAlign w:val="bottom"/>
          </w:tcPr>
          <w:p w14:paraId="71F3F44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4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(490)</w:t>
            </w:r>
          </w:p>
        </w:tc>
        <w:tc>
          <w:tcPr>
            <w:tcW w:w="180" w:type="dxa"/>
            <w:tcBorders>
              <w:top w:val="nil"/>
              <w:left w:val="nil"/>
              <w:bottom w:val="nil"/>
              <w:right w:val="nil"/>
              <w:tl2br w:val="nil"/>
              <w:tr2bl w:val="nil"/>
            </w:tcBorders>
            <w:noWrap/>
            <w:tcMar>
              <w:left w:w="0" w:type="dxa"/>
              <w:right w:w="0" w:type="dxa"/>
            </w:tcMar>
            <w:vAlign w:val="bottom"/>
          </w:tcPr>
          <w:p w14:paraId="71F3F44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4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(719)</w:t>
            </w:r>
          </w:p>
        </w:tc>
        <w:tc>
          <w:tcPr>
            <w:tcW w:w="180" w:type="dxa"/>
            <w:tcBorders>
              <w:top w:val="nil"/>
              <w:left w:val="nil"/>
              <w:bottom w:val="nil"/>
              <w:right w:val="nil"/>
              <w:tl2br w:val="nil"/>
              <w:tr2bl w:val="nil"/>
            </w:tcBorders>
            <w:noWrap/>
            <w:tcMar>
              <w:left w:w="0" w:type="dxa"/>
              <w:right w:w="0" w:type="dxa"/>
            </w:tcMar>
            <w:vAlign w:val="bottom"/>
          </w:tcPr>
          <w:p w14:paraId="71F3F44E"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4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(1,583)</w:t>
            </w:r>
          </w:p>
        </w:tc>
      </w:tr>
      <w:tr w:rsidR="00510CAA" w14:paraId="71F3F45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51"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52"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(Increase) / Decrease</w:t>
            </w:r>
          </w:p>
        </w:tc>
        <w:tc>
          <w:tcPr>
            <w:tcW w:w="180" w:type="dxa"/>
            <w:tcBorders>
              <w:top w:val="nil"/>
              <w:left w:val="nil"/>
              <w:bottom w:val="nil"/>
              <w:right w:val="nil"/>
              <w:tl2br w:val="nil"/>
              <w:tr2bl w:val="nil"/>
            </w:tcBorders>
            <w:noWrap/>
            <w:tcMar>
              <w:left w:w="0" w:type="dxa"/>
              <w:right w:w="0" w:type="dxa"/>
            </w:tcMar>
            <w:vAlign w:val="bottom"/>
          </w:tcPr>
          <w:p w14:paraId="71F3F453"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54"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55"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56"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57"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58" w14:textId="77777777" w:rsidR="00510CAA" w:rsidRDefault="00510CAA">
            <w:pPr>
              <w:keepNext/>
              <w:jc w:val="right"/>
              <w:rPr>
                <w:rFonts w:ascii="Arial" w:eastAsia="Arial" w:hAnsi="Arial" w:cs="Arial"/>
                <w:color w:val="000000"/>
                <w:sz w:val="18"/>
              </w:rPr>
            </w:pPr>
          </w:p>
        </w:tc>
      </w:tr>
      <w:tr w:rsidR="00510CAA" w14:paraId="71F3F46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5A"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5B"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5C"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Accounts receivable, trade</w:t>
            </w:r>
          </w:p>
        </w:tc>
        <w:tc>
          <w:tcPr>
            <w:tcW w:w="180" w:type="dxa"/>
            <w:tcBorders>
              <w:top w:val="nil"/>
              <w:left w:val="nil"/>
              <w:bottom w:val="nil"/>
              <w:right w:val="nil"/>
              <w:tl2br w:val="nil"/>
              <w:tr2bl w:val="nil"/>
            </w:tcBorders>
            <w:noWrap/>
            <w:tcMar>
              <w:left w:w="0" w:type="dxa"/>
              <w:right w:w="0" w:type="dxa"/>
            </w:tcMar>
            <w:vAlign w:val="bottom"/>
          </w:tcPr>
          <w:p w14:paraId="71F3F45D"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5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2,826</w:t>
            </w:r>
          </w:p>
        </w:tc>
        <w:tc>
          <w:tcPr>
            <w:tcW w:w="180" w:type="dxa"/>
            <w:tcBorders>
              <w:top w:val="nil"/>
              <w:left w:val="nil"/>
              <w:bottom w:val="nil"/>
              <w:right w:val="nil"/>
              <w:tl2br w:val="nil"/>
              <w:tr2bl w:val="nil"/>
            </w:tcBorders>
            <w:noWrap/>
            <w:tcMar>
              <w:left w:w="0" w:type="dxa"/>
              <w:right w:w="0" w:type="dxa"/>
            </w:tcMar>
            <w:vAlign w:val="bottom"/>
          </w:tcPr>
          <w:p w14:paraId="71F3F45F"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6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(695)</w:t>
            </w:r>
          </w:p>
        </w:tc>
        <w:tc>
          <w:tcPr>
            <w:tcW w:w="180" w:type="dxa"/>
            <w:tcBorders>
              <w:top w:val="nil"/>
              <w:left w:val="nil"/>
              <w:bottom w:val="nil"/>
              <w:right w:val="nil"/>
              <w:tl2br w:val="nil"/>
              <w:tr2bl w:val="nil"/>
            </w:tcBorders>
            <w:noWrap/>
            <w:tcMar>
              <w:left w:w="0" w:type="dxa"/>
              <w:right w:w="0" w:type="dxa"/>
            </w:tcMar>
            <w:vAlign w:val="bottom"/>
          </w:tcPr>
          <w:p w14:paraId="71F3F461"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6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256</w:t>
            </w:r>
          </w:p>
        </w:tc>
      </w:tr>
      <w:tr w:rsidR="00510CAA" w14:paraId="71F3F46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64"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65"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66"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Due from related parties</w:t>
            </w:r>
          </w:p>
        </w:tc>
        <w:tc>
          <w:tcPr>
            <w:tcW w:w="180" w:type="dxa"/>
            <w:tcBorders>
              <w:top w:val="nil"/>
              <w:left w:val="nil"/>
              <w:bottom w:val="nil"/>
              <w:right w:val="nil"/>
              <w:tl2br w:val="nil"/>
              <w:tr2bl w:val="nil"/>
            </w:tcBorders>
            <w:noWrap/>
            <w:tcMar>
              <w:left w:w="0" w:type="dxa"/>
              <w:right w:w="0" w:type="dxa"/>
            </w:tcMar>
            <w:vAlign w:val="bottom"/>
          </w:tcPr>
          <w:p w14:paraId="71F3F467"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6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(808)</w:t>
            </w:r>
          </w:p>
        </w:tc>
        <w:tc>
          <w:tcPr>
            <w:tcW w:w="180" w:type="dxa"/>
            <w:tcBorders>
              <w:top w:val="nil"/>
              <w:left w:val="nil"/>
              <w:bottom w:val="nil"/>
              <w:right w:val="nil"/>
              <w:tl2br w:val="nil"/>
              <w:tr2bl w:val="nil"/>
            </w:tcBorders>
            <w:noWrap/>
            <w:tcMar>
              <w:left w:w="0" w:type="dxa"/>
              <w:right w:w="0" w:type="dxa"/>
            </w:tcMar>
            <w:vAlign w:val="bottom"/>
          </w:tcPr>
          <w:p w14:paraId="71F3F469"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6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119</w:t>
            </w:r>
          </w:p>
        </w:tc>
        <w:tc>
          <w:tcPr>
            <w:tcW w:w="180" w:type="dxa"/>
            <w:tcBorders>
              <w:top w:val="nil"/>
              <w:left w:val="nil"/>
              <w:bottom w:val="nil"/>
              <w:right w:val="nil"/>
              <w:tl2br w:val="nil"/>
              <w:tr2bl w:val="nil"/>
            </w:tcBorders>
            <w:noWrap/>
            <w:tcMar>
              <w:left w:w="0" w:type="dxa"/>
              <w:right w:w="0" w:type="dxa"/>
            </w:tcMar>
            <w:vAlign w:val="bottom"/>
          </w:tcPr>
          <w:p w14:paraId="71F3F46B"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6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(252)</w:t>
            </w:r>
          </w:p>
        </w:tc>
      </w:tr>
      <w:tr w:rsidR="00510CAA" w14:paraId="71F3F47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6E"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46F" w14:textId="77777777" w:rsidR="00510CAA" w:rsidRDefault="00510CAA">
            <w:pPr>
              <w:keepNext/>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70"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Inventories</w:t>
            </w:r>
          </w:p>
        </w:tc>
        <w:tc>
          <w:tcPr>
            <w:tcW w:w="180" w:type="dxa"/>
            <w:tcBorders>
              <w:top w:val="nil"/>
              <w:left w:val="nil"/>
              <w:bottom w:val="nil"/>
              <w:right w:val="nil"/>
              <w:tl2br w:val="nil"/>
              <w:tr2bl w:val="nil"/>
            </w:tcBorders>
            <w:noWrap/>
            <w:tcMar>
              <w:left w:w="0" w:type="dxa"/>
              <w:right w:w="0" w:type="dxa"/>
            </w:tcMar>
            <w:vAlign w:val="bottom"/>
          </w:tcPr>
          <w:p w14:paraId="71F3F471"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7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56</w:t>
            </w:r>
          </w:p>
        </w:tc>
        <w:tc>
          <w:tcPr>
            <w:tcW w:w="180" w:type="dxa"/>
            <w:tcBorders>
              <w:top w:val="nil"/>
              <w:left w:val="nil"/>
              <w:bottom w:val="nil"/>
              <w:right w:val="nil"/>
              <w:tl2br w:val="nil"/>
              <w:tr2bl w:val="nil"/>
            </w:tcBorders>
            <w:noWrap/>
            <w:tcMar>
              <w:left w:w="0" w:type="dxa"/>
              <w:right w:w="0" w:type="dxa"/>
            </w:tcMar>
            <w:vAlign w:val="bottom"/>
          </w:tcPr>
          <w:p w14:paraId="71F3F473"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7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863</w:t>
            </w:r>
          </w:p>
        </w:tc>
        <w:tc>
          <w:tcPr>
            <w:tcW w:w="180" w:type="dxa"/>
            <w:tcBorders>
              <w:top w:val="nil"/>
              <w:left w:val="nil"/>
              <w:bottom w:val="nil"/>
              <w:right w:val="nil"/>
              <w:tl2br w:val="nil"/>
              <w:tr2bl w:val="nil"/>
            </w:tcBorders>
            <w:noWrap/>
            <w:tcMar>
              <w:left w:w="0" w:type="dxa"/>
              <w:right w:w="0" w:type="dxa"/>
            </w:tcMar>
            <w:vAlign w:val="bottom"/>
          </w:tcPr>
          <w:p w14:paraId="71F3F475"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7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(511)</w:t>
            </w:r>
          </w:p>
        </w:tc>
      </w:tr>
      <w:tr w:rsidR="00510CAA" w14:paraId="71F3F48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78"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79"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7A"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Prepaid expenses and other assets</w:t>
            </w:r>
          </w:p>
        </w:tc>
        <w:tc>
          <w:tcPr>
            <w:tcW w:w="180" w:type="dxa"/>
            <w:tcBorders>
              <w:top w:val="nil"/>
              <w:left w:val="nil"/>
              <w:bottom w:val="nil"/>
              <w:right w:val="nil"/>
              <w:tl2br w:val="nil"/>
              <w:tr2bl w:val="nil"/>
            </w:tcBorders>
            <w:noWrap/>
            <w:tcMar>
              <w:left w:w="0" w:type="dxa"/>
              <w:right w:w="0" w:type="dxa"/>
            </w:tcMar>
            <w:vAlign w:val="bottom"/>
          </w:tcPr>
          <w:p w14:paraId="71F3F47B"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7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(1,379)</w:t>
            </w:r>
          </w:p>
        </w:tc>
        <w:tc>
          <w:tcPr>
            <w:tcW w:w="180" w:type="dxa"/>
            <w:tcBorders>
              <w:top w:val="nil"/>
              <w:left w:val="nil"/>
              <w:bottom w:val="nil"/>
              <w:right w:val="nil"/>
              <w:tl2br w:val="nil"/>
              <w:tr2bl w:val="nil"/>
            </w:tcBorders>
            <w:noWrap/>
            <w:tcMar>
              <w:left w:w="0" w:type="dxa"/>
              <w:right w:w="0" w:type="dxa"/>
            </w:tcMar>
            <w:vAlign w:val="bottom"/>
          </w:tcPr>
          <w:p w14:paraId="71F3F47D"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7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1,247</w:t>
            </w:r>
          </w:p>
        </w:tc>
        <w:tc>
          <w:tcPr>
            <w:tcW w:w="180" w:type="dxa"/>
            <w:tcBorders>
              <w:top w:val="nil"/>
              <w:left w:val="nil"/>
              <w:bottom w:val="nil"/>
              <w:right w:val="nil"/>
              <w:tl2br w:val="nil"/>
              <w:tr2bl w:val="nil"/>
            </w:tcBorders>
            <w:noWrap/>
            <w:tcMar>
              <w:left w:w="0" w:type="dxa"/>
              <w:right w:w="0" w:type="dxa"/>
            </w:tcMar>
            <w:vAlign w:val="bottom"/>
          </w:tcPr>
          <w:p w14:paraId="71F3F47F"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8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(1,950)</w:t>
            </w:r>
          </w:p>
        </w:tc>
      </w:tr>
      <w:tr w:rsidR="00510CAA" w14:paraId="71F3F48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82"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83"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84"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Other non-current assets</w:t>
            </w:r>
          </w:p>
        </w:tc>
        <w:tc>
          <w:tcPr>
            <w:tcW w:w="180" w:type="dxa"/>
            <w:tcBorders>
              <w:top w:val="nil"/>
              <w:left w:val="nil"/>
              <w:bottom w:val="nil"/>
              <w:right w:val="nil"/>
              <w:tl2br w:val="nil"/>
              <w:tr2bl w:val="nil"/>
            </w:tcBorders>
            <w:noWrap/>
            <w:tcMar>
              <w:left w:w="0" w:type="dxa"/>
              <w:right w:w="0" w:type="dxa"/>
            </w:tcMar>
            <w:vAlign w:val="bottom"/>
          </w:tcPr>
          <w:p w14:paraId="71F3F485"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8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87"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8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89"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8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70</w:t>
            </w:r>
          </w:p>
        </w:tc>
      </w:tr>
      <w:tr w:rsidR="00510CAA" w14:paraId="71F3F49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8C"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8D"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8E"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Investments in equity securities</w:t>
            </w:r>
          </w:p>
        </w:tc>
        <w:tc>
          <w:tcPr>
            <w:tcW w:w="180" w:type="dxa"/>
            <w:tcBorders>
              <w:top w:val="nil"/>
              <w:left w:val="nil"/>
              <w:bottom w:val="nil"/>
              <w:right w:val="nil"/>
              <w:tl2br w:val="nil"/>
              <w:tr2bl w:val="nil"/>
            </w:tcBorders>
            <w:noWrap/>
            <w:tcMar>
              <w:left w:w="0" w:type="dxa"/>
              <w:right w:w="0" w:type="dxa"/>
            </w:tcMar>
            <w:vAlign w:val="bottom"/>
          </w:tcPr>
          <w:p w14:paraId="71F3F48F"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9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491"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9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20,329</w:t>
            </w:r>
          </w:p>
        </w:tc>
        <w:tc>
          <w:tcPr>
            <w:tcW w:w="180" w:type="dxa"/>
            <w:tcBorders>
              <w:top w:val="nil"/>
              <w:left w:val="nil"/>
              <w:bottom w:val="nil"/>
              <w:right w:val="nil"/>
              <w:tl2br w:val="nil"/>
              <w:tr2bl w:val="nil"/>
            </w:tcBorders>
            <w:noWrap/>
            <w:tcMar>
              <w:left w:w="0" w:type="dxa"/>
              <w:right w:w="0" w:type="dxa"/>
            </w:tcMar>
            <w:vAlign w:val="bottom"/>
          </w:tcPr>
          <w:p w14:paraId="71F3F493"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9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(17,916)</w:t>
            </w:r>
          </w:p>
        </w:tc>
      </w:tr>
      <w:tr w:rsidR="00510CAA" w14:paraId="71F3F49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96"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97"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 xml:space="preserve">Increase / (Decrease) </w:t>
            </w:r>
          </w:p>
        </w:tc>
        <w:tc>
          <w:tcPr>
            <w:tcW w:w="180" w:type="dxa"/>
            <w:tcBorders>
              <w:top w:val="nil"/>
              <w:left w:val="nil"/>
              <w:bottom w:val="nil"/>
              <w:right w:val="nil"/>
              <w:tl2br w:val="nil"/>
              <w:tr2bl w:val="nil"/>
            </w:tcBorders>
            <w:noWrap/>
            <w:tcMar>
              <w:left w:w="0" w:type="dxa"/>
              <w:right w:w="0" w:type="dxa"/>
            </w:tcMar>
            <w:vAlign w:val="bottom"/>
          </w:tcPr>
          <w:p w14:paraId="71F3F49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99"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9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9B"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9C"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9D" w14:textId="77777777" w:rsidR="00510CAA" w:rsidRDefault="00510CAA">
            <w:pPr>
              <w:keepNext/>
              <w:jc w:val="right"/>
              <w:rPr>
                <w:rFonts w:ascii="Arial" w:eastAsia="Arial" w:hAnsi="Arial" w:cs="Arial"/>
                <w:color w:val="000000"/>
                <w:sz w:val="18"/>
              </w:rPr>
            </w:pPr>
          </w:p>
        </w:tc>
      </w:tr>
      <w:tr w:rsidR="00510CAA" w14:paraId="71F3F4A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9F"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A0"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A1"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Accounts payable</w:t>
            </w:r>
          </w:p>
        </w:tc>
        <w:tc>
          <w:tcPr>
            <w:tcW w:w="180" w:type="dxa"/>
            <w:tcBorders>
              <w:top w:val="nil"/>
              <w:left w:val="nil"/>
              <w:bottom w:val="nil"/>
              <w:right w:val="nil"/>
              <w:tl2br w:val="nil"/>
              <w:tr2bl w:val="nil"/>
            </w:tcBorders>
            <w:noWrap/>
            <w:tcMar>
              <w:left w:w="0" w:type="dxa"/>
              <w:right w:w="0" w:type="dxa"/>
            </w:tcMar>
            <w:vAlign w:val="bottom"/>
          </w:tcPr>
          <w:p w14:paraId="71F3F4A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A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1,621</w:t>
            </w:r>
          </w:p>
        </w:tc>
        <w:tc>
          <w:tcPr>
            <w:tcW w:w="180" w:type="dxa"/>
            <w:tcBorders>
              <w:top w:val="nil"/>
              <w:left w:val="nil"/>
              <w:bottom w:val="nil"/>
              <w:right w:val="nil"/>
              <w:tl2br w:val="nil"/>
              <w:tr2bl w:val="nil"/>
            </w:tcBorders>
            <w:noWrap/>
            <w:tcMar>
              <w:left w:w="0" w:type="dxa"/>
              <w:right w:w="0" w:type="dxa"/>
            </w:tcMar>
            <w:vAlign w:val="bottom"/>
          </w:tcPr>
          <w:p w14:paraId="71F3F4A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A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(673)</w:t>
            </w:r>
          </w:p>
        </w:tc>
        <w:tc>
          <w:tcPr>
            <w:tcW w:w="180" w:type="dxa"/>
            <w:tcBorders>
              <w:top w:val="nil"/>
              <w:left w:val="nil"/>
              <w:bottom w:val="nil"/>
              <w:right w:val="nil"/>
              <w:tl2br w:val="nil"/>
              <w:tr2bl w:val="nil"/>
            </w:tcBorders>
            <w:noWrap/>
            <w:tcMar>
              <w:left w:w="0" w:type="dxa"/>
              <w:right w:w="0" w:type="dxa"/>
            </w:tcMar>
            <w:vAlign w:val="bottom"/>
          </w:tcPr>
          <w:p w14:paraId="71F3F4A6"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A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(1,761)</w:t>
            </w:r>
          </w:p>
        </w:tc>
      </w:tr>
      <w:tr w:rsidR="00510CAA" w14:paraId="71F3F4B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A9"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AA"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A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Due to related parties</w:t>
            </w:r>
          </w:p>
        </w:tc>
        <w:tc>
          <w:tcPr>
            <w:tcW w:w="180" w:type="dxa"/>
            <w:tcBorders>
              <w:top w:val="nil"/>
              <w:left w:val="nil"/>
              <w:bottom w:val="nil"/>
              <w:right w:val="nil"/>
              <w:tl2br w:val="nil"/>
              <w:tr2bl w:val="nil"/>
            </w:tcBorders>
            <w:noWrap/>
            <w:tcMar>
              <w:left w:w="0" w:type="dxa"/>
              <w:right w:w="0" w:type="dxa"/>
            </w:tcMar>
            <w:vAlign w:val="bottom"/>
          </w:tcPr>
          <w:p w14:paraId="71F3F4A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A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(101)</w:t>
            </w:r>
          </w:p>
        </w:tc>
        <w:tc>
          <w:tcPr>
            <w:tcW w:w="180" w:type="dxa"/>
            <w:tcBorders>
              <w:top w:val="nil"/>
              <w:left w:val="nil"/>
              <w:bottom w:val="nil"/>
              <w:right w:val="nil"/>
              <w:tl2br w:val="nil"/>
              <w:tr2bl w:val="nil"/>
            </w:tcBorders>
            <w:noWrap/>
            <w:tcMar>
              <w:left w:w="0" w:type="dxa"/>
              <w:right w:w="0" w:type="dxa"/>
            </w:tcMar>
            <w:vAlign w:val="bottom"/>
          </w:tcPr>
          <w:p w14:paraId="71F3F4A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A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(569)</w:t>
            </w:r>
          </w:p>
        </w:tc>
        <w:tc>
          <w:tcPr>
            <w:tcW w:w="180" w:type="dxa"/>
            <w:tcBorders>
              <w:top w:val="nil"/>
              <w:left w:val="nil"/>
              <w:bottom w:val="nil"/>
              <w:right w:val="nil"/>
              <w:tl2br w:val="nil"/>
              <w:tr2bl w:val="nil"/>
            </w:tcBorders>
            <w:noWrap/>
            <w:tcMar>
              <w:left w:w="0" w:type="dxa"/>
              <w:right w:w="0" w:type="dxa"/>
            </w:tcMar>
            <w:vAlign w:val="bottom"/>
          </w:tcPr>
          <w:p w14:paraId="71F3F4B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B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w:t>
            </w:r>
          </w:p>
        </w:tc>
      </w:tr>
      <w:tr w:rsidR="00510CAA" w14:paraId="71F3F4B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B3"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B4"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B5"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Accrued liabilities</w:t>
            </w:r>
          </w:p>
        </w:tc>
        <w:tc>
          <w:tcPr>
            <w:tcW w:w="180" w:type="dxa"/>
            <w:tcBorders>
              <w:top w:val="nil"/>
              <w:left w:val="nil"/>
              <w:bottom w:val="nil"/>
              <w:right w:val="nil"/>
              <w:tl2br w:val="nil"/>
              <w:tr2bl w:val="nil"/>
            </w:tcBorders>
            <w:noWrap/>
            <w:tcMar>
              <w:left w:w="0" w:type="dxa"/>
              <w:right w:w="0" w:type="dxa"/>
            </w:tcMar>
            <w:vAlign w:val="bottom"/>
          </w:tcPr>
          <w:p w14:paraId="71F3F4B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B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1,548</w:t>
            </w:r>
          </w:p>
        </w:tc>
        <w:tc>
          <w:tcPr>
            <w:tcW w:w="180" w:type="dxa"/>
            <w:tcBorders>
              <w:top w:val="nil"/>
              <w:left w:val="nil"/>
              <w:bottom w:val="nil"/>
              <w:right w:val="nil"/>
              <w:tl2br w:val="nil"/>
              <w:tr2bl w:val="nil"/>
            </w:tcBorders>
            <w:noWrap/>
            <w:tcMar>
              <w:left w:w="0" w:type="dxa"/>
              <w:right w:w="0" w:type="dxa"/>
            </w:tcMar>
            <w:vAlign w:val="bottom"/>
          </w:tcPr>
          <w:p w14:paraId="71F3F4B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B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(520)</w:t>
            </w:r>
          </w:p>
        </w:tc>
        <w:tc>
          <w:tcPr>
            <w:tcW w:w="180" w:type="dxa"/>
            <w:tcBorders>
              <w:top w:val="nil"/>
              <w:left w:val="nil"/>
              <w:bottom w:val="nil"/>
              <w:right w:val="nil"/>
              <w:tl2br w:val="nil"/>
              <w:tr2bl w:val="nil"/>
            </w:tcBorders>
            <w:noWrap/>
            <w:tcMar>
              <w:left w:w="0" w:type="dxa"/>
              <w:right w:w="0" w:type="dxa"/>
            </w:tcMar>
            <w:vAlign w:val="bottom"/>
          </w:tcPr>
          <w:p w14:paraId="71F3F4BA"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B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282</w:t>
            </w:r>
          </w:p>
        </w:tc>
      </w:tr>
      <w:tr w:rsidR="00510CAA" w14:paraId="71F3F4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BD"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BE"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BF"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 xml:space="preserve">Deferred revenue </w:t>
            </w:r>
          </w:p>
        </w:tc>
        <w:tc>
          <w:tcPr>
            <w:tcW w:w="180" w:type="dxa"/>
            <w:tcBorders>
              <w:top w:val="nil"/>
              <w:left w:val="nil"/>
              <w:bottom w:val="nil"/>
              <w:right w:val="nil"/>
              <w:tl2br w:val="nil"/>
              <w:tr2bl w:val="nil"/>
            </w:tcBorders>
            <w:noWrap/>
            <w:tcMar>
              <w:left w:w="0" w:type="dxa"/>
              <w:right w:w="0" w:type="dxa"/>
            </w:tcMar>
            <w:vAlign w:val="bottom"/>
          </w:tcPr>
          <w:p w14:paraId="71F3F4C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C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735</w:t>
            </w:r>
          </w:p>
        </w:tc>
        <w:tc>
          <w:tcPr>
            <w:tcW w:w="180" w:type="dxa"/>
            <w:tcBorders>
              <w:top w:val="nil"/>
              <w:left w:val="nil"/>
              <w:bottom w:val="nil"/>
              <w:right w:val="nil"/>
              <w:tl2br w:val="nil"/>
              <w:tr2bl w:val="nil"/>
            </w:tcBorders>
            <w:noWrap/>
            <w:tcMar>
              <w:left w:w="0" w:type="dxa"/>
              <w:right w:w="0" w:type="dxa"/>
            </w:tcMar>
            <w:vAlign w:val="bottom"/>
          </w:tcPr>
          <w:p w14:paraId="71F3F4C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C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672</w:t>
            </w:r>
          </w:p>
        </w:tc>
        <w:tc>
          <w:tcPr>
            <w:tcW w:w="180" w:type="dxa"/>
            <w:tcBorders>
              <w:top w:val="nil"/>
              <w:left w:val="nil"/>
              <w:bottom w:val="nil"/>
              <w:right w:val="nil"/>
              <w:tl2br w:val="nil"/>
              <w:tr2bl w:val="nil"/>
            </w:tcBorders>
            <w:noWrap/>
            <w:tcMar>
              <w:left w:w="0" w:type="dxa"/>
              <w:right w:w="0" w:type="dxa"/>
            </w:tcMar>
            <w:vAlign w:val="bottom"/>
          </w:tcPr>
          <w:p w14:paraId="71F3F4C4"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C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(4,195)</w:t>
            </w:r>
          </w:p>
        </w:tc>
      </w:tr>
      <w:tr w:rsidR="00510CAA" w14:paraId="71F3F4D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C7"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4C8" w14:textId="77777777" w:rsidR="00510CAA" w:rsidRDefault="00510CAA">
            <w:pPr>
              <w:keepNext/>
              <w:jc w:val="both"/>
              <w:rPr>
                <w:rFonts w:ascii="Arial" w:eastAsia="Arial" w:hAnsi="Arial" w:cs="Arial"/>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4C9"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Other non-current liabilities</w:t>
            </w:r>
          </w:p>
        </w:tc>
        <w:tc>
          <w:tcPr>
            <w:tcW w:w="180" w:type="dxa"/>
            <w:tcBorders>
              <w:top w:val="nil"/>
              <w:left w:val="nil"/>
              <w:bottom w:val="nil"/>
              <w:right w:val="nil"/>
              <w:tl2br w:val="nil"/>
              <w:tr2bl w:val="nil"/>
            </w:tcBorders>
            <w:noWrap/>
            <w:tcMar>
              <w:left w:w="0" w:type="dxa"/>
              <w:right w:w="0" w:type="dxa"/>
            </w:tcMar>
            <w:vAlign w:val="bottom"/>
          </w:tcPr>
          <w:p w14:paraId="71F3F4C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C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(293)</w:t>
            </w:r>
          </w:p>
        </w:tc>
        <w:tc>
          <w:tcPr>
            <w:tcW w:w="180" w:type="dxa"/>
            <w:tcBorders>
              <w:top w:val="nil"/>
              <w:left w:val="nil"/>
              <w:bottom w:val="nil"/>
              <w:right w:val="nil"/>
              <w:tl2br w:val="nil"/>
              <w:tr2bl w:val="nil"/>
            </w:tcBorders>
            <w:noWrap/>
            <w:tcMar>
              <w:left w:w="0" w:type="dxa"/>
              <w:right w:w="0" w:type="dxa"/>
            </w:tcMar>
            <w:vAlign w:val="bottom"/>
          </w:tcPr>
          <w:p w14:paraId="71F3F4C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C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(158)</w:t>
            </w:r>
          </w:p>
        </w:tc>
        <w:tc>
          <w:tcPr>
            <w:tcW w:w="180" w:type="dxa"/>
            <w:tcBorders>
              <w:top w:val="nil"/>
              <w:left w:val="nil"/>
              <w:bottom w:val="nil"/>
              <w:right w:val="nil"/>
              <w:tl2br w:val="nil"/>
              <w:tr2bl w:val="nil"/>
            </w:tcBorders>
            <w:noWrap/>
            <w:tcMar>
              <w:left w:w="0" w:type="dxa"/>
              <w:right w:w="0" w:type="dxa"/>
            </w:tcMar>
            <w:vAlign w:val="bottom"/>
          </w:tcPr>
          <w:p w14:paraId="71F3F4CE"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C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437</w:t>
            </w:r>
          </w:p>
        </w:tc>
      </w:tr>
      <w:tr w:rsidR="00510CAA" w14:paraId="71F3F4D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07"/>
        </w:trPr>
        <w:tc>
          <w:tcPr>
            <w:tcW w:w="90" w:type="dxa"/>
            <w:tcBorders>
              <w:top w:val="nil"/>
              <w:left w:val="nil"/>
              <w:bottom w:val="nil"/>
              <w:right w:val="nil"/>
              <w:tl2br w:val="nil"/>
              <w:tr2bl w:val="nil"/>
            </w:tcBorders>
            <w:tcMar>
              <w:left w:w="0" w:type="dxa"/>
              <w:right w:w="0" w:type="dxa"/>
            </w:tcMar>
            <w:vAlign w:val="bottom"/>
          </w:tcPr>
          <w:p w14:paraId="71F3F4D1"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D2" w14:textId="77777777" w:rsidR="00510CAA" w:rsidRDefault="003A4815">
            <w:pPr>
              <w:keepNext/>
              <w:rPr>
                <w:rFonts w:ascii="Arial" w:eastAsia="Arial" w:hAnsi="Arial" w:cs="Arial"/>
                <w:color w:val="000000"/>
                <w:sz w:val="18"/>
              </w:rPr>
            </w:pPr>
            <w:r>
              <w:rPr>
                <w:rFonts w:ascii="Arial" w:eastAsia="Arial" w:hAnsi="Arial" w:cs="Arial"/>
                <w:color w:val="000000"/>
                <w:sz w:val="18"/>
              </w:rPr>
              <w:t>Drydock cost</w:t>
            </w:r>
          </w:p>
        </w:tc>
        <w:tc>
          <w:tcPr>
            <w:tcW w:w="180" w:type="dxa"/>
            <w:tcBorders>
              <w:top w:val="nil"/>
              <w:left w:val="nil"/>
              <w:bottom w:val="nil"/>
              <w:right w:val="nil"/>
              <w:tl2br w:val="nil"/>
              <w:tr2bl w:val="nil"/>
            </w:tcBorders>
            <w:noWrap/>
            <w:tcMar>
              <w:left w:w="0" w:type="dxa"/>
              <w:right w:w="0" w:type="dxa"/>
            </w:tcMar>
            <w:vAlign w:val="bottom"/>
          </w:tcPr>
          <w:p w14:paraId="71F3F4D3"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4D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(18,091)</w:t>
            </w:r>
          </w:p>
        </w:tc>
        <w:tc>
          <w:tcPr>
            <w:tcW w:w="180" w:type="dxa"/>
            <w:tcBorders>
              <w:top w:val="nil"/>
              <w:left w:val="nil"/>
              <w:bottom w:val="nil"/>
              <w:right w:val="nil"/>
              <w:tl2br w:val="nil"/>
              <w:tr2bl w:val="nil"/>
            </w:tcBorders>
            <w:noWrap/>
            <w:tcMar>
              <w:left w:w="0" w:type="dxa"/>
              <w:right w:w="0" w:type="dxa"/>
            </w:tcMar>
            <w:vAlign w:val="bottom"/>
          </w:tcPr>
          <w:p w14:paraId="71F3F4D5"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4D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(8,044)</w:t>
            </w:r>
          </w:p>
        </w:tc>
        <w:tc>
          <w:tcPr>
            <w:tcW w:w="180" w:type="dxa"/>
            <w:tcBorders>
              <w:top w:val="nil"/>
              <w:left w:val="nil"/>
              <w:bottom w:val="nil"/>
              <w:right w:val="nil"/>
              <w:tl2br w:val="nil"/>
              <w:tr2bl w:val="nil"/>
            </w:tcBorders>
            <w:noWrap/>
            <w:tcMar>
              <w:left w:w="0" w:type="dxa"/>
              <w:right w:w="0" w:type="dxa"/>
            </w:tcMar>
            <w:vAlign w:val="bottom"/>
          </w:tcPr>
          <w:p w14:paraId="71F3F4D7" w14:textId="77777777" w:rsidR="00510CAA" w:rsidRDefault="00510CAA">
            <w:pPr>
              <w:keepNext/>
              <w:jc w:val="right"/>
              <w:rPr>
                <w:rFonts w:ascii="Arial" w:eastAsia="Arial" w:hAnsi="Arial" w:cs="Arial"/>
                <w:color w:val="000000"/>
                <w:sz w:val="16"/>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4D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(5,646)</w:t>
            </w:r>
          </w:p>
        </w:tc>
      </w:tr>
      <w:tr w:rsidR="00510CAA" w14:paraId="71F3F4E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655" w:type="dxa"/>
            <w:gridSpan w:val="3"/>
            <w:tcBorders>
              <w:top w:val="nil"/>
              <w:left w:val="nil"/>
              <w:bottom w:val="nil"/>
              <w:right w:val="nil"/>
              <w:tl2br w:val="nil"/>
              <w:tr2bl w:val="nil"/>
            </w:tcBorders>
            <w:tcMar>
              <w:left w:w="0" w:type="dxa"/>
              <w:right w:w="0" w:type="dxa"/>
            </w:tcMar>
            <w:vAlign w:val="bottom"/>
          </w:tcPr>
          <w:p w14:paraId="71F3F4DA"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Net Cash Provided by Operating Activities</w:t>
            </w:r>
          </w:p>
        </w:tc>
        <w:tc>
          <w:tcPr>
            <w:tcW w:w="180" w:type="dxa"/>
            <w:tcBorders>
              <w:top w:val="nil"/>
              <w:left w:val="nil"/>
              <w:bottom w:val="nil"/>
              <w:right w:val="nil"/>
              <w:tl2br w:val="nil"/>
              <w:tr2bl w:val="nil"/>
            </w:tcBorders>
            <w:noWrap/>
            <w:tcMar>
              <w:left w:w="0" w:type="dxa"/>
              <w:right w:w="0" w:type="dxa"/>
            </w:tcMar>
            <w:vAlign w:val="bottom"/>
          </w:tcPr>
          <w:p w14:paraId="71F3F4D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4D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47,507</w:t>
            </w:r>
          </w:p>
        </w:tc>
        <w:tc>
          <w:tcPr>
            <w:tcW w:w="180" w:type="dxa"/>
            <w:tcBorders>
              <w:top w:val="nil"/>
              <w:left w:val="nil"/>
              <w:bottom w:val="nil"/>
              <w:right w:val="nil"/>
              <w:tl2br w:val="nil"/>
              <w:tr2bl w:val="nil"/>
            </w:tcBorders>
            <w:noWrap/>
            <w:tcMar>
              <w:left w:w="0" w:type="dxa"/>
              <w:right w:w="60" w:type="dxa"/>
            </w:tcMar>
            <w:vAlign w:val="bottom"/>
          </w:tcPr>
          <w:p w14:paraId="71F3F4D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4D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83,530</w:t>
            </w:r>
          </w:p>
        </w:tc>
        <w:tc>
          <w:tcPr>
            <w:tcW w:w="180" w:type="dxa"/>
            <w:tcBorders>
              <w:top w:val="nil"/>
              <w:left w:val="nil"/>
              <w:bottom w:val="nil"/>
              <w:right w:val="nil"/>
              <w:tl2br w:val="nil"/>
              <w:tr2bl w:val="nil"/>
            </w:tcBorders>
            <w:noWrap/>
            <w:tcMar>
              <w:left w:w="0" w:type="dxa"/>
              <w:right w:w="60" w:type="dxa"/>
            </w:tcMar>
            <w:vAlign w:val="bottom"/>
          </w:tcPr>
          <w:p w14:paraId="71F3F4DF"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4E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70,380</w:t>
            </w:r>
          </w:p>
        </w:tc>
      </w:tr>
      <w:tr w:rsidR="00510CAA" w14:paraId="71F3F4E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655" w:type="dxa"/>
            <w:gridSpan w:val="3"/>
            <w:tcBorders>
              <w:top w:val="nil"/>
              <w:left w:val="nil"/>
              <w:bottom w:val="nil"/>
              <w:right w:val="nil"/>
              <w:tl2br w:val="nil"/>
              <w:tr2bl w:val="nil"/>
            </w:tcBorders>
            <w:tcMar>
              <w:left w:w="0" w:type="dxa"/>
              <w:right w:w="0" w:type="dxa"/>
            </w:tcMar>
            <w:vAlign w:val="bottom"/>
          </w:tcPr>
          <w:p w14:paraId="71F3F4E2"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 xml:space="preserve"> Cash Flows from Investing Activities: </w:t>
            </w:r>
          </w:p>
        </w:tc>
        <w:tc>
          <w:tcPr>
            <w:tcW w:w="180" w:type="dxa"/>
            <w:tcBorders>
              <w:top w:val="nil"/>
              <w:left w:val="nil"/>
              <w:bottom w:val="nil"/>
              <w:right w:val="nil"/>
              <w:tl2br w:val="nil"/>
              <w:tr2bl w:val="nil"/>
            </w:tcBorders>
            <w:noWrap/>
            <w:tcMar>
              <w:left w:w="0" w:type="dxa"/>
              <w:right w:w="0" w:type="dxa"/>
            </w:tcMar>
            <w:vAlign w:val="bottom"/>
          </w:tcPr>
          <w:p w14:paraId="71F3F4E3" w14:textId="77777777" w:rsidR="00510CAA" w:rsidRDefault="00510CAA">
            <w:pPr>
              <w:keepNext/>
              <w:jc w:val="right"/>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E4"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E5" w14:textId="77777777" w:rsidR="00510CAA" w:rsidRDefault="00510CAA">
            <w:pPr>
              <w:keepNext/>
              <w:jc w:val="right"/>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E6"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4E7" w14:textId="77777777" w:rsidR="00510CAA" w:rsidRDefault="00510CAA">
            <w:pPr>
              <w:keepNext/>
              <w:jc w:val="right"/>
              <w:rPr>
                <w:rFonts w:ascii="Arial" w:eastAsia="Arial" w:hAnsi="Arial" w:cs="Arial"/>
                <w:b/>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E8" w14:textId="77777777" w:rsidR="00510CAA" w:rsidRDefault="00510CAA">
            <w:pPr>
              <w:keepNext/>
              <w:jc w:val="right"/>
              <w:rPr>
                <w:rFonts w:ascii="Arial" w:eastAsia="Arial" w:hAnsi="Arial" w:cs="Arial"/>
                <w:color w:val="000000"/>
                <w:sz w:val="18"/>
              </w:rPr>
            </w:pPr>
          </w:p>
        </w:tc>
      </w:tr>
      <w:tr w:rsidR="00510CAA" w14:paraId="71F3F4F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05"/>
        </w:trPr>
        <w:tc>
          <w:tcPr>
            <w:tcW w:w="90" w:type="dxa"/>
            <w:tcBorders>
              <w:top w:val="nil"/>
              <w:left w:val="nil"/>
              <w:bottom w:val="nil"/>
              <w:right w:val="nil"/>
              <w:tl2br w:val="nil"/>
              <w:tr2bl w:val="nil"/>
            </w:tcBorders>
            <w:tcMar>
              <w:left w:w="0" w:type="dxa"/>
              <w:right w:w="0" w:type="dxa"/>
            </w:tcMar>
            <w:vAlign w:val="bottom"/>
          </w:tcPr>
          <w:p w14:paraId="71F3F4EA"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E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for vessels under construction and vessel improvements (Note 6)</w:t>
            </w:r>
          </w:p>
        </w:tc>
        <w:tc>
          <w:tcPr>
            <w:tcW w:w="180" w:type="dxa"/>
            <w:tcBorders>
              <w:top w:val="nil"/>
              <w:left w:val="nil"/>
              <w:bottom w:val="nil"/>
              <w:right w:val="nil"/>
              <w:tl2br w:val="nil"/>
              <w:tr2bl w:val="nil"/>
            </w:tcBorders>
            <w:noWrap/>
            <w:tcMar>
              <w:left w:w="0" w:type="dxa"/>
              <w:right w:w="0" w:type="dxa"/>
            </w:tcMar>
            <w:vAlign w:val="bottom"/>
          </w:tcPr>
          <w:p w14:paraId="71F3F4E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E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(1,502)</w:t>
            </w:r>
          </w:p>
        </w:tc>
        <w:tc>
          <w:tcPr>
            <w:tcW w:w="180" w:type="dxa"/>
            <w:tcBorders>
              <w:top w:val="nil"/>
              <w:left w:val="nil"/>
              <w:bottom w:val="nil"/>
              <w:right w:val="nil"/>
              <w:tl2br w:val="nil"/>
              <w:tr2bl w:val="nil"/>
            </w:tcBorders>
            <w:noWrap/>
            <w:tcMar>
              <w:left w:w="0" w:type="dxa"/>
              <w:right w:w="0" w:type="dxa"/>
            </w:tcMar>
            <w:vAlign w:val="bottom"/>
          </w:tcPr>
          <w:p w14:paraId="71F3F4E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4E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(20,516)</w:t>
            </w:r>
          </w:p>
        </w:tc>
        <w:tc>
          <w:tcPr>
            <w:tcW w:w="180" w:type="dxa"/>
            <w:tcBorders>
              <w:top w:val="nil"/>
              <w:left w:val="nil"/>
              <w:bottom w:val="nil"/>
              <w:right w:val="nil"/>
              <w:tl2br w:val="nil"/>
              <w:tr2bl w:val="nil"/>
            </w:tcBorders>
            <w:noWrap/>
            <w:tcMar>
              <w:left w:w="0" w:type="dxa"/>
              <w:right w:w="0" w:type="dxa"/>
            </w:tcMar>
            <w:vAlign w:val="bottom"/>
          </w:tcPr>
          <w:p w14:paraId="71F3F4F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4F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(29,732)</w:t>
            </w:r>
          </w:p>
        </w:tc>
      </w:tr>
      <w:tr w:rsidR="00510CAA" w14:paraId="71F3F4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4F3"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F4"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Proceeds from sale of vessels, net of expenses (Note 6)</w:t>
            </w:r>
          </w:p>
        </w:tc>
        <w:tc>
          <w:tcPr>
            <w:tcW w:w="180" w:type="dxa"/>
            <w:tcBorders>
              <w:top w:val="nil"/>
              <w:left w:val="nil"/>
              <w:bottom w:val="nil"/>
              <w:right w:val="nil"/>
              <w:tl2br w:val="nil"/>
              <w:tr2bl w:val="nil"/>
            </w:tcBorders>
            <w:noWrap/>
            <w:tcMar>
              <w:left w:w="0" w:type="dxa"/>
              <w:right w:w="0" w:type="dxa"/>
            </w:tcMar>
            <w:vAlign w:val="bottom"/>
          </w:tcPr>
          <w:p w14:paraId="71F3F4F5"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F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22,975</w:t>
            </w:r>
          </w:p>
        </w:tc>
        <w:tc>
          <w:tcPr>
            <w:tcW w:w="180" w:type="dxa"/>
            <w:tcBorders>
              <w:top w:val="nil"/>
              <w:left w:val="nil"/>
              <w:bottom w:val="nil"/>
              <w:right w:val="nil"/>
              <w:tl2br w:val="nil"/>
              <w:tr2bl w:val="nil"/>
            </w:tcBorders>
            <w:noWrap/>
            <w:tcMar>
              <w:left w:w="0" w:type="dxa"/>
              <w:right w:w="0" w:type="dxa"/>
            </w:tcMar>
            <w:vAlign w:val="bottom"/>
          </w:tcPr>
          <w:p w14:paraId="71F3F4F7"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F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35,154</w:t>
            </w:r>
          </w:p>
        </w:tc>
        <w:tc>
          <w:tcPr>
            <w:tcW w:w="180" w:type="dxa"/>
            <w:tcBorders>
              <w:top w:val="nil"/>
              <w:left w:val="nil"/>
              <w:bottom w:val="nil"/>
              <w:right w:val="nil"/>
              <w:tl2br w:val="nil"/>
              <w:tr2bl w:val="nil"/>
            </w:tcBorders>
            <w:noWrap/>
            <w:tcMar>
              <w:left w:w="0" w:type="dxa"/>
              <w:right w:w="0" w:type="dxa"/>
            </w:tcMar>
            <w:vAlign w:val="bottom"/>
          </w:tcPr>
          <w:p w14:paraId="71F3F4F9"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4F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36,560</w:t>
            </w:r>
          </w:p>
        </w:tc>
      </w:tr>
      <w:tr w:rsidR="00510CAA" w14:paraId="71F3F50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4FC"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4FD"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Return of capital from equity method investment (Note 4)</w:t>
            </w:r>
          </w:p>
        </w:tc>
        <w:tc>
          <w:tcPr>
            <w:tcW w:w="180" w:type="dxa"/>
            <w:tcBorders>
              <w:top w:val="nil"/>
              <w:left w:val="nil"/>
              <w:bottom w:val="nil"/>
              <w:right w:val="nil"/>
              <w:tl2br w:val="nil"/>
              <w:tr2bl w:val="nil"/>
            </w:tcBorders>
            <w:noWrap/>
            <w:tcMar>
              <w:left w:w="0" w:type="dxa"/>
              <w:right w:w="0" w:type="dxa"/>
            </w:tcMar>
            <w:vAlign w:val="bottom"/>
          </w:tcPr>
          <w:p w14:paraId="71F3F4F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4F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3,505</w:t>
            </w:r>
          </w:p>
        </w:tc>
        <w:tc>
          <w:tcPr>
            <w:tcW w:w="180" w:type="dxa"/>
            <w:tcBorders>
              <w:top w:val="nil"/>
              <w:left w:val="nil"/>
              <w:bottom w:val="nil"/>
              <w:right w:val="nil"/>
              <w:tl2br w:val="nil"/>
              <w:tr2bl w:val="nil"/>
            </w:tcBorders>
            <w:noWrap/>
            <w:tcMar>
              <w:left w:w="0" w:type="dxa"/>
              <w:right w:w="0" w:type="dxa"/>
            </w:tcMar>
            <w:vAlign w:val="bottom"/>
          </w:tcPr>
          <w:p w14:paraId="71F3F50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0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02"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0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50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05"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06"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to acquire investments (Note 4 and 5 (b))</w:t>
            </w:r>
          </w:p>
        </w:tc>
        <w:tc>
          <w:tcPr>
            <w:tcW w:w="180" w:type="dxa"/>
            <w:tcBorders>
              <w:top w:val="nil"/>
              <w:left w:val="nil"/>
              <w:bottom w:val="nil"/>
              <w:right w:val="nil"/>
              <w:tl2br w:val="nil"/>
              <w:tr2bl w:val="nil"/>
            </w:tcBorders>
            <w:noWrap/>
            <w:tcMar>
              <w:left w:w="0" w:type="dxa"/>
              <w:right w:w="0" w:type="dxa"/>
            </w:tcMar>
            <w:vAlign w:val="bottom"/>
          </w:tcPr>
          <w:p w14:paraId="71F3F507"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0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(121,821)</w:t>
            </w:r>
          </w:p>
        </w:tc>
        <w:tc>
          <w:tcPr>
            <w:tcW w:w="180" w:type="dxa"/>
            <w:tcBorders>
              <w:top w:val="nil"/>
              <w:left w:val="nil"/>
              <w:bottom w:val="nil"/>
              <w:right w:val="nil"/>
              <w:tl2br w:val="nil"/>
              <w:tr2bl w:val="nil"/>
            </w:tcBorders>
            <w:noWrap/>
            <w:tcMar>
              <w:left w:w="0" w:type="dxa"/>
              <w:right w:w="0" w:type="dxa"/>
            </w:tcMar>
            <w:vAlign w:val="bottom"/>
          </w:tcPr>
          <w:p w14:paraId="71F3F509"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0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(27,203)</w:t>
            </w:r>
          </w:p>
        </w:tc>
        <w:tc>
          <w:tcPr>
            <w:tcW w:w="180" w:type="dxa"/>
            <w:tcBorders>
              <w:top w:val="nil"/>
              <w:left w:val="nil"/>
              <w:bottom w:val="nil"/>
              <w:right w:val="nil"/>
              <w:tl2br w:val="nil"/>
              <w:tr2bl w:val="nil"/>
            </w:tcBorders>
            <w:noWrap/>
            <w:tcMar>
              <w:left w:w="0" w:type="dxa"/>
              <w:right w:w="0" w:type="dxa"/>
            </w:tcMar>
            <w:vAlign w:val="bottom"/>
          </w:tcPr>
          <w:p w14:paraId="71F3F50B"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0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(10,595)</w:t>
            </w:r>
          </w:p>
        </w:tc>
      </w:tr>
      <w:tr w:rsidR="00510CAA" w14:paraId="71F3F51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0E"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0F"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Proceeds from sale of investments (Note 4 and 5 (a))</w:t>
            </w:r>
          </w:p>
        </w:tc>
        <w:tc>
          <w:tcPr>
            <w:tcW w:w="180" w:type="dxa"/>
            <w:tcBorders>
              <w:top w:val="nil"/>
              <w:left w:val="nil"/>
              <w:bottom w:val="nil"/>
              <w:right w:val="nil"/>
              <w:tl2br w:val="nil"/>
              <w:tr2bl w:val="nil"/>
            </w:tcBorders>
            <w:noWrap/>
            <w:tcMar>
              <w:left w:w="0" w:type="dxa"/>
              <w:right w:w="0" w:type="dxa"/>
            </w:tcMar>
            <w:vAlign w:val="bottom"/>
          </w:tcPr>
          <w:p w14:paraId="71F3F510"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1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3,005</w:t>
            </w:r>
          </w:p>
        </w:tc>
        <w:tc>
          <w:tcPr>
            <w:tcW w:w="180" w:type="dxa"/>
            <w:tcBorders>
              <w:top w:val="nil"/>
              <w:left w:val="nil"/>
              <w:bottom w:val="nil"/>
              <w:right w:val="nil"/>
              <w:tl2br w:val="nil"/>
              <w:tr2bl w:val="nil"/>
            </w:tcBorders>
            <w:noWrap/>
            <w:tcMar>
              <w:left w:w="0" w:type="dxa"/>
              <w:right w:w="0" w:type="dxa"/>
            </w:tcMar>
            <w:vAlign w:val="bottom"/>
          </w:tcPr>
          <w:p w14:paraId="71F3F51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1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14"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1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51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17"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18"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Time deposits (Note 2 (c))</w:t>
            </w:r>
          </w:p>
        </w:tc>
        <w:tc>
          <w:tcPr>
            <w:tcW w:w="180" w:type="dxa"/>
            <w:tcBorders>
              <w:top w:val="nil"/>
              <w:left w:val="nil"/>
              <w:bottom w:val="nil"/>
              <w:right w:val="nil"/>
              <w:tl2br w:val="nil"/>
              <w:tr2bl w:val="nil"/>
            </w:tcBorders>
            <w:noWrap/>
            <w:tcMar>
              <w:left w:w="0" w:type="dxa"/>
              <w:right w:w="0" w:type="dxa"/>
            </w:tcMar>
            <w:vAlign w:val="bottom"/>
          </w:tcPr>
          <w:p w14:paraId="71F3F519"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1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63,500</w:t>
            </w:r>
          </w:p>
        </w:tc>
        <w:tc>
          <w:tcPr>
            <w:tcW w:w="180" w:type="dxa"/>
            <w:tcBorders>
              <w:top w:val="nil"/>
              <w:left w:val="nil"/>
              <w:bottom w:val="nil"/>
              <w:right w:val="nil"/>
              <w:tl2br w:val="nil"/>
              <w:tr2bl w:val="nil"/>
            </w:tcBorders>
            <w:noWrap/>
            <w:tcMar>
              <w:left w:w="0" w:type="dxa"/>
              <w:right w:w="0" w:type="dxa"/>
            </w:tcMar>
            <w:vAlign w:val="bottom"/>
          </w:tcPr>
          <w:p w14:paraId="71F3F51B"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1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(23,500)</w:t>
            </w:r>
          </w:p>
        </w:tc>
        <w:tc>
          <w:tcPr>
            <w:tcW w:w="180" w:type="dxa"/>
            <w:tcBorders>
              <w:top w:val="nil"/>
              <w:left w:val="nil"/>
              <w:bottom w:val="nil"/>
              <w:right w:val="nil"/>
              <w:tl2br w:val="nil"/>
              <w:tr2bl w:val="nil"/>
            </w:tcBorders>
            <w:noWrap/>
            <w:tcMar>
              <w:left w:w="0" w:type="dxa"/>
              <w:right w:w="0" w:type="dxa"/>
            </w:tcMar>
            <w:vAlign w:val="bottom"/>
          </w:tcPr>
          <w:p w14:paraId="71F3F51D"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1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6,500</w:t>
            </w:r>
          </w:p>
        </w:tc>
      </w:tr>
      <w:tr w:rsidR="00510CAA" w14:paraId="71F3F5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20"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21"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to acquire other assets</w:t>
            </w:r>
          </w:p>
        </w:tc>
        <w:tc>
          <w:tcPr>
            <w:tcW w:w="180" w:type="dxa"/>
            <w:tcBorders>
              <w:top w:val="nil"/>
              <w:left w:val="nil"/>
              <w:bottom w:val="nil"/>
              <w:right w:val="nil"/>
              <w:tl2br w:val="nil"/>
              <w:tr2bl w:val="nil"/>
            </w:tcBorders>
            <w:noWrap/>
            <w:tcMar>
              <w:left w:w="0" w:type="dxa"/>
              <w:right w:w="0" w:type="dxa"/>
            </w:tcMar>
            <w:vAlign w:val="bottom"/>
          </w:tcPr>
          <w:p w14:paraId="71F3F522"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2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2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2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26"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2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(216)</w:t>
            </w:r>
          </w:p>
        </w:tc>
      </w:tr>
      <w:tr w:rsidR="00510CAA" w14:paraId="71F3F53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29"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2A"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Cash divested from deconsolidation</w:t>
            </w:r>
          </w:p>
        </w:tc>
        <w:tc>
          <w:tcPr>
            <w:tcW w:w="180" w:type="dxa"/>
            <w:tcBorders>
              <w:top w:val="nil"/>
              <w:left w:val="nil"/>
              <w:bottom w:val="nil"/>
              <w:right w:val="nil"/>
              <w:tl2br w:val="nil"/>
              <w:tr2bl w:val="nil"/>
            </w:tcBorders>
            <w:noWrap/>
            <w:tcMar>
              <w:left w:w="0" w:type="dxa"/>
              <w:right w:w="0" w:type="dxa"/>
            </w:tcMar>
            <w:vAlign w:val="bottom"/>
          </w:tcPr>
          <w:p w14:paraId="71F3F52B"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2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2D"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2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2F"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3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(771)</w:t>
            </w:r>
          </w:p>
        </w:tc>
      </w:tr>
      <w:tr w:rsidR="00510CAA" w14:paraId="71F3F53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32"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33"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Proceeds from convertible loan with limited partnership</w:t>
            </w:r>
          </w:p>
        </w:tc>
        <w:tc>
          <w:tcPr>
            <w:tcW w:w="180" w:type="dxa"/>
            <w:tcBorders>
              <w:top w:val="nil"/>
              <w:left w:val="nil"/>
              <w:bottom w:val="nil"/>
              <w:right w:val="nil"/>
              <w:tl2br w:val="nil"/>
              <w:tr2bl w:val="nil"/>
            </w:tcBorders>
            <w:noWrap/>
            <w:tcMar>
              <w:left w:w="0" w:type="dxa"/>
              <w:right w:w="0" w:type="dxa"/>
            </w:tcMar>
            <w:vAlign w:val="bottom"/>
          </w:tcPr>
          <w:p w14:paraId="71F3F53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3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3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3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38"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3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25,189</w:t>
            </w:r>
          </w:p>
        </w:tc>
      </w:tr>
      <w:tr w:rsidR="00510CAA" w14:paraId="71F3F54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3B"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3C"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to acquire property, furniture and fixtures (Note 7)</w:t>
            </w:r>
          </w:p>
        </w:tc>
        <w:tc>
          <w:tcPr>
            <w:tcW w:w="180" w:type="dxa"/>
            <w:tcBorders>
              <w:top w:val="nil"/>
              <w:left w:val="nil"/>
              <w:bottom w:val="nil"/>
              <w:right w:val="nil"/>
              <w:tl2br w:val="nil"/>
              <w:tr2bl w:val="nil"/>
            </w:tcBorders>
            <w:noWrap/>
            <w:tcMar>
              <w:left w:w="0" w:type="dxa"/>
              <w:right w:w="0" w:type="dxa"/>
            </w:tcMar>
            <w:vAlign w:val="bottom"/>
          </w:tcPr>
          <w:p w14:paraId="71F3F53D"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3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(1,671)</w:t>
            </w:r>
          </w:p>
        </w:tc>
        <w:tc>
          <w:tcPr>
            <w:tcW w:w="180" w:type="dxa"/>
            <w:tcBorders>
              <w:top w:val="nil"/>
              <w:left w:val="nil"/>
              <w:bottom w:val="nil"/>
              <w:right w:val="nil"/>
              <w:tl2br w:val="nil"/>
              <w:tr2bl w:val="nil"/>
            </w:tcBorders>
            <w:noWrap/>
            <w:tcMar>
              <w:left w:w="0" w:type="dxa"/>
              <w:right w:w="0" w:type="dxa"/>
            </w:tcMar>
            <w:vAlign w:val="bottom"/>
          </w:tcPr>
          <w:p w14:paraId="71F3F53F"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4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(3,718)</w:t>
            </w:r>
          </w:p>
        </w:tc>
        <w:tc>
          <w:tcPr>
            <w:tcW w:w="180" w:type="dxa"/>
            <w:tcBorders>
              <w:top w:val="nil"/>
              <w:left w:val="nil"/>
              <w:bottom w:val="nil"/>
              <w:right w:val="nil"/>
              <w:tl2br w:val="nil"/>
              <w:tr2bl w:val="nil"/>
            </w:tcBorders>
            <w:noWrap/>
            <w:tcMar>
              <w:left w:w="0" w:type="dxa"/>
              <w:right w:w="0" w:type="dxa"/>
            </w:tcMar>
            <w:vAlign w:val="bottom"/>
          </w:tcPr>
          <w:p w14:paraId="71F3F541" w14:textId="77777777" w:rsidR="00510CAA" w:rsidRDefault="00510CAA">
            <w:pPr>
              <w:keepNext/>
              <w:jc w:val="right"/>
              <w:rPr>
                <w:rFonts w:ascii="Arial" w:eastAsia="Arial" w:hAnsi="Arial" w:cs="Arial"/>
                <w:color w:val="000000"/>
                <w:sz w:val="16"/>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4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(2,006)</w:t>
            </w:r>
          </w:p>
        </w:tc>
      </w:tr>
      <w:tr w:rsidR="00510CAA" w14:paraId="71F3F54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655" w:type="dxa"/>
            <w:gridSpan w:val="3"/>
            <w:tcBorders>
              <w:top w:val="nil"/>
              <w:left w:val="nil"/>
              <w:bottom w:val="nil"/>
              <w:right w:val="nil"/>
              <w:tl2br w:val="nil"/>
              <w:tr2bl w:val="nil"/>
            </w:tcBorders>
            <w:tcMar>
              <w:left w:w="0" w:type="dxa"/>
              <w:right w:w="0" w:type="dxa"/>
            </w:tcMar>
            <w:vAlign w:val="bottom"/>
          </w:tcPr>
          <w:p w14:paraId="71F3F544"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Net Cash Provided by/(Used in) Investing Activities</w:t>
            </w:r>
          </w:p>
        </w:tc>
        <w:tc>
          <w:tcPr>
            <w:tcW w:w="180" w:type="dxa"/>
            <w:tcBorders>
              <w:top w:val="nil"/>
              <w:left w:val="nil"/>
              <w:bottom w:val="nil"/>
              <w:right w:val="nil"/>
              <w:tl2br w:val="nil"/>
              <w:tr2bl w:val="nil"/>
            </w:tcBorders>
            <w:noWrap/>
            <w:tcMar>
              <w:left w:w="0" w:type="dxa"/>
              <w:right w:w="0" w:type="dxa"/>
            </w:tcMar>
            <w:vAlign w:val="bottom"/>
          </w:tcPr>
          <w:p w14:paraId="71F3F54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0" w:type="dxa"/>
            </w:tcMar>
            <w:vAlign w:val="bottom"/>
          </w:tcPr>
          <w:p w14:paraId="71F3F54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(32,009)</w:t>
            </w:r>
          </w:p>
        </w:tc>
        <w:tc>
          <w:tcPr>
            <w:tcW w:w="180" w:type="dxa"/>
            <w:tcBorders>
              <w:top w:val="nil"/>
              <w:left w:val="nil"/>
              <w:bottom w:val="nil"/>
              <w:right w:val="nil"/>
              <w:tl2br w:val="nil"/>
              <w:tr2bl w:val="nil"/>
            </w:tcBorders>
            <w:noWrap/>
            <w:tcMar>
              <w:left w:w="0" w:type="dxa"/>
              <w:right w:w="60" w:type="dxa"/>
            </w:tcMar>
            <w:vAlign w:val="bottom"/>
          </w:tcPr>
          <w:p w14:paraId="71F3F54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0" w:type="dxa"/>
            </w:tcMar>
            <w:vAlign w:val="bottom"/>
          </w:tcPr>
          <w:p w14:paraId="71F3F54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(39,783)</w:t>
            </w:r>
          </w:p>
        </w:tc>
        <w:tc>
          <w:tcPr>
            <w:tcW w:w="180" w:type="dxa"/>
            <w:tcBorders>
              <w:top w:val="nil"/>
              <w:left w:val="nil"/>
              <w:bottom w:val="nil"/>
              <w:right w:val="nil"/>
              <w:tl2br w:val="nil"/>
              <w:tr2bl w:val="nil"/>
            </w:tcBorders>
            <w:noWrap/>
            <w:tcMar>
              <w:left w:w="0" w:type="dxa"/>
              <w:right w:w="60" w:type="dxa"/>
            </w:tcMar>
            <w:vAlign w:val="bottom"/>
          </w:tcPr>
          <w:p w14:paraId="71F3F54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single" w:sz="4" w:space="0" w:color="000000"/>
              <w:left w:val="nil"/>
              <w:bottom w:val="dotted" w:sz="2" w:space="0" w:color="000000"/>
              <w:right w:val="nil"/>
              <w:tl2br w:val="nil"/>
              <w:tr2bl w:val="nil"/>
            </w:tcBorders>
            <w:noWrap/>
            <w:tcMar>
              <w:left w:w="0" w:type="dxa"/>
              <w:right w:w="60" w:type="dxa"/>
            </w:tcMar>
            <w:vAlign w:val="bottom"/>
          </w:tcPr>
          <w:p w14:paraId="71F3F54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24,929</w:t>
            </w:r>
          </w:p>
        </w:tc>
      </w:tr>
      <w:tr w:rsidR="00510CAA" w14:paraId="71F3F55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5655" w:type="dxa"/>
            <w:gridSpan w:val="3"/>
            <w:tcBorders>
              <w:top w:val="nil"/>
              <w:left w:val="nil"/>
              <w:bottom w:val="nil"/>
              <w:right w:val="nil"/>
              <w:tl2br w:val="nil"/>
              <w:tr2bl w:val="nil"/>
            </w:tcBorders>
            <w:tcMar>
              <w:left w:w="0" w:type="dxa"/>
              <w:right w:w="0" w:type="dxa"/>
            </w:tcMar>
            <w:vAlign w:val="bottom"/>
          </w:tcPr>
          <w:p w14:paraId="71F3F54C"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 xml:space="preserve"> Cash Flows from Financing Activities: </w:t>
            </w:r>
          </w:p>
        </w:tc>
        <w:tc>
          <w:tcPr>
            <w:tcW w:w="180" w:type="dxa"/>
            <w:tcBorders>
              <w:top w:val="nil"/>
              <w:left w:val="nil"/>
              <w:bottom w:val="nil"/>
              <w:right w:val="nil"/>
              <w:tl2br w:val="nil"/>
              <w:tr2bl w:val="nil"/>
            </w:tcBorders>
            <w:noWrap/>
            <w:tcMar>
              <w:left w:w="0" w:type="dxa"/>
              <w:right w:w="0" w:type="dxa"/>
            </w:tcMar>
            <w:vAlign w:val="bottom"/>
          </w:tcPr>
          <w:p w14:paraId="71F3F54D" w14:textId="77777777" w:rsidR="00510CAA" w:rsidRDefault="00510CAA">
            <w:pPr>
              <w:keepNext/>
              <w:jc w:val="right"/>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4E"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4F" w14:textId="77777777" w:rsidR="00510CAA" w:rsidRDefault="00510CAA">
            <w:pPr>
              <w:keepNext/>
              <w:jc w:val="right"/>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50"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51" w14:textId="77777777" w:rsidR="00510CAA" w:rsidRDefault="00510CAA">
            <w:pPr>
              <w:keepNext/>
              <w:jc w:val="right"/>
              <w:rPr>
                <w:rFonts w:ascii="Arial" w:eastAsia="Arial" w:hAnsi="Arial" w:cs="Arial"/>
                <w:b/>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52" w14:textId="77777777" w:rsidR="00510CAA" w:rsidRDefault="00510CAA">
            <w:pPr>
              <w:keepNext/>
              <w:jc w:val="right"/>
              <w:rPr>
                <w:rFonts w:ascii="Arial" w:eastAsia="Arial" w:hAnsi="Arial" w:cs="Arial"/>
                <w:color w:val="000000"/>
                <w:sz w:val="18"/>
              </w:rPr>
            </w:pPr>
          </w:p>
        </w:tc>
      </w:tr>
      <w:tr w:rsidR="00510CAA" w14:paraId="71F3F55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75"/>
        </w:trPr>
        <w:tc>
          <w:tcPr>
            <w:tcW w:w="90" w:type="dxa"/>
            <w:tcBorders>
              <w:top w:val="nil"/>
              <w:left w:val="nil"/>
              <w:bottom w:val="nil"/>
              <w:right w:val="nil"/>
              <w:tl2br w:val="nil"/>
              <w:tr2bl w:val="nil"/>
            </w:tcBorders>
            <w:tcMar>
              <w:left w:w="0" w:type="dxa"/>
              <w:right w:w="0" w:type="dxa"/>
            </w:tcMar>
            <w:vAlign w:val="bottom"/>
          </w:tcPr>
          <w:p w14:paraId="71F3F554"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55"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Proceeds from issuance of long-term debt and finance liabilities (Note 8)</w:t>
            </w:r>
          </w:p>
        </w:tc>
        <w:tc>
          <w:tcPr>
            <w:tcW w:w="180" w:type="dxa"/>
            <w:tcBorders>
              <w:top w:val="nil"/>
              <w:left w:val="nil"/>
              <w:bottom w:val="nil"/>
              <w:right w:val="nil"/>
              <w:tl2br w:val="nil"/>
              <w:tr2bl w:val="nil"/>
            </w:tcBorders>
            <w:noWrap/>
            <w:tcMar>
              <w:left w:w="0" w:type="dxa"/>
              <w:right w:w="0" w:type="dxa"/>
            </w:tcMar>
            <w:vAlign w:val="bottom"/>
          </w:tcPr>
          <w:p w14:paraId="71F3F55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5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55,000</w:t>
            </w:r>
          </w:p>
        </w:tc>
        <w:tc>
          <w:tcPr>
            <w:tcW w:w="180" w:type="dxa"/>
            <w:tcBorders>
              <w:top w:val="nil"/>
              <w:left w:val="nil"/>
              <w:bottom w:val="nil"/>
              <w:right w:val="nil"/>
              <w:tl2br w:val="nil"/>
              <w:tr2bl w:val="nil"/>
            </w:tcBorders>
            <w:noWrap/>
            <w:tcMar>
              <w:left w:w="0" w:type="dxa"/>
              <w:right w:w="0" w:type="dxa"/>
            </w:tcMar>
            <w:vAlign w:val="bottom"/>
          </w:tcPr>
          <w:p w14:paraId="71F3F55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5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117,150</w:t>
            </w:r>
          </w:p>
        </w:tc>
        <w:tc>
          <w:tcPr>
            <w:tcW w:w="180" w:type="dxa"/>
            <w:tcBorders>
              <w:top w:val="nil"/>
              <w:left w:val="nil"/>
              <w:bottom w:val="nil"/>
              <w:right w:val="nil"/>
              <w:tl2br w:val="nil"/>
              <w:tr2bl w:val="nil"/>
            </w:tcBorders>
            <w:noWrap/>
            <w:tcMar>
              <w:left w:w="0" w:type="dxa"/>
              <w:right w:w="0" w:type="dxa"/>
            </w:tcMar>
            <w:vAlign w:val="bottom"/>
          </w:tcPr>
          <w:p w14:paraId="71F3F55A"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5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57,696</w:t>
            </w:r>
          </w:p>
        </w:tc>
      </w:tr>
      <w:tr w:rsidR="00510CAA" w14:paraId="71F3F56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5D"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5E"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Proceeds from issuance of common stock, net of fees (Note 11(h))</w:t>
            </w:r>
          </w:p>
        </w:tc>
        <w:tc>
          <w:tcPr>
            <w:tcW w:w="180" w:type="dxa"/>
            <w:tcBorders>
              <w:top w:val="nil"/>
              <w:left w:val="nil"/>
              <w:bottom w:val="nil"/>
              <w:right w:val="nil"/>
              <w:tl2br w:val="nil"/>
              <w:tr2bl w:val="nil"/>
            </w:tcBorders>
            <w:noWrap/>
            <w:tcMar>
              <w:left w:w="0" w:type="dxa"/>
              <w:right w:w="0" w:type="dxa"/>
            </w:tcMar>
            <w:vAlign w:val="bottom"/>
          </w:tcPr>
          <w:p w14:paraId="71F3F55F"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6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93</w:t>
            </w:r>
          </w:p>
        </w:tc>
        <w:tc>
          <w:tcPr>
            <w:tcW w:w="180" w:type="dxa"/>
            <w:tcBorders>
              <w:top w:val="nil"/>
              <w:left w:val="nil"/>
              <w:bottom w:val="nil"/>
              <w:right w:val="nil"/>
              <w:tl2br w:val="nil"/>
              <w:tr2bl w:val="nil"/>
            </w:tcBorders>
            <w:noWrap/>
            <w:tcMar>
              <w:left w:w="0" w:type="dxa"/>
              <w:right w:w="0" w:type="dxa"/>
            </w:tcMar>
            <w:vAlign w:val="bottom"/>
          </w:tcPr>
          <w:p w14:paraId="71F3F561"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6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24,195</w:t>
            </w:r>
          </w:p>
        </w:tc>
        <w:tc>
          <w:tcPr>
            <w:tcW w:w="180" w:type="dxa"/>
            <w:tcBorders>
              <w:top w:val="nil"/>
              <w:left w:val="nil"/>
              <w:bottom w:val="nil"/>
              <w:right w:val="nil"/>
              <w:tl2br w:val="nil"/>
              <w:tr2bl w:val="nil"/>
            </w:tcBorders>
            <w:noWrap/>
            <w:tcMar>
              <w:left w:w="0" w:type="dxa"/>
              <w:right w:w="0" w:type="dxa"/>
            </w:tcMar>
            <w:vAlign w:val="bottom"/>
          </w:tcPr>
          <w:p w14:paraId="71F3F563"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6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5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66"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67"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for issuance of common stock (Note 11(e))</w:t>
            </w:r>
          </w:p>
        </w:tc>
        <w:tc>
          <w:tcPr>
            <w:tcW w:w="180" w:type="dxa"/>
            <w:tcBorders>
              <w:top w:val="nil"/>
              <w:left w:val="nil"/>
              <w:bottom w:val="nil"/>
              <w:right w:val="nil"/>
              <w:tl2br w:val="nil"/>
              <w:tr2bl w:val="nil"/>
            </w:tcBorders>
            <w:noWrap/>
            <w:tcMar>
              <w:left w:w="0" w:type="dxa"/>
              <w:right w:w="0" w:type="dxa"/>
            </w:tcMar>
            <w:vAlign w:val="bottom"/>
          </w:tcPr>
          <w:p w14:paraId="71F3F568"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6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6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6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6C"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6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(79)</w:t>
            </w:r>
          </w:p>
        </w:tc>
      </w:tr>
      <w:tr w:rsidR="00510CAA" w14:paraId="71F3F57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6F"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70"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of dividends, preferred stock (Note 11(b))</w:t>
            </w:r>
          </w:p>
        </w:tc>
        <w:tc>
          <w:tcPr>
            <w:tcW w:w="180" w:type="dxa"/>
            <w:tcBorders>
              <w:top w:val="nil"/>
              <w:left w:val="nil"/>
              <w:bottom w:val="nil"/>
              <w:right w:val="nil"/>
              <w:tl2br w:val="nil"/>
              <w:tr2bl w:val="nil"/>
            </w:tcBorders>
            <w:noWrap/>
            <w:tcMar>
              <w:left w:w="0" w:type="dxa"/>
              <w:right w:w="0" w:type="dxa"/>
            </w:tcMar>
            <w:vAlign w:val="bottom"/>
          </w:tcPr>
          <w:p w14:paraId="71F3F571"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7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c>
          <w:tcPr>
            <w:tcW w:w="180" w:type="dxa"/>
            <w:tcBorders>
              <w:top w:val="nil"/>
              <w:left w:val="nil"/>
              <w:bottom w:val="nil"/>
              <w:right w:val="nil"/>
              <w:tl2br w:val="nil"/>
              <w:tr2bl w:val="nil"/>
            </w:tcBorders>
            <w:noWrap/>
            <w:tcMar>
              <w:left w:w="0" w:type="dxa"/>
              <w:right w:w="0" w:type="dxa"/>
            </w:tcMar>
            <w:vAlign w:val="bottom"/>
          </w:tcPr>
          <w:p w14:paraId="71F3F573"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7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c>
          <w:tcPr>
            <w:tcW w:w="180" w:type="dxa"/>
            <w:tcBorders>
              <w:top w:val="nil"/>
              <w:left w:val="nil"/>
              <w:bottom w:val="nil"/>
              <w:right w:val="nil"/>
              <w:tl2br w:val="nil"/>
              <w:tr2bl w:val="nil"/>
            </w:tcBorders>
            <w:noWrap/>
            <w:tcMar>
              <w:left w:w="0" w:type="dxa"/>
              <w:right w:w="0" w:type="dxa"/>
            </w:tcMar>
            <w:vAlign w:val="bottom"/>
          </w:tcPr>
          <w:p w14:paraId="71F3F575"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7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(5,769)</w:t>
            </w:r>
          </w:p>
        </w:tc>
      </w:tr>
      <w:tr w:rsidR="00510CAA" w14:paraId="71F3F5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78"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79"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of dividends, common stock (Note 11(f))</w:t>
            </w:r>
          </w:p>
        </w:tc>
        <w:tc>
          <w:tcPr>
            <w:tcW w:w="180" w:type="dxa"/>
            <w:tcBorders>
              <w:top w:val="nil"/>
              <w:left w:val="nil"/>
              <w:bottom w:val="nil"/>
              <w:right w:val="nil"/>
              <w:tl2br w:val="nil"/>
              <w:tr2bl w:val="nil"/>
            </w:tcBorders>
            <w:noWrap/>
            <w:tcMar>
              <w:left w:w="0" w:type="dxa"/>
              <w:right w:w="0" w:type="dxa"/>
            </w:tcMar>
            <w:vAlign w:val="bottom"/>
          </w:tcPr>
          <w:p w14:paraId="71F3F57A"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7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(4,630)</w:t>
            </w:r>
          </w:p>
        </w:tc>
        <w:tc>
          <w:tcPr>
            <w:tcW w:w="180" w:type="dxa"/>
            <w:tcBorders>
              <w:top w:val="nil"/>
              <w:left w:val="nil"/>
              <w:bottom w:val="nil"/>
              <w:right w:val="nil"/>
              <w:tl2br w:val="nil"/>
              <w:tr2bl w:val="nil"/>
            </w:tcBorders>
            <w:noWrap/>
            <w:tcMar>
              <w:left w:w="0" w:type="dxa"/>
              <w:right w:w="0" w:type="dxa"/>
            </w:tcMar>
            <w:vAlign w:val="bottom"/>
          </w:tcPr>
          <w:p w14:paraId="71F3F57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7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(29,004)</w:t>
            </w:r>
          </w:p>
        </w:tc>
        <w:tc>
          <w:tcPr>
            <w:tcW w:w="180" w:type="dxa"/>
            <w:tcBorders>
              <w:top w:val="nil"/>
              <w:left w:val="nil"/>
              <w:bottom w:val="nil"/>
              <w:right w:val="nil"/>
              <w:tl2br w:val="nil"/>
              <w:tr2bl w:val="nil"/>
            </w:tcBorders>
            <w:noWrap/>
            <w:tcMar>
              <w:left w:w="0" w:type="dxa"/>
              <w:right w:w="0" w:type="dxa"/>
            </w:tcMar>
            <w:vAlign w:val="bottom"/>
          </w:tcPr>
          <w:p w14:paraId="71F3F57E"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7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(41,427)</w:t>
            </w:r>
          </w:p>
        </w:tc>
      </w:tr>
      <w:tr w:rsidR="00510CAA" w14:paraId="71F3F58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81"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82"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for repurchase of common stock (Note 11(e))</w:t>
            </w:r>
          </w:p>
        </w:tc>
        <w:tc>
          <w:tcPr>
            <w:tcW w:w="180" w:type="dxa"/>
            <w:tcBorders>
              <w:top w:val="nil"/>
              <w:left w:val="nil"/>
              <w:bottom w:val="nil"/>
              <w:right w:val="nil"/>
              <w:tl2br w:val="nil"/>
              <w:tr2bl w:val="nil"/>
            </w:tcBorders>
            <w:noWrap/>
            <w:tcMar>
              <w:left w:w="0" w:type="dxa"/>
              <w:right w:w="0" w:type="dxa"/>
            </w:tcMar>
            <w:vAlign w:val="bottom"/>
          </w:tcPr>
          <w:p w14:paraId="71F3F583"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8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(23,048)</w:t>
            </w:r>
          </w:p>
        </w:tc>
        <w:tc>
          <w:tcPr>
            <w:tcW w:w="180" w:type="dxa"/>
            <w:tcBorders>
              <w:top w:val="nil"/>
              <w:left w:val="nil"/>
              <w:bottom w:val="nil"/>
              <w:right w:val="nil"/>
              <w:tl2br w:val="nil"/>
              <w:tr2bl w:val="nil"/>
            </w:tcBorders>
            <w:noWrap/>
            <w:tcMar>
              <w:left w:w="0" w:type="dxa"/>
              <w:right w:w="0" w:type="dxa"/>
            </w:tcMar>
            <w:vAlign w:val="bottom"/>
          </w:tcPr>
          <w:p w14:paraId="71F3F585"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8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87"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8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59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8A"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8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Payments of financing costs (Notes 8 and 9)</w:t>
            </w:r>
          </w:p>
        </w:tc>
        <w:tc>
          <w:tcPr>
            <w:tcW w:w="180" w:type="dxa"/>
            <w:tcBorders>
              <w:top w:val="nil"/>
              <w:left w:val="nil"/>
              <w:bottom w:val="nil"/>
              <w:right w:val="nil"/>
              <w:tl2br w:val="nil"/>
              <w:tr2bl w:val="nil"/>
            </w:tcBorders>
            <w:noWrap/>
            <w:tcMar>
              <w:left w:w="0" w:type="dxa"/>
              <w:right w:w="0" w:type="dxa"/>
            </w:tcMar>
            <w:vAlign w:val="bottom"/>
          </w:tcPr>
          <w:p w14:paraId="71F3F58C"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8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(348)</w:t>
            </w:r>
          </w:p>
        </w:tc>
        <w:tc>
          <w:tcPr>
            <w:tcW w:w="180" w:type="dxa"/>
            <w:tcBorders>
              <w:top w:val="nil"/>
              <w:left w:val="nil"/>
              <w:bottom w:val="nil"/>
              <w:right w:val="nil"/>
              <w:tl2br w:val="nil"/>
              <w:tr2bl w:val="nil"/>
            </w:tcBorders>
            <w:noWrap/>
            <w:tcMar>
              <w:left w:w="0" w:type="dxa"/>
              <w:right w:w="0" w:type="dxa"/>
            </w:tcMar>
            <w:vAlign w:val="bottom"/>
          </w:tcPr>
          <w:p w14:paraId="71F3F58E"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8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(5,238)</w:t>
            </w:r>
          </w:p>
        </w:tc>
        <w:tc>
          <w:tcPr>
            <w:tcW w:w="180" w:type="dxa"/>
            <w:tcBorders>
              <w:top w:val="nil"/>
              <w:left w:val="nil"/>
              <w:bottom w:val="nil"/>
              <w:right w:val="nil"/>
              <w:tl2br w:val="nil"/>
              <w:tr2bl w:val="nil"/>
            </w:tcBorders>
            <w:noWrap/>
            <w:tcMar>
              <w:left w:w="0" w:type="dxa"/>
              <w:right w:w="0" w:type="dxa"/>
            </w:tcMar>
            <w:vAlign w:val="bottom"/>
          </w:tcPr>
          <w:p w14:paraId="71F3F59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9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(1,724)</w:t>
            </w:r>
          </w:p>
        </w:tc>
      </w:tr>
      <w:tr w:rsidR="00510CAA" w14:paraId="71F3F59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93"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94"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Repayments of long-term debt and finance liabilities (Notes 8 and 9)</w:t>
            </w:r>
          </w:p>
        </w:tc>
        <w:tc>
          <w:tcPr>
            <w:tcW w:w="180" w:type="dxa"/>
            <w:tcBorders>
              <w:top w:val="nil"/>
              <w:left w:val="nil"/>
              <w:bottom w:val="nil"/>
              <w:right w:val="nil"/>
              <w:tl2br w:val="nil"/>
              <w:tr2bl w:val="nil"/>
            </w:tcBorders>
            <w:noWrap/>
            <w:tcMar>
              <w:left w:w="0" w:type="dxa"/>
              <w:right w:w="0" w:type="dxa"/>
            </w:tcMar>
            <w:vAlign w:val="bottom"/>
          </w:tcPr>
          <w:p w14:paraId="71F3F595"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9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(58,207)</w:t>
            </w:r>
          </w:p>
        </w:tc>
        <w:tc>
          <w:tcPr>
            <w:tcW w:w="180" w:type="dxa"/>
            <w:tcBorders>
              <w:top w:val="nil"/>
              <w:left w:val="nil"/>
              <w:bottom w:val="nil"/>
              <w:right w:val="nil"/>
              <w:tl2br w:val="nil"/>
              <w:tr2bl w:val="nil"/>
            </w:tcBorders>
            <w:noWrap/>
            <w:tcMar>
              <w:left w:w="0" w:type="dxa"/>
              <w:right w:w="0" w:type="dxa"/>
            </w:tcMar>
            <w:vAlign w:val="bottom"/>
          </w:tcPr>
          <w:p w14:paraId="71F3F597"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9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(123,007)</w:t>
            </w:r>
          </w:p>
        </w:tc>
        <w:tc>
          <w:tcPr>
            <w:tcW w:w="180" w:type="dxa"/>
            <w:tcBorders>
              <w:top w:val="nil"/>
              <w:left w:val="nil"/>
              <w:bottom w:val="nil"/>
              <w:right w:val="nil"/>
              <w:tl2br w:val="nil"/>
              <w:tr2bl w:val="nil"/>
            </w:tcBorders>
            <w:noWrap/>
            <w:tcMar>
              <w:left w:w="0" w:type="dxa"/>
              <w:right w:w="0" w:type="dxa"/>
            </w:tcMar>
            <w:vAlign w:val="bottom"/>
          </w:tcPr>
          <w:p w14:paraId="71F3F599" w14:textId="77777777" w:rsidR="00510CAA" w:rsidRDefault="00510CAA">
            <w:pPr>
              <w:keepNext/>
              <w:jc w:val="right"/>
              <w:rPr>
                <w:rFonts w:ascii="Arial" w:eastAsia="Arial" w:hAnsi="Arial" w:cs="Arial"/>
                <w:color w:val="000000"/>
                <w:sz w:val="16"/>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59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(79,842)</w:t>
            </w:r>
          </w:p>
        </w:tc>
      </w:tr>
      <w:tr w:rsidR="00510CAA" w14:paraId="71F3F5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655" w:type="dxa"/>
            <w:gridSpan w:val="3"/>
            <w:tcBorders>
              <w:top w:val="nil"/>
              <w:left w:val="nil"/>
              <w:bottom w:val="nil"/>
              <w:right w:val="nil"/>
              <w:tl2br w:val="nil"/>
              <w:tr2bl w:val="nil"/>
            </w:tcBorders>
            <w:tcMar>
              <w:left w:w="0" w:type="dxa"/>
              <w:right w:w="0" w:type="dxa"/>
            </w:tcMar>
            <w:vAlign w:val="bottom"/>
          </w:tcPr>
          <w:p w14:paraId="71F3F59C"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Net Cash Used in Financing Activities</w:t>
            </w:r>
          </w:p>
        </w:tc>
        <w:tc>
          <w:tcPr>
            <w:tcW w:w="180" w:type="dxa"/>
            <w:tcBorders>
              <w:top w:val="nil"/>
              <w:left w:val="nil"/>
              <w:bottom w:val="nil"/>
              <w:right w:val="nil"/>
              <w:tl2br w:val="nil"/>
              <w:tr2bl w:val="nil"/>
            </w:tcBorders>
            <w:noWrap/>
            <w:tcMar>
              <w:left w:w="0" w:type="dxa"/>
              <w:right w:w="0" w:type="dxa"/>
            </w:tcMar>
            <w:vAlign w:val="bottom"/>
          </w:tcPr>
          <w:p w14:paraId="71F3F59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0" w:type="dxa"/>
            </w:tcMar>
            <w:vAlign w:val="bottom"/>
          </w:tcPr>
          <w:p w14:paraId="71F3F59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(36,909)</w:t>
            </w:r>
          </w:p>
        </w:tc>
        <w:tc>
          <w:tcPr>
            <w:tcW w:w="180" w:type="dxa"/>
            <w:tcBorders>
              <w:top w:val="nil"/>
              <w:left w:val="nil"/>
              <w:bottom w:val="nil"/>
              <w:right w:val="nil"/>
              <w:tl2br w:val="nil"/>
              <w:tr2bl w:val="nil"/>
            </w:tcBorders>
            <w:noWrap/>
            <w:tcMar>
              <w:left w:w="0" w:type="dxa"/>
              <w:right w:w="60" w:type="dxa"/>
            </w:tcMar>
            <w:vAlign w:val="bottom"/>
          </w:tcPr>
          <w:p w14:paraId="71F3F59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2" w:space="0" w:color="000000"/>
              <w:right w:val="nil"/>
              <w:tl2br w:val="nil"/>
              <w:tr2bl w:val="nil"/>
            </w:tcBorders>
            <w:noWrap/>
            <w:tcMar>
              <w:left w:w="0" w:type="dxa"/>
              <w:right w:w="0" w:type="dxa"/>
            </w:tcMar>
            <w:vAlign w:val="bottom"/>
          </w:tcPr>
          <w:p w14:paraId="71F3F5A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(21,673)</w:t>
            </w:r>
          </w:p>
        </w:tc>
        <w:tc>
          <w:tcPr>
            <w:tcW w:w="180" w:type="dxa"/>
            <w:tcBorders>
              <w:top w:val="nil"/>
              <w:left w:val="nil"/>
              <w:bottom w:val="nil"/>
              <w:right w:val="nil"/>
              <w:tl2br w:val="nil"/>
              <w:tr2bl w:val="nil"/>
            </w:tcBorders>
            <w:noWrap/>
            <w:tcMar>
              <w:left w:w="0" w:type="dxa"/>
              <w:right w:w="60" w:type="dxa"/>
            </w:tcMar>
            <w:vAlign w:val="bottom"/>
          </w:tcPr>
          <w:p w14:paraId="71F3F5A1"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single" w:sz="4" w:space="0" w:color="000000"/>
              <w:left w:val="nil"/>
              <w:bottom w:val="dotted" w:sz="2" w:space="0" w:color="000000"/>
              <w:right w:val="nil"/>
              <w:tl2br w:val="nil"/>
              <w:tr2bl w:val="nil"/>
            </w:tcBorders>
            <w:noWrap/>
            <w:tcMar>
              <w:left w:w="0" w:type="dxa"/>
              <w:right w:w="0" w:type="dxa"/>
            </w:tcMar>
            <w:vAlign w:val="bottom"/>
          </w:tcPr>
          <w:p w14:paraId="71F3F5A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(71,145)</w:t>
            </w:r>
          </w:p>
        </w:tc>
      </w:tr>
      <w:tr w:rsidR="00510CAA" w14:paraId="71F3F5A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50"/>
        </w:trPr>
        <w:tc>
          <w:tcPr>
            <w:tcW w:w="5655" w:type="dxa"/>
            <w:gridSpan w:val="3"/>
            <w:tcBorders>
              <w:top w:val="nil"/>
              <w:left w:val="nil"/>
              <w:bottom w:val="nil"/>
              <w:right w:val="nil"/>
              <w:tl2br w:val="nil"/>
              <w:tr2bl w:val="nil"/>
            </w:tcBorders>
            <w:tcMar>
              <w:left w:w="0" w:type="dxa"/>
              <w:right w:w="0" w:type="dxa"/>
            </w:tcMar>
            <w:vAlign w:val="bottom"/>
          </w:tcPr>
          <w:p w14:paraId="71F3F5A4"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Cash, Cash Equivalents and Restricted Cash, Year Increase/(Decrease)</w:t>
            </w:r>
          </w:p>
        </w:tc>
        <w:tc>
          <w:tcPr>
            <w:tcW w:w="180" w:type="dxa"/>
            <w:tcBorders>
              <w:top w:val="nil"/>
              <w:left w:val="nil"/>
              <w:bottom w:val="nil"/>
              <w:right w:val="nil"/>
              <w:tl2br w:val="nil"/>
              <w:tr2bl w:val="nil"/>
            </w:tcBorders>
            <w:noWrap/>
            <w:tcMar>
              <w:left w:w="0" w:type="dxa"/>
              <w:right w:w="0" w:type="dxa"/>
            </w:tcMar>
            <w:vAlign w:val="bottom"/>
          </w:tcPr>
          <w:p w14:paraId="71F3F5A5" w14:textId="77777777" w:rsidR="00510CAA" w:rsidRDefault="00510CAA">
            <w:pPr>
              <w:keepNext/>
              <w:jc w:val="right"/>
              <w:rPr>
                <w:rFonts w:ascii="Arial" w:eastAsia="Arial" w:hAnsi="Arial" w:cs="Arial"/>
                <w:b/>
                <w:color w:val="000000"/>
                <w:sz w:val="18"/>
              </w:rPr>
            </w:pPr>
          </w:p>
        </w:tc>
        <w:tc>
          <w:tcPr>
            <w:tcW w:w="1440" w:type="dxa"/>
            <w:tcBorders>
              <w:top w:val="dotted" w:sz="2" w:space="0" w:color="000000"/>
              <w:left w:val="nil"/>
              <w:bottom w:val="dotted" w:sz="2" w:space="0" w:color="000000"/>
              <w:right w:val="nil"/>
              <w:tl2br w:val="nil"/>
              <w:tr2bl w:val="nil"/>
            </w:tcBorders>
            <w:noWrap/>
            <w:tcMar>
              <w:left w:w="0" w:type="dxa"/>
              <w:right w:w="0" w:type="dxa"/>
            </w:tcMar>
            <w:vAlign w:val="bottom"/>
          </w:tcPr>
          <w:p w14:paraId="71F3F5A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(21,411)</w:t>
            </w:r>
          </w:p>
        </w:tc>
        <w:tc>
          <w:tcPr>
            <w:tcW w:w="180" w:type="dxa"/>
            <w:tcBorders>
              <w:top w:val="nil"/>
              <w:left w:val="nil"/>
              <w:bottom w:val="nil"/>
              <w:right w:val="nil"/>
              <w:tl2br w:val="nil"/>
              <w:tr2bl w:val="nil"/>
            </w:tcBorders>
            <w:noWrap/>
            <w:tcMar>
              <w:left w:w="0" w:type="dxa"/>
              <w:right w:w="0" w:type="dxa"/>
            </w:tcMar>
            <w:vAlign w:val="bottom"/>
          </w:tcPr>
          <w:p w14:paraId="71F3F5A7" w14:textId="77777777" w:rsidR="00510CAA" w:rsidRDefault="00510CAA">
            <w:pPr>
              <w:keepNext/>
              <w:jc w:val="right"/>
              <w:rPr>
                <w:rFonts w:ascii="Arial" w:eastAsia="Arial" w:hAnsi="Arial" w:cs="Arial"/>
                <w:color w:val="000000"/>
                <w:sz w:val="18"/>
              </w:rPr>
            </w:pPr>
          </w:p>
        </w:tc>
        <w:tc>
          <w:tcPr>
            <w:tcW w:w="1440" w:type="dxa"/>
            <w:tcBorders>
              <w:top w:val="dotted" w:sz="2" w:space="0" w:color="000000"/>
              <w:left w:val="nil"/>
              <w:bottom w:val="dotted" w:sz="2" w:space="0" w:color="000000"/>
              <w:right w:val="nil"/>
              <w:tl2br w:val="nil"/>
              <w:tr2bl w:val="nil"/>
            </w:tcBorders>
            <w:noWrap/>
            <w:tcMar>
              <w:left w:w="0" w:type="dxa"/>
              <w:right w:w="60" w:type="dxa"/>
            </w:tcMar>
            <w:vAlign w:val="bottom"/>
          </w:tcPr>
          <w:p w14:paraId="71F3F5A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22,074</w:t>
            </w:r>
          </w:p>
        </w:tc>
        <w:tc>
          <w:tcPr>
            <w:tcW w:w="180" w:type="dxa"/>
            <w:tcBorders>
              <w:top w:val="nil"/>
              <w:left w:val="nil"/>
              <w:bottom w:val="nil"/>
              <w:right w:val="nil"/>
              <w:tl2br w:val="nil"/>
              <w:tr2bl w:val="nil"/>
            </w:tcBorders>
            <w:noWrap/>
            <w:tcMar>
              <w:left w:w="0" w:type="dxa"/>
              <w:right w:w="0" w:type="dxa"/>
            </w:tcMar>
            <w:vAlign w:val="bottom"/>
          </w:tcPr>
          <w:p w14:paraId="71F3F5A9" w14:textId="77777777" w:rsidR="00510CAA" w:rsidRDefault="00510CAA">
            <w:pPr>
              <w:keepNext/>
              <w:jc w:val="right"/>
              <w:rPr>
                <w:rFonts w:ascii="Arial" w:eastAsia="Arial" w:hAnsi="Arial" w:cs="Arial"/>
                <w:color w:val="000000"/>
                <w:sz w:val="16"/>
              </w:rPr>
            </w:pPr>
          </w:p>
        </w:tc>
        <w:tc>
          <w:tcPr>
            <w:tcW w:w="1440" w:type="dxa"/>
            <w:tcBorders>
              <w:top w:val="dotted" w:sz="2" w:space="0" w:color="000000"/>
              <w:left w:val="nil"/>
              <w:bottom w:val="dotted" w:sz="2" w:space="0" w:color="000000"/>
              <w:right w:val="nil"/>
              <w:tl2br w:val="nil"/>
              <w:tr2bl w:val="nil"/>
            </w:tcBorders>
            <w:noWrap/>
            <w:tcMar>
              <w:left w:w="0" w:type="dxa"/>
              <w:right w:w="60" w:type="dxa"/>
            </w:tcMar>
            <w:vAlign w:val="bottom"/>
          </w:tcPr>
          <w:p w14:paraId="71F3F5A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24,164</w:t>
            </w:r>
          </w:p>
        </w:tc>
      </w:tr>
      <w:tr w:rsidR="00510CAA" w14:paraId="71F3F5B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655" w:type="dxa"/>
            <w:gridSpan w:val="3"/>
            <w:tcBorders>
              <w:top w:val="nil"/>
              <w:left w:val="nil"/>
              <w:bottom w:val="nil"/>
              <w:right w:val="nil"/>
              <w:tl2br w:val="nil"/>
              <w:tr2bl w:val="nil"/>
            </w:tcBorders>
            <w:tcMar>
              <w:left w:w="0" w:type="dxa"/>
              <w:right w:w="0" w:type="dxa"/>
            </w:tcMar>
            <w:vAlign w:val="bottom"/>
          </w:tcPr>
          <w:p w14:paraId="71F3F5AC" w14:textId="77777777" w:rsidR="00510CAA" w:rsidRDefault="003A4815">
            <w:pPr>
              <w:keepNext/>
              <w:rPr>
                <w:rFonts w:ascii="Arial" w:eastAsia="Arial" w:hAnsi="Arial" w:cs="Arial"/>
                <w:b/>
                <w:color w:val="000000"/>
                <w:sz w:val="18"/>
              </w:rPr>
            </w:pPr>
            <w:r>
              <w:rPr>
                <w:rFonts w:ascii="Arial" w:eastAsia="Arial" w:hAnsi="Arial" w:cs="Arial"/>
                <w:b/>
                <w:color w:val="000000"/>
                <w:sz w:val="18"/>
              </w:rPr>
              <w:t>Cash, Cash Equivalents and Restricted Cash, Beginning Balance</w:t>
            </w:r>
          </w:p>
        </w:tc>
        <w:tc>
          <w:tcPr>
            <w:tcW w:w="180" w:type="dxa"/>
            <w:tcBorders>
              <w:top w:val="nil"/>
              <w:left w:val="nil"/>
              <w:bottom w:val="nil"/>
              <w:right w:val="nil"/>
              <w:tl2br w:val="nil"/>
              <w:tr2bl w:val="nil"/>
            </w:tcBorders>
            <w:noWrap/>
            <w:tcMar>
              <w:left w:w="0" w:type="dxa"/>
              <w:right w:w="0" w:type="dxa"/>
            </w:tcMar>
            <w:vAlign w:val="bottom"/>
          </w:tcPr>
          <w:p w14:paraId="71F3F5AD" w14:textId="77777777" w:rsidR="00510CAA" w:rsidRDefault="00510CAA">
            <w:pPr>
              <w:keepNext/>
              <w:jc w:val="right"/>
              <w:rPr>
                <w:rFonts w:ascii="Arial" w:eastAsia="Arial" w:hAnsi="Arial" w:cs="Arial"/>
                <w:b/>
                <w:color w:val="000000"/>
                <w:sz w:val="18"/>
              </w:rPr>
            </w:pPr>
          </w:p>
        </w:tc>
        <w:tc>
          <w:tcPr>
            <w:tcW w:w="1440" w:type="dxa"/>
            <w:tcBorders>
              <w:top w:val="dotted" w:sz="2" w:space="0" w:color="000000"/>
              <w:left w:val="nil"/>
              <w:bottom w:val="single" w:sz="4" w:space="0" w:color="000000"/>
              <w:right w:val="nil"/>
              <w:tl2br w:val="nil"/>
              <w:tr2bl w:val="nil"/>
            </w:tcBorders>
            <w:noWrap/>
            <w:tcMar>
              <w:left w:w="0" w:type="dxa"/>
              <w:right w:w="60" w:type="dxa"/>
            </w:tcMar>
            <w:vAlign w:val="bottom"/>
          </w:tcPr>
          <w:p w14:paraId="71F3F5A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143,666</w:t>
            </w:r>
          </w:p>
        </w:tc>
        <w:tc>
          <w:tcPr>
            <w:tcW w:w="180" w:type="dxa"/>
            <w:tcBorders>
              <w:top w:val="nil"/>
              <w:left w:val="nil"/>
              <w:bottom w:val="nil"/>
              <w:right w:val="nil"/>
              <w:tl2br w:val="nil"/>
              <w:tr2bl w:val="nil"/>
            </w:tcBorders>
            <w:noWrap/>
            <w:tcMar>
              <w:left w:w="0" w:type="dxa"/>
              <w:right w:w="0" w:type="dxa"/>
            </w:tcMar>
            <w:vAlign w:val="bottom"/>
          </w:tcPr>
          <w:p w14:paraId="71F3F5AF" w14:textId="77777777" w:rsidR="00510CAA" w:rsidRDefault="00510CAA">
            <w:pPr>
              <w:keepNext/>
              <w:jc w:val="right"/>
              <w:rPr>
                <w:rFonts w:ascii="Arial" w:eastAsia="Arial" w:hAnsi="Arial" w:cs="Arial"/>
                <w:b/>
                <w:color w:val="000000"/>
                <w:sz w:val="18"/>
              </w:rPr>
            </w:pPr>
          </w:p>
        </w:tc>
        <w:tc>
          <w:tcPr>
            <w:tcW w:w="1440" w:type="dxa"/>
            <w:tcBorders>
              <w:top w:val="dotted" w:sz="2" w:space="0" w:color="000000"/>
              <w:left w:val="nil"/>
              <w:bottom w:val="single" w:sz="4" w:space="0" w:color="000000"/>
              <w:right w:val="nil"/>
              <w:tl2br w:val="nil"/>
              <w:tr2bl w:val="nil"/>
            </w:tcBorders>
            <w:noWrap/>
            <w:tcMar>
              <w:left w:w="0" w:type="dxa"/>
              <w:right w:w="60" w:type="dxa"/>
            </w:tcMar>
            <w:vAlign w:val="bottom"/>
          </w:tcPr>
          <w:p w14:paraId="71F3F5B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121,592</w:t>
            </w:r>
          </w:p>
        </w:tc>
        <w:tc>
          <w:tcPr>
            <w:tcW w:w="180" w:type="dxa"/>
            <w:tcBorders>
              <w:top w:val="nil"/>
              <w:left w:val="nil"/>
              <w:bottom w:val="nil"/>
              <w:right w:val="nil"/>
              <w:tl2br w:val="nil"/>
              <w:tr2bl w:val="nil"/>
            </w:tcBorders>
            <w:noWrap/>
            <w:tcMar>
              <w:left w:w="0" w:type="dxa"/>
              <w:right w:w="0" w:type="dxa"/>
            </w:tcMar>
            <w:vAlign w:val="bottom"/>
          </w:tcPr>
          <w:p w14:paraId="71F3F5B1" w14:textId="77777777" w:rsidR="00510CAA" w:rsidRDefault="00510CAA">
            <w:pPr>
              <w:keepNext/>
              <w:jc w:val="right"/>
              <w:rPr>
                <w:rFonts w:ascii="Arial" w:eastAsia="Arial" w:hAnsi="Arial" w:cs="Arial"/>
                <w:color w:val="000000"/>
                <w:sz w:val="16"/>
              </w:rPr>
            </w:pPr>
          </w:p>
        </w:tc>
        <w:tc>
          <w:tcPr>
            <w:tcW w:w="1440" w:type="dxa"/>
            <w:tcBorders>
              <w:top w:val="dotted" w:sz="2" w:space="0" w:color="000000"/>
              <w:left w:val="nil"/>
              <w:bottom w:val="single" w:sz="4" w:space="0" w:color="000000"/>
              <w:right w:val="nil"/>
              <w:tl2br w:val="nil"/>
              <w:tr2bl w:val="nil"/>
            </w:tcBorders>
            <w:noWrap/>
            <w:tcMar>
              <w:left w:w="0" w:type="dxa"/>
              <w:right w:w="60" w:type="dxa"/>
            </w:tcMar>
            <w:vAlign w:val="bottom"/>
          </w:tcPr>
          <w:p w14:paraId="71F3F5B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97,428</w:t>
            </w:r>
          </w:p>
        </w:tc>
      </w:tr>
      <w:tr w:rsidR="00510CAA" w14:paraId="71F3F5B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655" w:type="dxa"/>
            <w:gridSpan w:val="3"/>
            <w:tcBorders>
              <w:top w:val="nil"/>
              <w:left w:val="nil"/>
              <w:bottom w:val="nil"/>
              <w:right w:val="nil"/>
              <w:tl2br w:val="nil"/>
              <w:tr2bl w:val="nil"/>
            </w:tcBorders>
            <w:tcMar>
              <w:left w:w="0" w:type="dxa"/>
              <w:right w:w="0" w:type="dxa"/>
            </w:tcMar>
            <w:vAlign w:val="bottom"/>
          </w:tcPr>
          <w:p w14:paraId="71F3F5B4" w14:textId="77777777" w:rsidR="00510CAA" w:rsidRDefault="003A4815">
            <w:pPr>
              <w:keepNext/>
              <w:rPr>
                <w:rFonts w:ascii="Arial" w:eastAsia="Arial" w:hAnsi="Arial" w:cs="Arial"/>
                <w:b/>
                <w:color w:val="000000"/>
                <w:sz w:val="18"/>
              </w:rPr>
            </w:pPr>
            <w:r>
              <w:rPr>
                <w:rFonts w:ascii="Arial" w:eastAsia="Arial" w:hAnsi="Arial" w:cs="Arial"/>
                <w:b/>
                <w:color w:val="000000"/>
                <w:sz w:val="18"/>
              </w:rPr>
              <w:t>Cash, Cash Equivalents and Restricted Cash, Ending Balance</w:t>
            </w:r>
          </w:p>
        </w:tc>
        <w:tc>
          <w:tcPr>
            <w:tcW w:w="180" w:type="dxa"/>
            <w:tcBorders>
              <w:top w:val="nil"/>
              <w:left w:val="nil"/>
              <w:bottom w:val="nil"/>
              <w:right w:val="nil"/>
              <w:tl2br w:val="nil"/>
              <w:tr2bl w:val="nil"/>
            </w:tcBorders>
            <w:noWrap/>
            <w:tcMar>
              <w:left w:w="0" w:type="dxa"/>
              <w:right w:w="0" w:type="dxa"/>
            </w:tcMar>
            <w:vAlign w:val="bottom"/>
          </w:tcPr>
          <w:p w14:paraId="71F3F5B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B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122,255</w:t>
            </w:r>
          </w:p>
        </w:tc>
        <w:tc>
          <w:tcPr>
            <w:tcW w:w="180" w:type="dxa"/>
            <w:tcBorders>
              <w:top w:val="nil"/>
              <w:left w:val="nil"/>
              <w:bottom w:val="nil"/>
              <w:right w:val="nil"/>
              <w:tl2br w:val="nil"/>
              <w:tr2bl w:val="nil"/>
            </w:tcBorders>
            <w:noWrap/>
            <w:tcMar>
              <w:left w:w="0" w:type="dxa"/>
              <w:right w:w="60" w:type="dxa"/>
            </w:tcMar>
            <w:vAlign w:val="bottom"/>
          </w:tcPr>
          <w:p w14:paraId="71F3F5B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B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143,666</w:t>
            </w:r>
          </w:p>
        </w:tc>
        <w:tc>
          <w:tcPr>
            <w:tcW w:w="180" w:type="dxa"/>
            <w:tcBorders>
              <w:top w:val="nil"/>
              <w:left w:val="nil"/>
              <w:bottom w:val="nil"/>
              <w:right w:val="nil"/>
              <w:tl2br w:val="nil"/>
              <w:tr2bl w:val="nil"/>
            </w:tcBorders>
            <w:noWrap/>
            <w:tcMar>
              <w:left w:w="0" w:type="dxa"/>
              <w:right w:w="0" w:type="dxa"/>
            </w:tcMar>
            <w:vAlign w:val="bottom"/>
          </w:tcPr>
          <w:p w14:paraId="71F3F5B9"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B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121,592</w:t>
            </w:r>
          </w:p>
        </w:tc>
      </w:tr>
      <w:tr w:rsidR="00510CAA" w14:paraId="71F3F5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BC" w14:textId="77777777" w:rsidR="00510CAA" w:rsidRDefault="00510CAA">
            <w:pPr>
              <w:keepNext/>
              <w:rPr>
                <w:rFonts w:ascii="Arial" w:eastAsia="Arial" w:hAnsi="Arial" w:cs="Arial"/>
                <w:b/>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5BD" w14:textId="77777777" w:rsidR="00510CAA" w:rsidRDefault="00510CAA">
            <w:pPr>
              <w:keepNext/>
              <w:rPr>
                <w:rFonts w:ascii="Arial" w:eastAsia="Arial" w:hAnsi="Arial" w:cs="Arial"/>
                <w:b/>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5BE" w14:textId="77777777" w:rsidR="00510CAA" w:rsidRDefault="00510CAA">
            <w:pPr>
              <w:keepNext/>
              <w:rPr>
                <w:rFonts w:ascii="Arial" w:eastAsia="Arial" w:hAnsi="Arial" w:cs="Arial"/>
                <w:b/>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BF" w14:textId="77777777" w:rsidR="00510CAA" w:rsidRDefault="00510CAA">
            <w:pPr>
              <w:keepNext/>
              <w:jc w:val="right"/>
              <w:rPr>
                <w:rFonts w:ascii="Arial" w:eastAsia="Arial" w:hAnsi="Arial" w:cs="Arial"/>
                <w:color w:val="000000"/>
                <w:sz w:val="18"/>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C0"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C1" w14:textId="77777777" w:rsidR="00510CAA" w:rsidRDefault="00510CAA">
            <w:pPr>
              <w:keepNext/>
              <w:jc w:val="right"/>
              <w:rPr>
                <w:rFonts w:ascii="Arial" w:eastAsia="Arial" w:hAnsi="Arial" w:cs="Arial"/>
                <w:color w:val="000000"/>
                <w:sz w:val="18"/>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C2"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C3" w14:textId="77777777" w:rsidR="00510CAA" w:rsidRDefault="00510CAA">
            <w:pPr>
              <w:keepNext/>
              <w:jc w:val="right"/>
              <w:rPr>
                <w:rFonts w:ascii="Arial" w:eastAsia="Arial" w:hAnsi="Arial" w:cs="Arial"/>
                <w:color w:val="000000"/>
                <w:sz w:val="16"/>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C4" w14:textId="77777777" w:rsidR="00510CAA" w:rsidRDefault="00510CAA">
            <w:pPr>
              <w:keepNext/>
              <w:jc w:val="right"/>
              <w:rPr>
                <w:rFonts w:ascii="Arial" w:eastAsia="Arial" w:hAnsi="Arial" w:cs="Arial"/>
                <w:color w:val="000000"/>
                <w:sz w:val="18"/>
              </w:rPr>
            </w:pPr>
          </w:p>
        </w:tc>
      </w:tr>
      <w:tr w:rsidR="00510CAA" w14:paraId="71F3F5C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600"/>
        </w:trPr>
        <w:tc>
          <w:tcPr>
            <w:tcW w:w="8895" w:type="dxa"/>
            <w:gridSpan w:val="7"/>
            <w:tcBorders>
              <w:top w:val="nil"/>
              <w:left w:val="nil"/>
              <w:bottom w:val="nil"/>
              <w:right w:val="nil"/>
              <w:tl2br w:val="nil"/>
              <w:tr2bl w:val="nil"/>
            </w:tcBorders>
            <w:tcMar>
              <w:left w:w="0" w:type="dxa"/>
              <w:right w:w="0" w:type="dxa"/>
            </w:tcMar>
            <w:vAlign w:val="bottom"/>
          </w:tcPr>
          <w:p w14:paraId="71F3F5C6" w14:textId="77777777" w:rsidR="00510CAA" w:rsidRDefault="003A4815">
            <w:pPr>
              <w:keepNext/>
              <w:rPr>
                <w:rFonts w:ascii="Arial" w:eastAsia="Arial" w:hAnsi="Arial" w:cs="Arial"/>
                <w:b/>
                <w:color w:val="000000"/>
                <w:sz w:val="18"/>
              </w:rPr>
            </w:pPr>
            <w:r>
              <w:rPr>
                <w:rFonts w:ascii="Arial" w:eastAsia="Arial" w:hAnsi="Arial" w:cs="Arial"/>
                <w:b/>
                <w:color w:val="000000"/>
                <w:sz w:val="18"/>
              </w:rPr>
              <w:t>RECONCILIATION OF CASH, CASH EQUIVALENTS AND RESTRICTED CASH</w:t>
            </w:r>
          </w:p>
        </w:tc>
        <w:tc>
          <w:tcPr>
            <w:tcW w:w="180" w:type="dxa"/>
            <w:tcBorders>
              <w:top w:val="nil"/>
              <w:left w:val="nil"/>
              <w:bottom w:val="nil"/>
              <w:right w:val="nil"/>
              <w:tl2br w:val="nil"/>
              <w:tr2bl w:val="nil"/>
            </w:tcBorders>
            <w:tcMar>
              <w:left w:w="0" w:type="dxa"/>
              <w:right w:w="0" w:type="dxa"/>
            </w:tcMar>
            <w:vAlign w:val="bottom"/>
          </w:tcPr>
          <w:p w14:paraId="71F3F5C7" w14:textId="77777777" w:rsidR="00510CAA" w:rsidRDefault="00510CAA">
            <w:pPr>
              <w:keepNext/>
              <w:rPr>
                <w:rFonts w:ascii="Arial" w:eastAsia="Arial" w:hAnsi="Arial" w:cs="Arial"/>
                <w:b/>
                <w:color w:val="000000"/>
                <w:sz w:val="18"/>
              </w:rPr>
            </w:pPr>
          </w:p>
        </w:tc>
        <w:tc>
          <w:tcPr>
            <w:tcW w:w="1440" w:type="dxa"/>
            <w:tcBorders>
              <w:top w:val="nil"/>
              <w:left w:val="nil"/>
              <w:bottom w:val="nil"/>
              <w:right w:val="nil"/>
              <w:tl2br w:val="nil"/>
              <w:tr2bl w:val="nil"/>
            </w:tcBorders>
            <w:tcMar>
              <w:left w:w="0" w:type="dxa"/>
              <w:right w:w="0" w:type="dxa"/>
            </w:tcMar>
            <w:vAlign w:val="bottom"/>
          </w:tcPr>
          <w:p w14:paraId="71F3F5C8" w14:textId="77777777" w:rsidR="00510CAA" w:rsidRDefault="00510CAA">
            <w:pPr>
              <w:keepNext/>
              <w:rPr>
                <w:rFonts w:ascii="Arial" w:eastAsia="Arial" w:hAnsi="Arial" w:cs="Arial"/>
                <w:b/>
                <w:color w:val="000000"/>
                <w:sz w:val="18"/>
              </w:rPr>
            </w:pPr>
          </w:p>
        </w:tc>
      </w:tr>
      <w:tr w:rsidR="00510CAA" w14:paraId="71F3F5D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CA"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CB"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Cash and cash equivalents</w:t>
            </w:r>
          </w:p>
        </w:tc>
        <w:tc>
          <w:tcPr>
            <w:tcW w:w="180" w:type="dxa"/>
            <w:tcBorders>
              <w:top w:val="nil"/>
              <w:left w:val="nil"/>
              <w:bottom w:val="nil"/>
              <w:right w:val="nil"/>
              <w:tl2br w:val="nil"/>
              <w:tr2bl w:val="nil"/>
            </w:tcBorders>
            <w:noWrap/>
            <w:tcMar>
              <w:left w:w="0" w:type="dxa"/>
              <w:right w:w="0" w:type="dxa"/>
            </w:tcMar>
            <w:vAlign w:val="bottom"/>
          </w:tcPr>
          <w:p w14:paraId="71F3F5C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5C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50,505</w:t>
            </w:r>
          </w:p>
        </w:tc>
        <w:tc>
          <w:tcPr>
            <w:tcW w:w="180" w:type="dxa"/>
            <w:tcBorders>
              <w:top w:val="nil"/>
              <w:left w:val="nil"/>
              <w:bottom w:val="nil"/>
              <w:right w:val="nil"/>
              <w:tl2br w:val="nil"/>
              <w:tr2bl w:val="nil"/>
            </w:tcBorders>
            <w:noWrap/>
            <w:tcMar>
              <w:left w:w="0" w:type="dxa"/>
              <w:right w:w="60" w:type="dxa"/>
            </w:tcMar>
            <w:vAlign w:val="bottom"/>
          </w:tcPr>
          <w:p w14:paraId="71F3F5C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5C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124,666</w:t>
            </w:r>
          </w:p>
        </w:tc>
        <w:tc>
          <w:tcPr>
            <w:tcW w:w="180" w:type="dxa"/>
            <w:tcBorders>
              <w:top w:val="nil"/>
              <w:left w:val="nil"/>
              <w:bottom w:val="nil"/>
              <w:right w:val="nil"/>
              <w:tl2br w:val="nil"/>
              <w:tr2bl w:val="nil"/>
            </w:tcBorders>
            <w:noWrap/>
            <w:tcMar>
              <w:left w:w="0" w:type="dxa"/>
              <w:right w:w="0" w:type="dxa"/>
            </w:tcMar>
            <w:vAlign w:val="bottom"/>
          </w:tcPr>
          <w:p w14:paraId="71F3F5D0"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D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101,592</w:t>
            </w:r>
          </w:p>
        </w:tc>
      </w:tr>
      <w:tr w:rsidR="00510CAA" w14:paraId="71F3F5D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D3"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D4"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Restricted cash, current</w:t>
            </w:r>
          </w:p>
        </w:tc>
        <w:tc>
          <w:tcPr>
            <w:tcW w:w="180" w:type="dxa"/>
            <w:tcBorders>
              <w:top w:val="nil"/>
              <w:left w:val="nil"/>
              <w:bottom w:val="nil"/>
              <w:right w:val="nil"/>
              <w:tl2br w:val="nil"/>
              <w:tr2bl w:val="nil"/>
            </w:tcBorders>
            <w:noWrap/>
            <w:tcMar>
              <w:left w:w="0" w:type="dxa"/>
              <w:right w:w="0" w:type="dxa"/>
            </w:tcMar>
            <w:vAlign w:val="bottom"/>
          </w:tcPr>
          <w:p w14:paraId="71F3F5D5"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D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53,750</w:t>
            </w:r>
          </w:p>
        </w:tc>
        <w:tc>
          <w:tcPr>
            <w:tcW w:w="180" w:type="dxa"/>
            <w:tcBorders>
              <w:top w:val="nil"/>
              <w:left w:val="nil"/>
              <w:bottom w:val="nil"/>
              <w:right w:val="nil"/>
              <w:tl2br w:val="nil"/>
              <w:tr2bl w:val="nil"/>
            </w:tcBorders>
            <w:noWrap/>
            <w:tcMar>
              <w:left w:w="0" w:type="dxa"/>
              <w:right w:w="0" w:type="dxa"/>
            </w:tcMar>
            <w:vAlign w:val="bottom"/>
          </w:tcPr>
          <w:p w14:paraId="71F3F5D7"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5D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5D9"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5D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5E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DC"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DD"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Restricted cash, non-current</w:t>
            </w:r>
          </w:p>
        </w:tc>
        <w:tc>
          <w:tcPr>
            <w:tcW w:w="180" w:type="dxa"/>
            <w:tcBorders>
              <w:top w:val="nil"/>
              <w:left w:val="nil"/>
              <w:bottom w:val="nil"/>
              <w:right w:val="nil"/>
              <w:tl2br w:val="nil"/>
              <w:tr2bl w:val="nil"/>
            </w:tcBorders>
            <w:noWrap/>
            <w:tcMar>
              <w:left w:w="0" w:type="dxa"/>
              <w:right w:w="0" w:type="dxa"/>
            </w:tcMar>
            <w:vAlign w:val="bottom"/>
          </w:tcPr>
          <w:p w14:paraId="71F3F5DE"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5D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18,000</w:t>
            </w:r>
          </w:p>
        </w:tc>
        <w:tc>
          <w:tcPr>
            <w:tcW w:w="180" w:type="dxa"/>
            <w:tcBorders>
              <w:top w:val="nil"/>
              <w:left w:val="nil"/>
              <w:bottom w:val="nil"/>
              <w:right w:val="nil"/>
              <w:tl2br w:val="nil"/>
              <w:tr2bl w:val="nil"/>
            </w:tcBorders>
            <w:noWrap/>
            <w:tcMar>
              <w:left w:w="0" w:type="dxa"/>
              <w:right w:w="0" w:type="dxa"/>
            </w:tcMar>
            <w:vAlign w:val="bottom"/>
          </w:tcPr>
          <w:p w14:paraId="71F3F5E0" w14:textId="77777777" w:rsidR="00510CAA" w:rsidRDefault="00510CAA">
            <w:pPr>
              <w:keepNext/>
              <w:jc w:val="righ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5E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19,000</w:t>
            </w:r>
          </w:p>
        </w:tc>
        <w:tc>
          <w:tcPr>
            <w:tcW w:w="180" w:type="dxa"/>
            <w:tcBorders>
              <w:top w:val="nil"/>
              <w:left w:val="nil"/>
              <w:bottom w:val="nil"/>
              <w:right w:val="nil"/>
              <w:tl2br w:val="nil"/>
              <w:tr2bl w:val="nil"/>
            </w:tcBorders>
            <w:noWrap/>
            <w:tcMar>
              <w:left w:w="0" w:type="dxa"/>
              <w:right w:w="0" w:type="dxa"/>
            </w:tcMar>
            <w:vAlign w:val="bottom"/>
          </w:tcPr>
          <w:p w14:paraId="71F3F5E2" w14:textId="77777777" w:rsidR="00510CAA" w:rsidRDefault="00510CAA">
            <w:pPr>
              <w:keepNext/>
              <w:jc w:val="right"/>
              <w:rPr>
                <w:rFonts w:ascii="Arial" w:eastAsia="Arial" w:hAnsi="Arial" w:cs="Arial"/>
                <w:color w:val="000000"/>
                <w:sz w:val="16"/>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5E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20,000</w:t>
            </w:r>
          </w:p>
        </w:tc>
      </w:tr>
      <w:tr w:rsidR="00510CAA" w14:paraId="71F3F5E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5E5"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5E6" w14:textId="77777777" w:rsidR="00510CAA" w:rsidRDefault="003A4815">
            <w:pPr>
              <w:keepNext/>
              <w:jc w:val="both"/>
              <w:rPr>
                <w:rFonts w:ascii="Arial" w:eastAsia="Arial" w:hAnsi="Arial" w:cs="Arial"/>
                <w:b/>
                <w:color w:val="000000"/>
                <w:sz w:val="18"/>
              </w:rPr>
            </w:pPr>
            <w:r>
              <w:rPr>
                <w:rFonts w:ascii="Arial" w:eastAsia="Arial" w:hAnsi="Arial" w:cs="Arial"/>
                <w:b/>
                <w:color w:val="000000"/>
                <w:sz w:val="18"/>
              </w:rPr>
              <w:t>Cash, Cash Equivalents and Restricted Cash, Total</w:t>
            </w:r>
          </w:p>
        </w:tc>
        <w:tc>
          <w:tcPr>
            <w:tcW w:w="180" w:type="dxa"/>
            <w:tcBorders>
              <w:top w:val="nil"/>
              <w:left w:val="nil"/>
              <w:bottom w:val="nil"/>
              <w:right w:val="nil"/>
              <w:tl2br w:val="nil"/>
              <w:tr2bl w:val="nil"/>
            </w:tcBorders>
            <w:noWrap/>
            <w:tcMar>
              <w:left w:w="0" w:type="dxa"/>
              <w:right w:w="0" w:type="dxa"/>
            </w:tcMar>
            <w:vAlign w:val="bottom"/>
          </w:tcPr>
          <w:p w14:paraId="71F3F5E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E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122,255</w:t>
            </w:r>
          </w:p>
        </w:tc>
        <w:tc>
          <w:tcPr>
            <w:tcW w:w="180" w:type="dxa"/>
            <w:tcBorders>
              <w:top w:val="nil"/>
              <w:left w:val="nil"/>
              <w:bottom w:val="nil"/>
              <w:right w:val="nil"/>
              <w:tl2br w:val="nil"/>
              <w:tr2bl w:val="nil"/>
            </w:tcBorders>
            <w:noWrap/>
            <w:tcMar>
              <w:left w:w="0" w:type="dxa"/>
              <w:right w:w="60" w:type="dxa"/>
            </w:tcMar>
            <w:vAlign w:val="bottom"/>
          </w:tcPr>
          <w:p w14:paraId="71F3F5E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E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143,666</w:t>
            </w:r>
          </w:p>
        </w:tc>
        <w:tc>
          <w:tcPr>
            <w:tcW w:w="180" w:type="dxa"/>
            <w:tcBorders>
              <w:top w:val="nil"/>
              <w:left w:val="nil"/>
              <w:bottom w:val="nil"/>
              <w:right w:val="nil"/>
              <w:tl2br w:val="nil"/>
              <w:tr2bl w:val="nil"/>
            </w:tcBorders>
            <w:noWrap/>
            <w:tcMar>
              <w:left w:w="0" w:type="dxa"/>
              <w:right w:w="0" w:type="dxa"/>
            </w:tcMar>
            <w:vAlign w:val="bottom"/>
          </w:tcPr>
          <w:p w14:paraId="71F3F5EB" w14:textId="77777777" w:rsidR="00510CAA" w:rsidRDefault="003A4815">
            <w:pPr>
              <w:keepNext/>
              <w:jc w:val="right"/>
              <w:rPr>
                <w:rFonts w:ascii="Arial" w:eastAsia="Arial" w:hAnsi="Arial" w:cs="Arial"/>
                <w:color w:val="000000"/>
                <w:sz w:val="16"/>
              </w:rPr>
            </w:pPr>
            <w:r>
              <w:rPr>
                <w:rFonts w:ascii="Arial" w:eastAsia="Arial" w:hAnsi="Arial" w:cs="Arial"/>
                <w:color w:val="000000"/>
                <w:sz w:val="16"/>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5E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121,592</w:t>
            </w:r>
          </w:p>
        </w:tc>
      </w:tr>
      <w:tr w:rsidR="00510CAA" w14:paraId="71F3F5F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00"/>
        </w:trPr>
        <w:tc>
          <w:tcPr>
            <w:tcW w:w="90" w:type="dxa"/>
            <w:tcBorders>
              <w:top w:val="nil"/>
              <w:left w:val="nil"/>
              <w:bottom w:val="nil"/>
              <w:right w:val="nil"/>
              <w:tl2br w:val="nil"/>
              <w:tr2bl w:val="nil"/>
            </w:tcBorders>
            <w:tcMar>
              <w:left w:w="0" w:type="dxa"/>
              <w:right w:w="0" w:type="dxa"/>
            </w:tcMar>
            <w:vAlign w:val="bottom"/>
          </w:tcPr>
          <w:p w14:paraId="71F3F5EE" w14:textId="77777777" w:rsidR="00510CAA" w:rsidRDefault="00510CAA">
            <w:pPr>
              <w:keepNext/>
              <w:jc w:val="both"/>
              <w:rPr>
                <w:rFonts w:ascii="Arial" w:eastAsia="Arial" w:hAnsi="Arial" w:cs="Arial"/>
                <w:color w:val="000000"/>
                <w:sz w:val="18"/>
              </w:rPr>
            </w:pPr>
          </w:p>
        </w:tc>
        <w:tc>
          <w:tcPr>
            <w:tcW w:w="240" w:type="dxa"/>
            <w:tcBorders>
              <w:top w:val="nil"/>
              <w:left w:val="nil"/>
              <w:bottom w:val="nil"/>
              <w:right w:val="nil"/>
              <w:tl2br w:val="nil"/>
              <w:tr2bl w:val="nil"/>
            </w:tcBorders>
            <w:tcMar>
              <w:left w:w="0" w:type="dxa"/>
              <w:right w:w="0" w:type="dxa"/>
            </w:tcMar>
            <w:vAlign w:val="bottom"/>
          </w:tcPr>
          <w:p w14:paraId="71F3F5EF" w14:textId="77777777" w:rsidR="00510CAA" w:rsidRDefault="00510CAA">
            <w:pPr>
              <w:keepNext/>
              <w:jc w:val="both"/>
              <w:rPr>
                <w:rFonts w:ascii="Arial" w:eastAsia="Arial" w:hAnsi="Arial" w:cs="Arial"/>
                <w:b/>
                <w:color w:val="000000"/>
                <w:sz w:val="18"/>
              </w:rPr>
            </w:pPr>
          </w:p>
        </w:tc>
        <w:tc>
          <w:tcPr>
            <w:tcW w:w="5325" w:type="dxa"/>
            <w:tcBorders>
              <w:top w:val="nil"/>
              <w:left w:val="nil"/>
              <w:bottom w:val="nil"/>
              <w:right w:val="nil"/>
              <w:tl2br w:val="nil"/>
              <w:tr2bl w:val="nil"/>
            </w:tcBorders>
            <w:tcMar>
              <w:left w:w="0" w:type="dxa"/>
              <w:right w:w="0" w:type="dxa"/>
            </w:tcMar>
            <w:vAlign w:val="bottom"/>
          </w:tcPr>
          <w:p w14:paraId="71F3F5F0" w14:textId="77777777" w:rsidR="00510CAA" w:rsidRDefault="00510CAA">
            <w:pPr>
              <w:keepNext/>
              <w:jc w:val="both"/>
              <w:rPr>
                <w:rFonts w:ascii="Arial" w:eastAsia="Arial" w:hAnsi="Arial" w:cs="Arial"/>
                <w:b/>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F1" w14:textId="77777777" w:rsidR="00510CAA" w:rsidRDefault="00510CAA">
            <w:pPr>
              <w:keepNext/>
              <w:jc w:val="right"/>
              <w:rPr>
                <w:rFonts w:ascii="Arial" w:eastAsia="Arial" w:hAnsi="Arial" w:cs="Arial"/>
                <w:color w:val="000000"/>
                <w:sz w:val="18"/>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F2"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F3" w14:textId="77777777" w:rsidR="00510CAA" w:rsidRDefault="00510CAA">
            <w:pPr>
              <w:keepNext/>
              <w:jc w:val="right"/>
              <w:rPr>
                <w:rFonts w:ascii="Arial" w:eastAsia="Arial" w:hAnsi="Arial" w:cs="Arial"/>
                <w:color w:val="000000"/>
                <w:sz w:val="18"/>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F4" w14:textId="77777777" w:rsidR="00510CAA" w:rsidRDefault="00510CAA">
            <w:pPr>
              <w:keepNext/>
              <w:jc w:val="righ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F5" w14:textId="77777777" w:rsidR="00510CAA" w:rsidRDefault="00510CAA">
            <w:pPr>
              <w:keepNext/>
              <w:jc w:val="right"/>
              <w:rPr>
                <w:rFonts w:ascii="Arial" w:eastAsia="Arial" w:hAnsi="Arial" w:cs="Arial"/>
                <w:color w:val="000000"/>
                <w:sz w:val="16"/>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5F6" w14:textId="77777777" w:rsidR="00510CAA" w:rsidRDefault="00510CAA">
            <w:pPr>
              <w:keepNext/>
              <w:jc w:val="right"/>
              <w:rPr>
                <w:rFonts w:ascii="Arial" w:eastAsia="Arial" w:hAnsi="Arial" w:cs="Arial"/>
                <w:color w:val="000000"/>
                <w:sz w:val="18"/>
              </w:rPr>
            </w:pPr>
          </w:p>
        </w:tc>
      </w:tr>
      <w:tr w:rsidR="00510CAA" w14:paraId="71F3F5F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655" w:type="dxa"/>
            <w:gridSpan w:val="3"/>
            <w:tcBorders>
              <w:top w:val="nil"/>
              <w:left w:val="nil"/>
              <w:bottom w:val="nil"/>
              <w:right w:val="nil"/>
              <w:tl2br w:val="nil"/>
              <w:tr2bl w:val="nil"/>
            </w:tcBorders>
            <w:tcMar>
              <w:left w:w="0" w:type="dxa"/>
              <w:right w:w="0" w:type="dxa"/>
            </w:tcMar>
            <w:vAlign w:val="bottom"/>
          </w:tcPr>
          <w:p w14:paraId="71F3F5F8" w14:textId="77777777" w:rsidR="00510CAA" w:rsidRDefault="003A4815">
            <w:pPr>
              <w:keepNext/>
              <w:rPr>
                <w:rFonts w:ascii="Arial" w:eastAsia="Arial" w:hAnsi="Arial" w:cs="Arial"/>
                <w:b/>
                <w:color w:val="000000"/>
                <w:sz w:val="18"/>
              </w:rPr>
            </w:pPr>
            <w:r>
              <w:rPr>
                <w:rFonts w:ascii="Arial" w:eastAsia="Arial" w:hAnsi="Arial" w:cs="Arial"/>
                <w:b/>
                <w:color w:val="000000"/>
                <w:sz w:val="18"/>
              </w:rPr>
              <w:t>SUPPLEMENTAL CASH FLOW INFORMATION</w:t>
            </w:r>
          </w:p>
        </w:tc>
        <w:tc>
          <w:tcPr>
            <w:tcW w:w="180" w:type="dxa"/>
            <w:tcBorders>
              <w:top w:val="nil"/>
              <w:left w:val="nil"/>
              <w:bottom w:val="nil"/>
              <w:right w:val="nil"/>
              <w:tl2br w:val="nil"/>
              <w:tr2bl w:val="nil"/>
            </w:tcBorders>
            <w:noWrap/>
            <w:tcMar>
              <w:left w:w="0" w:type="dxa"/>
              <w:right w:w="0" w:type="dxa"/>
            </w:tcMar>
            <w:vAlign w:val="bottom"/>
          </w:tcPr>
          <w:p w14:paraId="71F3F5F9"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FA"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FB" w14:textId="77777777" w:rsidR="00510CAA" w:rsidRDefault="00510CAA">
            <w:pPr>
              <w:keepNext/>
              <w:jc w:val="right"/>
              <w:rPr>
                <w:rFonts w:ascii="Arial" w:eastAsia="Arial" w:hAnsi="Arial" w:cs="Arial"/>
                <w:b/>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5FC"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5FD"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0" w:type="dxa"/>
            </w:tcMar>
            <w:vAlign w:val="bottom"/>
          </w:tcPr>
          <w:p w14:paraId="71F3F5FE" w14:textId="77777777" w:rsidR="00510CAA" w:rsidRDefault="00510CAA">
            <w:pPr>
              <w:keepNext/>
              <w:rPr>
                <w:rFonts w:ascii="Arial" w:eastAsia="Arial" w:hAnsi="Arial" w:cs="Arial"/>
                <w:color w:val="000000"/>
                <w:sz w:val="18"/>
              </w:rPr>
            </w:pPr>
          </w:p>
        </w:tc>
      </w:tr>
      <w:tr w:rsidR="00510CAA" w14:paraId="71F3F60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600"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601"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Non-cash acquisition of assets</w:t>
            </w:r>
          </w:p>
        </w:tc>
        <w:tc>
          <w:tcPr>
            <w:tcW w:w="180" w:type="dxa"/>
            <w:tcBorders>
              <w:top w:val="nil"/>
              <w:left w:val="nil"/>
              <w:bottom w:val="nil"/>
              <w:right w:val="nil"/>
              <w:tl2br w:val="nil"/>
              <w:tr2bl w:val="nil"/>
            </w:tcBorders>
            <w:noWrap/>
            <w:tcMar>
              <w:left w:w="0" w:type="dxa"/>
              <w:right w:w="0" w:type="dxa"/>
            </w:tcMar>
            <w:vAlign w:val="bottom"/>
          </w:tcPr>
          <w:p w14:paraId="71F3F60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60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0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60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06"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60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7,809</w:t>
            </w:r>
          </w:p>
        </w:tc>
      </w:tr>
      <w:tr w:rsidR="00510CAA" w14:paraId="71F3F61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609"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60A"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Stock issued in noncash financing activities</w:t>
            </w:r>
          </w:p>
        </w:tc>
        <w:tc>
          <w:tcPr>
            <w:tcW w:w="180" w:type="dxa"/>
            <w:tcBorders>
              <w:top w:val="nil"/>
              <w:left w:val="nil"/>
              <w:bottom w:val="nil"/>
              <w:right w:val="nil"/>
              <w:tl2br w:val="nil"/>
              <w:tr2bl w:val="nil"/>
            </w:tcBorders>
            <w:noWrap/>
            <w:tcMar>
              <w:left w:w="0" w:type="dxa"/>
              <w:right w:w="0" w:type="dxa"/>
            </w:tcMar>
            <w:vAlign w:val="bottom"/>
          </w:tcPr>
          <w:p w14:paraId="71F3F60B"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0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0D"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0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3,852</w:t>
            </w:r>
          </w:p>
        </w:tc>
        <w:tc>
          <w:tcPr>
            <w:tcW w:w="180" w:type="dxa"/>
            <w:tcBorders>
              <w:top w:val="nil"/>
              <w:left w:val="nil"/>
              <w:bottom w:val="nil"/>
              <w:right w:val="nil"/>
              <w:tl2br w:val="nil"/>
              <w:tr2bl w:val="nil"/>
            </w:tcBorders>
            <w:noWrap/>
            <w:tcMar>
              <w:left w:w="0" w:type="dxa"/>
              <w:right w:w="0" w:type="dxa"/>
            </w:tcMar>
            <w:vAlign w:val="bottom"/>
          </w:tcPr>
          <w:p w14:paraId="71F3F60F"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61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7,809</w:t>
            </w:r>
          </w:p>
        </w:tc>
      </w:tr>
      <w:tr w:rsidR="00510CAA" w14:paraId="71F3F61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612"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613"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Non-cash investments acquired</w:t>
            </w:r>
          </w:p>
        </w:tc>
        <w:tc>
          <w:tcPr>
            <w:tcW w:w="180" w:type="dxa"/>
            <w:tcBorders>
              <w:top w:val="nil"/>
              <w:left w:val="nil"/>
              <w:bottom w:val="nil"/>
              <w:right w:val="nil"/>
              <w:tl2br w:val="nil"/>
              <w:tr2bl w:val="nil"/>
            </w:tcBorders>
            <w:noWrap/>
            <w:tcMar>
              <w:left w:w="0" w:type="dxa"/>
              <w:right w:w="0" w:type="dxa"/>
            </w:tcMar>
            <w:vAlign w:val="bottom"/>
          </w:tcPr>
          <w:p w14:paraId="71F3F614"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1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16"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1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18"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61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10,000</w:t>
            </w:r>
          </w:p>
        </w:tc>
      </w:tr>
      <w:tr w:rsidR="00510CAA" w14:paraId="71F3F62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61B"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61C"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Noncash dividend</w:t>
            </w:r>
          </w:p>
        </w:tc>
        <w:tc>
          <w:tcPr>
            <w:tcW w:w="180" w:type="dxa"/>
            <w:tcBorders>
              <w:top w:val="nil"/>
              <w:left w:val="nil"/>
              <w:bottom w:val="nil"/>
              <w:right w:val="nil"/>
              <w:tl2br w:val="nil"/>
              <w:tr2bl w:val="nil"/>
            </w:tcBorders>
            <w:noWrap/>
            <w:tcMar>
              <w:left w:w="0" w:type="dxa"/>
              <w:right w:w="0" w:type="dxa"/>
            </w:tcMar>
            <w:vAlign w:val="bottom"/>
          </w:tcPr>
          <w:p w14:paraId="71F3F61D"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1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1F" w14:textId="77777777" w:rsidR="00510CAA" w:rsidRDefault="00510CAA">
            <w:pPr>
              <w:keepNext/>
              <w:jc w:val="righ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60" w:type="dxa"/>
            </w:tcMar>
            <w:vAlign w:val="bottom"/>
          </w:tcPr>
          <w:p w14:paraId="71F3F62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621"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62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41,521</w:t>
            </w:r>
          </w:p>
        </w:tc>
      </w:tr>
      <w:tr w:rsidR="00510CAA" w14:paraId="71F3F62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10"/>
        </w:trPr>
        <w:tc>
          <w:tcPr>
            <w:tcW w:w="90" w:type="dxa"/>
            <w:tcBorders>
              <w:top w:val="nil"/>
              <w:left w:val="nil"/>
              <w:bottom w:val="nil"/>
              <w:right w:val="nil"/>
              <w:tl2br w:val="nil"/>
              <w:tr2bl w:val="nil"/>
            </w:tcBorders>
            <w:tcMar>
              <w:left w:w="0" w:type="dxa"/>
              <w:right w:w="0" w:type="dxa"/>
            </w:tcMar>
            <w:vAlign w:val="bottom"/>
          </w:tcPr>
          <w:p w14:paraId="71F3F624" w14:textId="77777777" w:rsidR="00510CAA" w:rsidRDefault="00510CAA">
            <w:pPr>
              <w:keepNext/>
              <w:jc w:val="both"/>
              <w:rPr>
                <w:rFonts w:ascii="Arial" w:eastAsia="Arial" w:hAnsi="Arial" w:cs="Arial"/>
                <w:color w:val="000000"/>
                <w:sz w:val="18"/>
              </w:rPr>
            </w:pPr>
          </w:p>
        </w:tc>
        <w:tc>
          <w:tcPr>
            <w:tcW w:w="5565" w:type="dxa"/>
            <w:gridSpan w:val="2"/>
            <w:tcBorders>
              <w:top w:val="nil"/>
              <w:left w:val="nil"/>
              <w:bottom w:val="nil"/>
              <w:right w:val="nil"/>
              <w:tl2br w:val="nil"/>
              <w:tr2bl w:val="nil"/>
            </w:tcBorders>
            <w:tcMar>
              <w:left w:w="0" w:type="dxa"/>
              <w:right w:w="0" w:type="dxa"/>
            </w:tcMar>
            <w:vAlign w:val="bottom"/>
          </w:tcPr>
          <w:p w14:paraId="71F3F625" w14:textId="77777777" w:rsidR="00510CAA" w:rsidRDefault="003A4815">
            <w:pPr>
              <w:keepNext/>
              <w:jc w:val="both"/>
              <w:rPr>
                <w:rFonts w:ascii="Arial" w:eastAsia="Arial" w:hAnsi="Arial" w:cs="Arial"/>
                <w:color w:val="000000"/>
                <w:sz w:val="18"/>
              </w:rPr>
            </w:pPr>
            <w:r>
              <w:rPr>
                <w:rFonts w:ascii="Arial" w:eastAsia="Arial" w:hAnsi="Arial" w:cs="Arial"/>
                <w:color w:val="000000"/>
                <w:sz w:val="18"/>
              </w:rPr>
              <w:t>Interest paid, net of amounts capitalized</w:t>
            </w:r>
          </w:p>
        </w:tc>
        <w:tc>
          <w:tcPr>
            <w:tcW w:w="180" w:type="dxa"/>
            <w:tcBorders>
              <w:top w:val="nil"/>
              <w:left w:val="nil"/>
              <w:bottom w:val="nil"/>
              <w:right w:val="nil"/>
              <w:tl2br w:val="nil"/>
              <w:tr2bl w:val="nil"/>
            </w:tcBorders>
            <w:noWrap/>
            <w:tcMar>
              <w:left w:w="0" w:type="dxa"/>
              <w:right w:w="0" w:type="dxa"/>
            </w:tcMar>
            <w:vAlign w:val="bottom"/>
          </w:tcPr>
          <w:p w14:paraId="71F3F62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62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41,505</w:t>
            </w:r>
          </w:p>
        </w:tc>
        <w:tc>
          <w:tcPr>
            <w:tcW w:w="180" w:type="dxa"/>
            <w:tcBorders>
              <w:top w:val="nil"/>
              <w:left w:val="nil"/>
              <w:bottom w:val="nil"/>
              <w:right w:val="nil"/>
              <w:tl2br w:val="nil"/>
              <w:tr2bl w:val="nil"/>
            </w:tcBorders>
            <w:noWrap/>
            <w:tcMar>
              <w:left w:w="0" w:type="dxa"/>
              <w:right w:w="0" w:type="dxa"/>
            </w:tcMar>
            <w:vAlign w:val="bottom"/>
          </w:tcPr>
          <w:p w14:paraId="71F3F62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0" w:type="dxa"/>
              <w:right w:w="60" w:type="dxa"/>
            </w:tcMar>
            <w:vAlign w:val="bottom"/>
          </w:tcPr>
          <w:p w14:paraId="71F3F62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46,257</w:t>
            </w:r>
          </w:p>
        </w:tc>
        <w:tc>
          <w:tcPr>
            <w:tcW w:w="180" w:type="dxa"/>
            <w:tcBorders>
              <w:top w:val="nil"/>
              <w:left w:val="nil"/>
              <w:bottom w:val="nil"/>
              <w:right w:val="nil"/>
              <w:tl2br w:val="nil"/>
              <w:tr2bl w:val="nil"/>
            </w:tcBorders>
            <w:noWrap/>
            <w:tcMar>
              <w:left w:w="0" w:type="dxa"/>
              <w:right w:w="0" w:type="dxa"/>
            </w:tcMar>
            <w:vAlign w:val="bottom"/>
          </w:tcPr>
          <w:p w14:paraId="71F3F62A" w14:textId="77777777" w:rsidR="00510CAA" w:rsidRDefault="00510CAA">
            <w:pPr>
              <w:keepNext/>
              <w:jc w:val="right"/>
              <w:rPr>
                <w:rFonts w:ascii="Arial" w:eastAsia="Arial" w:hAnsi="Arial" w:cs="Arial"/>
                <w:color w:val="000000"/>
                <w:sz w:val="16"/>
              </w:rPr>
            </w:pPr>
          </w:p>
        </w:tc>
        <w:tc>
          <w:tcPr>
            <w:tcW w:w="1440" w:type="dxa"/>
            <w:tcBorders>
              <w:top w:val="nil"/>
              <w:left w:val="nil"/>
              <w:bottom w:val="nil"/>
              <w:right w:val="nil"/>
              <w:tl2br w:val="nil"/>
              <w:tr2bl w:val="nil"/>
            </w:tcBorders>
            <w:noWrap/>
            <w:tcMar>
              <w:left w:w="0" w:type="dxa"/>
              <w:right w:w="60" w:type="dxa"/>
            </w:tcMar>
            <w:vAlign w:val="bottom"/>
          </w:tcPr>
          <w:p w14:paraId="71F3F62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46,473</w:t>
            </w:r>
          </w:p>
        </w:tc>
      </w:tr>
      <w:tr w:rsidR="00510CAA" w14:paraId="71F3F62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25"/>
        </w:trPr>
        <w:tc>
          <w:tcPr>
            <w:tcW w:w="10515" w:type="dxa"/>
            <w:gridSpan w:val="9"/>
            <w:tcBorders>
              <w:top w:val="nil"/>
              <w:left w:val="nil"/>
              <w:bottom w:val="nil"/>
              <w:right w:val="nil"/>
              <w:tl2br w:val="nil"/>
              <w:tr2bl w:val="nil"/>
            </w:tcBorders>
            <w:tcMar>
              <w:left w:w="0" w:type="dxa"/>
              <w:right w:w="0" w:type="dxa"/>
            </w:tcMar>
            <w:vAlign w:val="bottom"/>
          </w:tcPr>
          <w:p w14:paraId="71F3F62D" w14:textId="77777777" w:rsidR="00510CAA" w:rsidRDefault="003A4815">
            <w:pPr>
              <w:keepNext/>
              <w:jc w:val="center"/>
              <w:rPr>
                <w:rFonts w:ascii="Arial" w:eastAsia="Arial" w:hAnsi="Arial" w:cs="Arial"/>
                <w:color w:val="000000"/>
                <w:sz w:val="18"/>
              </w:rPr>
            </w:pPr>
            <w:r>
              <w:rPr>
                <w:rFonts w:ascii="Arial" w:eastAsia="Arial" w:hAnsi="Arial" w:cs="Arial"/>
                <w:color w:val="000000"/>
                <w:sz w:val="18"/>
              </w:rPr>
              <w:t>The accompanying notes are an integral part of these consolidated financial statements.</w:t>
            </w:r>
          </w:p>
        </w:tc>
      </w:tr>
    </w:tbl>
    <w:p w14:paraId="71F3F62F" w14:textId="77777777" w:rsidR="00510CAA" w:rsidRDefault="00510CAA">
      <w:pPr>
        <w:rPr>
          <w:rFonts w:ascii="Arial" w:eastAsia="Arial" w:hAnsi="Arial" w:cs="Arial"/>
        </w:rPr>
        <w:sectPr w:rsidR="00510CAA">
          <w:headerReference w:type="even" r:id="rId79"/>
          <w:headerReference w:type="default" r:id="rId80"/>
          <w:footerReference w:type="even" r:id="rId81"/>
          <w:footerReference w:type="default" r:id="rId82"/>
          <w:headerReference w:type="first" r:id="rId83"/>
          <w:footerReference w:type="first" r:id="rId84"/>
          <w:type w:val="continuous"/>
          <w:pgSz w:w="12240" w:h="15840"/>
          <w:pgMar w:top="510" w:right="1020" w:bottom="510" w:left="1020" w:header="720" w:footer="720" w:gutter="0"/>
          <w:pgBorders>
            <w:top w:val="nil"/>
            <w:left w:val="nil"/>
            <w:bottom w:val="nil"/>
            <w:right w:val="nil"/>
          </w:pgBorders>
          <w:cols w:space="720"/>
        </w:sectPr>
      </w:pPr>
    </w:p>
    <w:p w14:paraId="71F3F630" w14:textId="77777777" w:rsidR="008F05AF" w:rsidRPr="000C055F" w:rsidRDefault="003A4815" w:rsidP="00541419">
      <w:pPr>
        <w:pStyle w:val="Header1notes"/>
        <w:keepLines/>
        <w:pageBreakBefore/>
        <w:pBdr>
          <w:top w:val="nil"/>
          <w:left w:val="nil"/>
          <w:bottom w:val="nil"/>
          <w:right w:val="nil"/>
          <w:between w:val="nil"/>
          <w:bar w:val="nil"/>
        </w:pBdr>
        <w:spacing w:before="0" w:after="0"/>
        <w:ind w:left="567" w:hanging="567"/>
        <w:rPr>
          <w:rFonts w:ascii="Arial" w:eastAsia="Arial" w:hAnsi="Arial" w:cs="Arial"/>
          <w:sz w:val="24"/>
          <w:szCs w:val="28"/>
          <w:bdr w:val="nil"/>
        </w:rPr>
      </w:pPr>
      <w:bookmarkStart w:id="391" w:name="RG_MARKER_23073"/>
      <w:bookmarkStart w:id="392" w:name="RG_MARKER_23173"/>
      <w:bookmarkStart w:id="393" w:name="_Ref220384663"/>
      <w:bookmarkStart w:id="394" w:name="XBRL_TS_614c4047331a4e31a45ef0ef5b7f00b6"/>
      <w:r w:rsidRPr="000C055F">
        <w:rPr>
          <w:rFonts w:ascii="Arial" w:eastAsia="Arial" w:hAnsi="Arial" w:cs="Arial"/>
          <w:sz w:val="24"/>
          <w:szCs w:val="28"/>
        </w:rPr>
        <w:t>1.</w:t>
      </w:r>
      <w:bookmarkEnd w:id="391"/>
      <w:bookmarkEnd w:id="392"/>
      <w:r w:rsidRPr="000C055F">
        <w:rPr>
          <w:rFonts w:ascii="Arial" w:eastAsia="Arial" w:hAnsi="Arial" w:cs="Arial"/>
          <w:sz w:val="24"/>
          <w:szCs w:val="28"/>
        </w:rPr>
        <w:tab/>
        <w:t>Basis of Presentation and General Information</w:t>
      </w:r>
      <w:bookmarkEnd w:id="393"/>
      <w:r w:rsidRPr="000C055F">
        <w:rPr>
          <w:rFonts w:ascii="Arial" w:eastAsia="Arial" w:hAnsi="Arial" w:cs="Arial"/>
          <w:sz w:val="24"/>
          <w:szCs w:val="28"/>
        </w:rPr>
        <w:t xml:space="preserve"> </w:t>
      </w:r>
    </w:p>
    <w:p w14:paraId="71F3F631" w14:textId="77777777" w:rsidR="00E62465" w:rsidRPr="00541419" w:rsidRDefault="00E62465" w:rsidP="00541419">
      <w:pPr>
        <w:keepNext/>
        <w:keepLines/>
        <w:pBdr>
          <w:top w:val="nil"/>
          <w:left w:val="nil"/>
          <w:bottom w:val="nil"/>
          <w:right w:val="nil"/>
          <w:between w:val="nil"/>
          <w:bar w:val="nil"/>
        </w:pBdr>
        <w:rPr>
          <w:rFonts w:ascii="Arial" w:eastAsia="Arial" w:hAnsi="Arial" w:cs="Arial"/>
          <w:bdr w:val="nil"/>
          <w:lang w:val="en-US"/>
        </w:rPr>
      </w:pPr>
    </w:p>
    <w:p w14:paraId="71F3F632" w14:textId="77777777" w:rsidR="008B7199" w:rsidRPr="00541419" w:rsidRDefault="003A4815" w:rsidP="00541419">
      <w:pPr>
        <w:pBdr>
          <w:top w:val="nil"/>
          <w:left w:val="nil"/>
          <w:bottom w:val="nil"/>
          <w:right w:val="nil"/>
          <w:between w:val="nil"/>
          <w:bar w:val="nil"/>
        </w:pBdr>
        <w:jc w:val="both"/>
        <w:rPr>
          <w:rFonts w:ascii="Arial" w:eastAsia="Arial" w:hAnsi="Arial" w:cs="Arial"/>
          <w:bdr w:val="nil"/>
          <w:lang w:val="en-US"/>
        </w:rPr>
      </w:pPr>
      <w:r w:rsidRPr="00541419">
        <w:rPr>
          <w:rFonts w:ascii="Arial" w:eastAsia="Arial" w:hAnsi="Arial" w:cs="Arial"/>
          <w:szCs w:val="24"/>
          <w:lang w:val="en-US" w:bidi="en-US"/>
        </w:rPr>
        <w:t xml:space="preserve">The accompanying consolidated financial statements include the accounts of Diana Shipping Inc., or DSI, and its wholly owned subsidiaries (collectively, the “Company”). DSI was formed on </w:t>
      </w:r>
      <w:bookmarkStart w:id="395" w:name="XBRL_CS_5e678e1a714c47a9af03fa19dd585390"/>
      <w:r w:rsidRPr="00541419">
        <w:rPr>
          <w:rFonts w:ascii="Arial" w:eastAsia="Arial" w:hAnsi="Arial" w:cs="Arial"/>
          <w:szCs w:val="24"/>
          <w:lang w:val="en-US" w:bidi="en-US"/>
        </w:rPr>
        <w:t>March 8, 1999</w:t>
      </w:r>
      <w:bookmarkEnd w:id="395"/>
      <w:r w:rsidRPr="00541419">
        <w:rPr>
          <w:rFonts w:ascii="Arial" w:eastAsia="Arial" w:hAnsi="Arial" w:cs="Arial"/>
          <w:szCs w:val="24"/>
          <w:lang w:val="en-US" w:bidi="en-US"/>
        </w:rPr>
        <w:t>, as Diana Shipping Investment Corp., under the laws of the Republic of Liberia. In February 2005, the Company’s articles of incorporation were amended. Under the amended articles of incorporation, the Company was renamed Diana Shipping Inc. and was re-domiciled from the Republic of Liberia to the Republic of the Marshall Islands.</w:t>
      </w:r>
    </w:p>
    <w:p w14:paraId="71F3F633" w14:textId="77777777" w:rsidR="00EC5E76" w:rsidRPr="00541419" w:rsidRDefault="00EC5E76" w:rsidP="00541419">
      <w:pPr>
        <w:pBdr>
          <w:top w:val="nil"/>
          <w:left w:val="nil"/>
          <w:bottom w:val="nil"/>
          <w:right w:val="nil"/>
          <w:between w:val="nil"/>
          <w:bar w:val="nil"/>
        </w:pBdr>
        <w:jc w:val="both"/>
        <w:rPr>
          <w:rFonts w:ascii="Arial" w:eastAsia="Arial" w:hAnsi="Arial" w:cs="Arial"/>
          <w:bdr w:val="nil"/>
          <w:lang w:val="en-US"/>
        </w:rPr>
      </w:pPr>
    </w:p>
    <w:p w14:paraId="71F3F634" w14:textId="77777777" w:rsidR="003332A1" w:rsidRPr="00541419" w:rsidRDefault="003A4815" w:rsidP="00541419">
      <w:pPr>
        <w:pBdr>
          <w:top w:val="nil"/>
          <w:left w:val="nil"/>
          <w:bottom w:val="nil"/>
          <w:right w:val="nil"/>
          <w:between w:val="nil"/>
          <w:bar w:val="nil"/>
        </w:pBdr>
        <w:jc w:val="both"/>
        <w:rPr>
          <w:rFonts w:ascii="Arial" w:eastAsia="Arial" w:hAnsi="Arial" w:cs="Arial"/>
          <w:bdr w:val="nil"/>
          <w:lang w:val="en-US"/>
        </w:rPr>
      </w:pPr>
      <w:r w:rsidRPr="00541419">
        <w:rPr>
          <w:rFonts w:ascii="Arial" w:eastAsia="Arial" w:hAnsi="Arial" w:cs="Arial"/>
          <w:szCs w:val="24"/>
          <w:lang w:val="en-US" w:bidi="en-US"/>
        </w:rPr>
        <w:t xml:space="preserve">The Company is engaged in the ocean transportation of dry bulk cargoes worldwide through the ownership and bareboat charter in of dry bulk carrier vessels. The Company operates its own fleet through Diana Shipping Services S.A. (or “DSS”), a wholly owned subsidiary and through Diana Wilhelmsen Management Limited, or DWM, a </w:t>
      </w:r>
      <w:bookmarkStart w:id="396" w:name="XBRL_CS_8c8625a443ec4b9ab7eeae1fccec36e3"/>
      <w:r w:rsidRPr="00541419">
        <w:rPr>
          <w:rFonts w:ascii="Arial" w:eastAsia="Arial" w:hAnsi="Arial" w:cs="Arial"/>
          <w:szCs w:val="24"/>
          <w:lang w:val="en-US" w:bidi="en-US"/>
        </w:rPr>
        <w:t>50</w:t>
      </w:r>
      <w:bookmarkEnd w:id="396"/>
      <w:r w:rsidRPr="00541419">
        <w:rPr>
          <w:rFonts w:ascii="Arial" w:eastAsia="Arial" w:hAnsi="Arial" w:cs="Arial"/>
          <w:szCs w:val="24"/>
          <w:lang w:val="en-US" w:bidi="en-US"/>
        </w:rPr>
        <w:t xml:space="preserve">% owned joint venture </w:t>
      </w:r>
      <w:r w:rsidRPr="00B312AD">
        <w:rPr>
          <w:rFonts w:ascii="Arial" w:eastAsia="Arial" w:hAnsi="Arial" w:cs="Arial"/>
          <w:szCs w:val="24"/>
          <w:lang w:val="en-US" w:bidi="en-US"/>
        </w:rPr>
        <w:t>(Note 4</w:t>
      </w:r>
      <w:r>
        <w:rPr>
          <w:rFonts w:ascii="Arial" w:eastAsia="Arial" w:hAnsi="Arial" w:cs="Arial"/>
          <w:szCs w:val="24"/>
          <w:lang w:val="en-US" w:bidi="en-US"/>
        </w:rPr>
        <w:t>(a)</w:t>
      </w:r>
      <w:r w:rsidRPr="00541419">
        <w:rPr>
          <w:rFonts w:ascii="Arial" w:eastAsia="Arial" w:hAnsi="Arial" w:cs="Arial"/>
          <w:szCs w:val="24"/>
          <w:lang w:val="en-US" w:bidi="en-US"/>
        </w:rPr>
        <w:t xml:space="preserve">). The fees paid to DSS are eliminated </w:t>
      </w:r>
      <w:r>
        <w:rPr>
          <w:rFonts w:ascii="Arial" w:eastAsia="Arial" w:hAnsi="Arial" w:cs="Arial"/>
          <w:szCs w:val="24"/>
          <w:lang w:val="en-US" w:bidi="en-US"/>
        </w:rPr>
        <w:t>upon</w:t>
      </w:r>
      <w:r w:rsidRPr="00541419">
        <w:rPr>
          <w:rFonts w:ascii="Arial" w:eastAsia="Arial" w:hAnsi="Arial" w:cs="Arial"/>
          <w:szCs w:val="24"/>
          <w:lang w:val="en-US" w:bidi="en-US"/>
        </w:rPr>
        <w:t xml:space="preserve"> consolidation. </w:t>
      </w:r>
    </w:p>
    <w:bookmarkEnd w:id="394"/>
    <w:p w14:paraId="71F3F63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636" w14:textId="77777777" w:rsidR="002D67F2" w:rsidRPr="00D313BF" w:rsidRDefault="003A4815" w:rsidP="00D01D20">
      <w:pPr>
        <w:pStyle w:val="Header1notes"/>
        <w:keepLines/>
        <w:pBdr>
          <w:top w:val="nil"/>
          <w:left w:val="nil"/>
          <w:bottom w:val="nil"/>
          <w:right w:val="nil"/>
          <w:between w:val="nil"/>
          <w:bar w:val="nil"/>
        </w:pBdr>
        <w:spacing w:before="0" w:after="0"/>
        <w:ind w:left="567" w:hanging="567"/>
        <w:rPr>
          <w:rFonts w:ascii="Arial" w:eastAsia="Arial" w:hAnsi="Arial" w:cs="Arial"/>
          <w:bdr w:val="nil"/>
          <w:lang w:bidi="ar-SA"/>
        </w:rPr>
      </w:pPr>
      <w:bookmarkStart w:id="397" w:name="RG_MARKER_23074"/>
      <w:bookmarkStart w:id="398" w:name="RG_MARKER_23174"/>
      <w:bookmarkStart w:id="399" w:name="XBRL_TS_3c91b519e9444302a5eac14ff203a66b"/>
      <w:r w:rsidRPr="00D313BF">
        <w:rPr>
          <w:rFonts w:ascii="Arial" w:eastAsia="Arial" w:hAnsi="Arial" w:cs="Arial"/>
          <w:sz w:val="24"/>
          <w:lang w:bidi="ar-SA"/>
        </w:rPr>
        <w:t>2.</w:t>
      </w:r>
      <w:bookmarkEnd w:id="397"/>
      <w:bookmarkEnd w:id="398"/>
      <w:r w:rsidRPr="00D313BF">
        <w:rPr>
          <w:rFonts w:ascii="Arial" w:eastAsia="Arial" w:hAnsi="Arial" w:cs="Arial"/>
          <w:sz w:val="24"/>
          <w:lang w:bidi="ar-SA"/>
        </w:rPr>
        <w:tab/>
        <w:t>Significant Accounting Policies</w:t>
      </w:r>
      <w:r>
        <w:rPr>
          <w:rFonts w:ascii="Arial" w:eastAsia="Arial" w:hAnsi="Arial" w:cs="Arial"/>
          <w:sz w:val="24"/>
          <w:lang w:bidi="ar-SA"/>
        </w:rPr>
        <w:t xml:space="preserve"> and Recent Accounting Pronouncements</w:t>
      </w:r>
    </w:p>
    <w:p w14:paraId="71F3F637" w14:textId="77777777" w:rsidR="00E25AA2" w:rsidRPr="00D313BF" w:rsidRDefault="00E25AA2" w:rsidP="00D01D20">
      <w:pPr>
        <w:keepNext/>
        <w:keepLines/>
        <w:pBdr>
          <w:top w:val="nil"/>
          <w:left w:val="nil"/>
          <w:bottom w:val="nil"/>
          <w:right w:val="nil"/>
          <w:between w:val="nil"/>
          <w:bar w:val="nil"/>
        </w:pBdr>
        <w:ind w:left="567" w:hanging="567"/>
        <w:jc w:val="both"/>
        <w:rPr>
          <w:rFonts w:ascii="Arial" w:eastAsia="Arial" w:hAnsi="Arial" w:cs="Arial"/>
          <w:bdr w:val="nil"/>
          <w:lang w:val="en-US"/>
        </w:rPr>
      </w:pPr>
    </w:p>
    <w:p w14:paraId="71F3F638" w14:textId="77777777" w:rsidR="00DC24FC" w:rsidRPr="00C71838" w:rsidRDefault="003A4815" w:rsidP="00C71838">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00" w:name="XBRL_TS_bae722e957b94ad5b83857eac908abe2"/>
      <w:r w:rsidRPr="00565346">
        <w:rPr>
          <w:rStyle w:val="Heading2Char"/>
          <w:rFonts w:ascii="Arial" w:eastAsia="Arial" w:hAnsi="Arial" w:cs="Arial"/>
          <w:iCs w:val="0"/>
          <w:color w:val="auto"/>
          <w:sz w:val="22"/>
          <w:szCs w:val="22"/>
          <w:lang w:val="en-US"/>
        </w:rPr>
        <w:t>Principles of Consolidation</w:t>
      </w:r>
      <w:r w:rsidRPr="00565346">
        <w:rPr>
          <w:rFonts w:ascii="Arial" w:eastAsia="Arial" w:hAnsi="Arial" w:cs="Arial"/>
          <w:lang w:val="en-US"/>
        </w:rPr>
        <w:t xml:space="preserve">: </w:t>
      </w:r>
      <w:r w:rsidR="00C71838" w:rsidRPr="00C71838">
        <w:rPr>
          <w:rFonts w:ascii="Arial" w:eastAsia="Arial" w:hAnsi="Arial" w:cs="Arial"/>
          <w:lang w:val="en-US"/>
        </w:rPr>
        <w:t xml:space="preserve">The accompanying consolidated financial statements have been prepared in accordance with U.S. generally accepted accounting principles and include the accounts of Diana Shipping Inc. and its wholly owned subsidiaries. All intercompany balances and transactions have been eliminated upon consolidation. Under Accounting Standards Codification (“ASC”) 810 “Consolidation”, the Company consolidates entities in which it has a controlling financial interest, by first considering if an entity meets the definition of a variable interest entity ("VIE") for which the Company is deemed to be the primary beneficiary under the VIE model, or if the Company controls an entity through a majority of voting interest based on the voting interest model. The Company evaluates financial instruments, service contracts, and other arrangements to determine if any variable interests relating to an entity exist. For entities in which the Company has a variable interest, the Company determines if the entity is a VIE by considering whether the entity’s equity investment at risk is sufficient to finance its activities without additional subordinated financial support and whether the entity’s at-risk equity holders have the characteristics of controlling financial interest. In performing analysis of whether the Company is the primary beneficiary of a VIE, the Company considers whether it individually has the power to direct the activities of the VIE that most significantly affect the entity’s performance and also has the obligation to absorb losses or the right to receive benefits of the VIE that could potentially be significant to the VIE. If the Company holds a variable interest in an entity that previously was not a VIE, it reconsiders whether the entity has become a VIE. </w:t>
      </w:r>
    </w:p>
    <w:bookmarkEnd w:id="400"/>
    <w:p w14:paraId="71F3F639" w14:textId="77777777" w:rsidR="00E56338" w:rsidRPr="00D313BF" w:rsidRDefault="00E56338"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3A" w14:textId="77777777" w:rsidR="00565346" w:rsidRPr="00565346" w:rsidRDefault="003A4815" w:rsidP="00565346">
      <w:pPr>
        <w:pStyle w:val="Notesbody"/>
        <w:widowControl w:val="0"/>
        <w:numPr>
          <w:ilvl w:val="0"/>
          <w:numId w:val="24"/>
        </w:numPr>
        <w:pBdr>
          <w:top w:val="nil"/>
          <w:left w:val="nil"/>
          <w:bottom w:val="nil"/>
          <w:right w:val="nil"/>
          <w:between w:val="nil"/>
          <w:bar w:val="nil"/>
        </w:pBdr>
        <w:ind w:left="567" w:hanging="567"/>
        <w:rPr>
          <w:rFonts w:ascii="Arial" w:eastAsia="Arial" w:hAnsi="Arial" w:cs="Arial"/>
          <w:bdr w:val="nil"/>
        </w:rPr>
      </w:pPr>
      <w:bookmarkStart w:id="401" w:name="XBRL_TS_42cf22f0409649928ee93ab600dac765"/>
      <w:r w:rsidRPr="00D313BF">
        <w:rPr>
          <w:rStyle w:val="Heading2Char"/>
          <w:rFonts w:ascii="Arial" w:eastAsia="Arial" w:hAnsi="Arial" w:cs="Arial"/>
          <w:iCs w:val="0"/>
          <w:sz w:val="22"/>
          <w:szCs w:val="22"/>
          <w:lang w:eastAsia="el-GR"/>
        </w:rPr>
        <w:t>Use of Estimates:</w:t>
      </w:r>
      <w:r w:rsidRPr="00D313BF">
        <w:rPr>
          <w:rFonts w:ascii="Arial" w:eastAsia="Arial" w:hAnsi="Arial" w:cs="Arial"/>
          <w:b/>
          <w:i/>
          <w:szCs w:val="20"/>
          <w:lang w:eastAsia="el-GR"/>
        </w:rPr>
        <w:t xml:space="preserve"> </w:t>
      </w:r>
      <w:r w:rsidRPr="00565346">
        <w:rPr>
          <w:rFonts w:ascii="Arial" w:eastAsia="Arial" w:hAnsi="Arial" w:cs="Arial"/>
          <w:szCs w:val="20"/>
          <w:lang w:eastAsia="el-GR"/>
        </w:rPr>
        <w:t>The preparation of consolidated financial statements in conformity with U.S. generally accepted accounting principles requires management to make estimates and assumptions that affect the reported amounts of assets and liabilities, the disclosure of contingent assets and liabilities at the date of the financial statements, and the reported amounts of revenues and expenses during the reporting period. Actual results may differ from those estimates</w:t>
      </w:r>
      <w:r>
        <w:rPr>
          <w:rFonts w:ascii="Arial" w:eastAsia="Arial" w:hAnsi="Arial" w:cs="Arial"/>
          <w:szCs w:val="20"/>
          <w:lang w:eastAsia="el-GR"/>
        </w:rPr>
        <w:t>.</w:t>
      </w:r>
    </w:p>
    <w:bookmarkEnd w:id="401"/>
    <w:p w14:paraId="71F3F63B"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3C" w14:textId="77777777" w:rsidR="00565346" w:rsidRPr="00565346" w:rsidRDefault="003A4815" w:rsidP="00565346">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02" w:name="XBRL_TS_fd557c2ea7f146999ef5c03184ae97cf"/>
      <w:r w:rsidRPr="00565346">
        <w:rPr>
          <w:rStyle w:val="Heading2Char"/>
          <w:rFonts w:ascii="Arial" w:eastAsia="Arial" w:hAnsi="Arial" w:cs="Arial"/>
          <w:iCs w:val="0"/>
          <w:color w:val="auto"/>
          <w:sz w:val="22"/>
          <w:szCs w:val="22"/>
          <w:lang w:val="en-US"/>
        </w:rPr>
        <w:t>Other Comprehensive Income:</w:t>
      </w:r>
      <w:r w:rsidRPr="00565346">
        <w:rPr>
          <w:rFonts w:ascii="Arial" w:eastAsia="Arial" w:hAnsi="Arial" w:cs="Arial"/>
          <w:b/>
          <w:i/>
          <w:lang w:val="en-US"/>
        </w:rPr>
        <w:t xml:space="preserve"> </w:t>
      </w:r>
      <w:r w:rsidRPr="00565346">
        <w:rPr>
          <w:rFonts w:ascii="Arial" w:eastAsia="Arial" w:hAnsi="Arial" w:cs="Arial"/>
          <w:lang w:val="en-US"/>
        </w:rPr>
        <w:t xml:space="preserve">The Company records certain transactions directly within stockholders’ equity when required by U.S. GAAP and presents them separately from results of operations. Other comprehensive income/(loss) is reported in a separate statement of comprehensive </w:t>
      </w:r>
      <w:r w:rsidR="00D206F9" w:rsidRPr="00565346">
        <w:rPr>
          <w:rFonts w:ascii="Arial" w:eastAsia="Arial" w:hAnsi="Arial" w:cs="Arial"/>
          <w:lang w:val="en-US"/>
        </w:rPr>
        <w:t>income</w:t>
      </w:r>
      <w:r w:rsidRPr="00565346">
        <w:rPr>
          <w:rFonts w:ascii="Arial" w:eastAsia="Arial" w:hAnsi="Arial" w:cs="Arial"/>
          <w:lang w:val="en-US"/>
        </w:rPr>
        <w:t xml:space="preserve"> and includes items that are not recognized in net income.</w:t>
      </w:r>
      <w:r>
        <w:rPr>
          <w:rFonts w:ascii="Arial" w:eastAsia="Arial" w:hAnsi="Arial" w:cs="Arial"/>
          <w:lang w:val="en-US"/>
        </w:rPr>
        <w:t xml:space="preserve"> </w:t>
      </w:r>
      <w:r w:rsidRPr="00565346">
        <w:rPr>
          <w:rFonts w:ascii="Arial" w:eastAsia="Arial" w:hAnsi="Arial" w:cs="Arial"/>
          <w:lang w:val="en-US"/>
        </w:rPr>
        <w:t>The Company’s components of other comprehensive income/(loss) include</w:t>
      </w:r>
      <w:r w:rsidR="00D206F9">
        <w:rPr>
          <w:rFonts w:ascii="Arial" w:eastAsia="Arial" w:hAnsi="Arial" w:cs="Arial"/>
          <w:lang w:val="en-US"/>
        </w:rPr>
        <w:t xml:space="preserve"> </w:t>
      </w:r>
      <w:r w:rsidRPr="00565346">
        <w:rPr>
          <w:rFonts w:ascii="Arial" w:eastAsia="Arial" w:hAnsi="Arial" w:cs="Arial"/>
          <w:lang w:val="en-US"/>
        </w:rPr>
        <w:t xml:space="preserve">translation </w:t>
      </w:r>
      <w:r w:rsidR="00184676">
        <w:rPr>
          <w:rFonts w:ascii="Arial" w:eastAsia="Arial" w:hAnsi="Arial" w:cs="Arial"/>
          <w:lang w:val="en-US"/>
        </w:rPr>
        <w:t>adjustments</w:t>
      </w:r>
      <w:r w:rsidRPr="00565346">
        <w:rPr>
          <w:rFonts w:ascii="Arial" w:eastAsia="Arial" w:hAnsi="Arial" w:cs="Arial"/>
          <w:lang w:val="en-US"/>
        </w:rPr>
        <w:t xml:space="preserve"> arising from equity</w:t>
      </w:r>
      <w:r w:rsidR="001A0AEE">
        <w:rPr>
          <w:rFonts w:ascii="Arial" w:eastAsia="Arial" w:hAnsi="Arial" w:cs="Arial"/>
          <w:lang w:val="en-US"/>
        </w:rPr>
        <w:t xml:space="preserve"> </w:t>
      </w:r>
      <w:r w:rsidRPr="00565346">
        <w:rPr>
          <w:rFonts w:ascii="Arial" w:eastAsia="Arial" w:hAnsi="Arial" w:cs="Arial"/>
          <w:lang w:val="en-US"/>
        </w:rPr>
        <w:t xml:space="preserve">method investments whose functional currency is </w:t>
      </w:r>
      <w:r w:rsidR="00184676">
        <w:rPr>
          <w:rFonts w:ascii="Arial" w:eastAsia="Arial" w:hAnsi="Arial" w:cs="Arial"/>
          <w:lang w:val="en-US"/>
        </w:rPr>
        <w:t>not the US Dollar</w:t>
      </w:r>
      <w:r w:rsidRPr="00565346">
        <w:rPr>
          <w:rFonts w:ascii="Arial" w:eastAsia="Arial" w:hAnsi="Arial" w:cs="Arial"/>
          <w:lang w:val="en-US"/>
        </w:rPr>
        <w:t>, and</w:t>
      </w:r>
      <w:r w:rsidR="00D206F9">
        <w:rPr>
          <w:rFonts w:ascii="Arial" w:eastAsia="Arial" w:hAnsi="Arial" w:cs="Arial"/>
          <w:lang w:val="en-US"/>
        </w:rPr>
        <w:t xml:space="preserve"> </w:t>
      </w:r>
      <w:r w:rsidRPr="00565346">
        <w:rPr>
          <w:rFonts w:ascii="Arial" w:eastAsia="Arial" w:hAnsi="Arial" w:cs="Arial"/>
          <w:lang w:val="en-US"/>
        </w:rPr>
        <w:t>actuarial gains and losses and other adjustments related to the Company’s defined benefit plan.</w:t>
      </w:r>
    </w:p>
    <w:bookmarkEnd w:id="402"/>
    <w:p w14:paraId="71F3F63D"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3E" w14:textId="77777777" w:rsidR="005D1D02"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03" w:name="XBRL_TS_335351e8b59643cc948d5850971b059a"/>
      <w:r w:rsidRPr="002021EA">
        <w:rPr>
          <w:rStyle w:val="Heading2Char"/>
          <w:rFonts w:ascii="Arial" w:eastAsia="Arial" w:hAnsi="Arial" w:cs="Arial"/>
          <w:iCs w:val="0"/>
          <w:color w:val="auto"/>
          <w:sz w:val="22"/>
          <w:szCs w:val="22"/>
          <w:lang w:val="en-US"/>
        </w:rPr>
        <w:t>Foreign Currency Translation:</w:t>
      </w:r>
      <w:r w:rsidRPr="002021EA">
        <w:rPr>
          <w:rFonts w:ascii="Arial" w:eastAsia="Arial" w:hAnsi="Arial" w:cs="Arial"/>
          <w:b/>
          <w:i/>
          <w:lang w:val="en-US"/>
        </w:rPr>
        <w:t xml:space="preserve"> </w:t>
      </w:r>
      <w:r w:rsidR="002021EA" w:rsidRPr="002021EA">
        <w:rPr>
          <w:rFonts w:ascii="Arial" w:eastAsia="Arial" w:hAnsi="Arial" w:cs="Arial"/>
          <w:lang w:val="en-US"/>
        </w:rPr>
        <w:t>The functional currency of the Company is the U.S. dollar because the Company’s vessels operate in international shipping markets, and therefore primarily transact business in U.S. dollars. The Company’s accounting records are maintained in U.S. dollars. Transactions involving other currencies during the year are converted into U.S. dollars using the exchange rates in effect at the time of the transactions. At the balance sheet dates, monetary assets and liabilities which are denominated in other currencies are translated into U.S. dollars at the year-end exchange rates. Resulting gains or losses are included in other operating income/ (loss) in the accompanying consolidated statements of income.</w:t>
      </w:r>
    </w:p>
    <w:bookmarkEnd w:id="403"/>
    <w:p w14:paraId="71F3F63F" w14:textId="77777777" w:rsidR="002021EA" w:rsidRPr="002021EA" w:rsidRDefault="002021EA" w:rsidP="002021EA">
      <w:pPr>
        <w:pBdr>
          <w:top w:val="nil"/>
          <w:left w:val="nil"/>
          <w:bottom w:val="nil"/>
          <w:right w:val="nil"/>
          <w:between w:val="nil"/>
          <w:bar w:val="nil"/>
        </w:pBdr>
        <w:jc w:val="both"/>
        <w:rPr>
          <w:rFonts w:ascii="Arial" w:eastAsia="Arial" w:hAnsi="Arial" w:cs="Arial"/>
          <w:bdr w:val="nil"/>
          <w:lang w:val="en-US"/>
        </w:rPr>
      </w:pPr>
    </w:p>
    <w:p w14:paraId="71F3F640" w14:textId="77777777" w:rsidR="004D10E4" w:rsidRPr="004D10E4" w:rsidRDefault="003A4815" w:rsidP="004D10E4">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04" w:name="XBRL_TS_3d06cdda0356493ea917ab7aee4a4a26"/>
      <w:r w:rsidRPr="00B1347F">
        <w:rPr>
          <w:rStyle w:val="Heading2Char"/>
          <w:rFonts w:ascii="Arial" w:eastAsia="Arial" w:hAnsi="Arial" w:cs="Arial"/>
          <w:iCs w:val="0"/>
          <w:color w:val="auto"/>
          <w:sz w:val="22"/>
          <w:szCs w:val="22"/>
          <w:lang w:val="en-US"/>
        </w:rPr>
        <w:t>Cash</w:t>
      </w:r>
      <w:r w:rsidR="00884D10" w:rsidRPr="00B1347F">
        <w:rPr>
          <w:rStyle w:val="Heading2Char"/>
          <w:rFonts w:ascii="Arial" w:eastAsia="Arial" w:hAnsi="Arial" w:cs="Arial"/>
          <w:iCs w:val="0"/>
          <w:color w:val="auto"/>
          <w:sz w:val="22"/>
          <w:szCs w:val="22"/>
          <w:lang w:val="en-US"/>
        </w:rPr>
        <w:t xml:space="preserve">, </w:t>
      </w:r>
      <w:r w:rsidRPr="00B1347F">
        <w:rPr>
          <w:rStyle w:val="Heading2Char"/>
          <w:rFonts w:ascii="Arial" w:eastAsia="Arial" w:hAnsi="Arial" w:cs="Arial"/>
          <w:iCs w:val="0"/>
          <w:color w:val="auto"/>
          <w:sz w:val="22"/>
          <w:szCs w:val="22"/>
          <w:lang w:val="en-US"/>
        </w:rPr>
        <w:t>Cash Equivalents</w:t>
      </w:r>
      <w:r w:rsidR="004249F0" w:rsidRPr="00B1347F">
        <w:rPr>
          <w:rStyle w:val="Heading2Char"/>
          <w:rFonts w:ascii="Arial" w:eastAsia="Arial" w:hAnsi="Arial" w:cs="Arial"/>
          <w:iCs w:val="0"/>
          <w:color w:val="auto"/>
          <w:sz w:val="22"/>
          <w:szCs w:val="22"/>
          <w:lang w:val="en-US"/>
        </w:rPr>
        <w:t xml:space="preserve">, </w:t>
      </w:r>
      <w:r w:rsidR="00884D10" w:rsidRPr="00B1347F">
        <w:rPr>
          <w:rStyle w:val="Heading2Char"/>
          <w:rFonts w:ascii="Arial" w:eastAsia="Arial" w:hAnsi="Arial" w:cs="Arial"/>
          <w:iCs w:val="0"/>
          <w:color w:val="auto"/>
          <w:sz w:val="22"/>
          <w:szCs w:val="22"/>
          <w:lang w:val="en-US"/>
        </w:rPr>
        <w:t>Time Deposits</w:t>
      </w:r>
      <w:r w:rsidR="004249F0" w:rsidRPr="00B1347F">
        <w:rPr>
          <w:rStyle w:val="Heading2Char"/>
          <w:rFonts w:ascii="Arial" w:eastAsia="Arial" w:hAnsi="Arial" w:cs="Arial"/>
          <w:iCs w:val="0"/>
          <w:color w:val="auto"/>
          <w:sz w:val="22"/>
          <w:szCs w:val="22"/>
          <w:lang w:val="en-US"/>
        </w:rPr>
        <w:t xml:space="preserve"> and Restricted Cash</w:t>
      </w:r>
      <w:r w:rsidRPr="00B1347F">
        <w:rPr>
          <w:rFonts w:ascii="Arial" w:eastAsia="Arial" w:hAnsi="Arial" w:cs="Arial"/>
          <w:b/>
          <w:i/>
          <w:lang w:val="en-US"/>
        </w:rPr>
        <w:t xml:space="preserve">: </w:t>
      </w:r>
      <w:r w:rsidR="00B1347F" w:rsidRPr="00B1347F">
        <w:rPr>
          <w:rFonts w:ascii="Arial" w:eastAsia="Arial" w:hAnsi="Arial" w:cs="Arial"/>
          <w:lang w:val="en-US"/>
        </w:rPr>
        <w:t xml:space="preserve">The Company considers highly liquid investments, such as time deposits, certificates of deposit and similar instruments with original maturities of three months or less, to be cash equivalents. Time deposits with original maturities greater than three months are presented separately as time deposits. </w:t>
      </w:r>
      <w:r w:rsidR="004249F0" w:rsidRPr="00B1347F">
        <w:rPr>
          <w:rFonts w:ascii="Arial" w:eastAsia="Arial" w:hAnsi="Arial" w:cs="Arial"/>
          <w:lang w:val="en-US"/>
        </w:rPr>
        <w:t>As of December 31, 2025 and 2024, time deposits</w:t>
      </w:r>
      <w:r w:rsidRPr="00B1347F">
        <w:rPr>
          <w:rFonts w:ascii="Arial" w:eastAsia="Arial" w:hAnsi="Arial" w:cs="Arial"/>
          <w:lang w:val="en-US"/>
        </w:rPr>
        <w:t xml:space="preserve"> with </w:t>
      </w:r>
      <w:r w:rsidR="00B1347F">
        <w:rPr>
          <w:rFonts w:ascii="Arial" w:eastAsia="Arial" w:hAnsi="Arial" w:cs="Arial"/>
          <w:lang w:val="en-US"/>
        </w:rPr>
        <w:t>original m</w:t>
      </w:r>
      <w:r w:rsidRPr="00B1347F">
        <w:rPr>
          <w:rFonts w:ascii="Arial" w:eastAsia="Arial" w:hAnsi="Arial" w:cs="Arial"/>
          <w:lang w:val="en-US"/>
        </w:rPr>
        <w:t>aturit</w:t>
      </w:r>
      <w:r w:rsidR="00B1347F">
        <w:rPr>
          <w:rFonts w:ascii="Arial" w:eastAsia="Arial" w:hAnsi="Arial" w:cs="Arial"/>
          <w:lang w:val="en-US"/>
        </w:rPr>
        <w:t>ies</w:t>
      </w:r>
      <w:r w:rsidRPr="00B1347F">
        <w:rPr>
          <w:rFonts w:ascii="Arial" w:eastAsia="Arial" w:hAnsi="Arial" w:cs="Arial"/>
          <w:lang w:val="en-US"/>
        </w:rPr>
        <w:t xml:space="preserve"> </w:t>
      </w:r>
      <w:r w:rsidR="00B1347F">
        <w:rPr>
          <w:rFonts w:ascii="Arial" w:eastAsia="Arial" w:hAnsi="Arial" w:cs="Arial"/>
          <w:lang w:val="en-US"/>
        </w:rPr>
        <w:t xml:space="preserve">greater than </w:t>
      </w:r>
      <w:r w:rsidRPr="00B1347F">
        <w:rPr>
          <w:rFonts w:ascii="Arial" w:eastAsia="Arial" w:hAnsi="Arial" w:cs="Arial"/>
          <w:lang w:val="en-US"/>
        </w:rPr>
        <w:t>three months</w:t>
      </w:r>
      <w:r w:rsidR="004249F0" w:rsidRPr="00B1347F">
        <w:rPr>
          <w:rFonts w:ascii="Arial" w:eastAsia="Arial" w:hAnsi="Arial" w:cs="Arial"/>
          <w:lang w:val="en-US"/>
        </w:rPr>
        <w:t xml:space="preserve"> amounted to $</w:t>
      </w:r>
      <w:bookmarkStart w:id="405" w:name="XBRL_CS_090d9009660149c1af4be140d9d42b0c"/>
      <w:r w:rsidR="0096070B" w:rsidRPr="00B1347F">
        <w:rPr>
          <w:rFonts w:ascii="Arial" w:eastAsia="Arial" w:hAnsi="Arial" w:cs="Arial"/>
          <w:lang w:val="en-US"/>
        </w:rPr>
        <w:t>0</w:t>
      </w:r>
      <w:bookmarkEnd w:id="405"/>
      <w:r w:rsidR="004249F0" w:rsidRPr="00B1347F">
        <w:rPr>
          <w:rFonts w:ascii="Arial" w:eastAsia="Arial" w:hAnsi="Arial" w:cs="Arial"/>
          <w:lang w:val="en-US"/>
        </w:rPr>
        <w:t xml:space="preserve"> and $</w:t>
      </w:r>
      <w:bookmarkStart w:id="406" w:name="XBRL_CS_61bb098edad54804abe1726773a8271f"/>
      <w:r w:rsidR="0096070B" w:rsidRPr="00B1347F">
        <w:rPr>
          <w:rFonts w:ascii="Arial" w:eastAsia="Arial" w:hAnsi="Arial" w:cs="Arial"/>
          <w:lang w:val="en-US"/>
        </w:rPr>
        <w:t>63</w:t>
      </w:r>
      <w:r w:rsidR="004249F0" w:rsidRPr="00B1347F">
        <w:rPr>
          <w:rFonts w:ascii="Arial" w:eastAsia="Arial" w:hAnsi="Arial" w:cs="Arial"/>
          <w:lang w:val="en-US"/>
        </w:rPr>
        <w:t>,</w:t>
      </w:r>
      <w:r w:rsidR="0096070B" w:rsidRPr="00B1347F">
        <w:rPr>
          <w:rFonts w:ascii="Arial" w:eastAsia="Arial" w:hAnsi="Arial" w:cs="Arial"/>
          <w:lang w:val="en-US"/>
        </w:rPr>
        <w:t>5</w:t>
      </w:r>
      <w:r w:rsidR="004249F0" w:rsidRPr="00B1347F">
        <w:rPr>
          <w:rFonts w:ascii="Arial" w:eastAsia="Arial" w:hAnsi="Arial" w:cs="Arial"/>
          <w:lang w:val="en-US"/>
        </w:rPr>
        <w:t>00</w:t>
      </w:r>
      <w:bookmarkEnd w:id="406"/>
      <w:r w:rsidR="004249F0" w:rsidRPr="00B1347F">
        <w:rPr>
          <w:rFonts w:ascii="Arial" w:eastAsia="Arial" w:hAnsi="Arial" w:cs="Arial"/>
          <w:lang w:val="en-US"/>
        </w:rPr>
        <w:t xml:space="preserve">, respectively. During 2025 and 2024, the Company placed new time deposits </w:t>
      </w:r>
      <w:r w:rsidR="00B1347F" w:rsidRPr="00B1347F">
        <w:rPr>
          <w:rFonts w:ascii="Arial" w:eastAsia="Arial" w:hAnsi="Arial" w:cs="Arial"/>
          <w:lang w:val="en-US"/>
        </w:rPr>
        <w:t xml:space="preserve">with </w:t>
      </w:r>
      <w:r w:rsidR="00B1347F">
        <w:rPr>
          <w:rFonts w:ascii="Arial" w:eastAsia="Arial" w:hAnsi="Arial" w:cs="Arial"/>
          <w:lang w:val="en-US"/>
        </w:rPr>
        <w:t>m</w:t>
      </w:r>
      <w:r w:rsidR="00B1347F" w:rsidRPr="00B1347F">
        <w:rPr>
          <w:rFonts w:ascii="Arial" w:eastAsia="Arial" w:hAnsi="Arial" w:cs="Arial"/>
          <w:lang w:val="en-US"/>
        </w:rPr>
        <w:t>aturit</w:t>
      </w:r>
      <w:r w:rsidR="00B1347F">
        <w:rPr>
          <w:rFonts w:ascii="Arial" w:eastAsia="Arial" w:hAnsi="Arial" w:cs="Arial"/>
          <w:lang w:val="en-US"/>
        </w:rPr>
        <w:t>ies</w:t>
      </w:r>
      <w:r w:rsidR="00B1347F" w:rsidRPr="00B1347F">
        <w:rPr>
          <w:rFonts w:ascii="Arial" w:eastAsia="Arial" w:hAnsi="Arial" w:cs="Arial"/>
          <w:lang w:val="en-US"/>
        </w:rPr>
        <w:t xml:space="preserve"> </w:t>
      </w:r>
      <w:r w:rsidR="00B1347F">
        <w:rPr>
          <w:rFonts w:ascii="Arial" w:eastAsia="Arial" w:hAnsi="Arial" w:cs="Arial"/>
          <w:lang w:val="en-US"/>
        </w:rPr>
        <w:t xml:space="preserve">greater than </w:t>
      </w:r>
      <w:r w:rsidR="00B1347F" w:rsidRPr="00B1347F">
        <w:rPr>
          <w:rFonts w:ascii="Arial" w:eastAsia="Arial" w:hAnsi="Arial" w:cs="Arial"/>
          <w:lang w:val="en-US"/>
        </w:rPr>
        <w:t xml:space="preserve">three months </w:t>
      </w:r>
      <w:r w:rsidR="004249F0" w:rsidRPr="00B1347F">
        <w:rPr>
          <w:rFonts w:ascii="Arial" w:eastAsia="Arial" w:hAnsi="Arial" w:cs="Arial"/>
          <w:lang w:val="en-US"/>
        </w:rPr>
        <w:t>of $</w:t>
      </w:r>
      <w:bookmarkStart w:id="407" w:name="XBRL_CS_407792599b4b4e2aa49adb312501d806"/>
      <w:r w:rsidR="0096070B" w:rsidRPr="00B1347F">
        <w:rPr>
          <w:rFonts w:ascii="Arial" w:eastAsia="Arial" w:hAnsi="Arial" w:cs="Arial"/>
          <w:lang w:val="en-US"/>
        </w:rPr>
        <w:t>20</w:t>
      </w:r>
      <w:r w:rsidR="004249F0" w:rsidRPr="00B1347F">
        <w:rPr>
          <w:rFonts w:ascii="Arial" w:eastAsia="Arial" w:hAnsi="Arial" w:cs="Arial"/>
          <w:lang w:val="en-US"/>
        </w:rPr>
        <w:t>,</w:t>
      </w:r>
      <w:r w:rsidR="0096070B" w:rsidRPr="00B1347F">
        <w:rPr>
          <w:rFonts w:ascii="Arial" w:eastAsia="Arial" w:hAnsi="Arial" w:cs="Arial"/>
          <w:lang w:val="en-US"/>
        </w:rPr>
        <w:t>0</w:t>
      </w:r>
      <w:r w:rsidR="004249F0" w:rsidRPr="00B1347F">
        <w:rPr>
          <w:rFonts w:ascii="Arial" w:eastAsia="Arial" w:hAnsi="Arial" w:cs="Arial"/>
          <w:lang w:val="en-US"/>
        </w:rPr>
        <w:t>00</w:t>
      </w:r>
      <w:bookmarkEnd w:id="407"/>
      <w:r w:rsidR="004249F0" w:rsidRPr="00B1347F">
        <w:rPr>
          <w:rFonts w:ascii="Arial" w:eastAsia="Arial" w:hAnsi="Arial" w:cs="Arial"/>
          <w:lang w:val="en-US"/>
        </w:rPr>
        <w:t xml:space="preserve"> and $</w:t>
      </w:r>
      <w:bookmarkStart w:id="408" w:name="XBRL_CS_472bebabbbf64d93b9b18a84f283912b"/>
      <w:r w:rsidR="0096070B" w:rsidRPr="00B1347F">
        <w:rPr>
          <w:rFonts w:ascii="Arial" w:eastAsia="Arial" w:hAnsi="Arial" w:cs="Arial"/>
          <w:lang w:val="en-US"/>
        </w:rPr>
        <w:t>63</w:t>
      </w:r>
      <w:r w:rsidR="004249F0" w:rsidRPr="00B1347F">
        <w:rPr>
          <w:rFonts w:ascii="Arial" w:eastAsia="Arial" w:hAnsi="Arial" w:cs="Arial"/>
          <w:lang w:val="en-US"/>
        </w:rPr>
        <w:t>,</w:t>
      </w:r>
      <w:r w:rsidR="0096070B" w:rsidRPr="00B1347F">
        <w:rPr>
          <w:rFonts w:ascii="Arial" w:eastAsia="Arial" w:hAnsi="Arial" w:cs="Arial"/>
          <w:lang w:val="en-US"/>
        </w:rPr>
        <w:t>5</w:t>
      </w:r>
      <w:r w:rsidR="004249F0" w:rsidRPr="00B1347F">
        <w:rPr>
          <w:rFonts w:ascii="Arial" w:eastAsia="Arial" w:hAnsi="Arial" w:cs="Arial"/>
          <w:lang w:val="en-US"/>
        </w:rPr>
        <w:t>00</w:t>
      </w:r>
      <w:bookmarkEnd w:id="408"/>
      <w:r w:rsidR="004249F0" w:rsidRPr="00B1347F">
        <w:rPr>
          <w:rFonts w:ascii="Arial" w:eastAsia="Arial" w:hAnsi="Arial" w:cs="Arial"/>
          <w:lang w:val="en-US"/>
        </w:rPr>
        <w:t>, respectively, and deposits of $</w:t>
      </w:r>
      <w:bookmarkStart w:id="409" w:name="XBRL_CS_783755c828404a948072fd916e4addfd"/>
      <w:r w:rsidR="0096070B" w:rsidRPr="00B1347F">
        <w:rPr>
          <w:rFonts w:ascii="Arial" w:eastAsia="Arial" w:hAnsi="Arial" w:cs="Arial"/>
          <w:lang w:val="en-US"/>
        </w:rPr>
        <w:t>83</w:t>
      </w:r>
      <w:r w:rsidR="004249F0" w:rsidRPr="00B1347F">
        <w:rPr>
          <w:rFonts w:ascii="Arial" w:eastAsia="Arial" w:hAnsi="Arial" w:cs="Arial"/>
          <w:lang w:val="en-US"/>
        </w:rPr>
        <w:t>,</w:t>
      </w:r>
      <w:r w:rsidR="0096070B" w:rsidRPr="00B1347F">
        <w:rPr>
          <w:rFonts w:ascii="Arial" w:eastAsia="Arial" w:hAnsi="Arial" w:cs="Arial"/>
          <w:lang w:val="en-US"/>
        </w:rPr>
        <w:t>5</w:t>
      </w:r>
      <w:r w:rsidR="004249F0" w:rsidRPr="00B1347F">
        <w:rPr>
          <w:rFonts w:ascii="Arial" w:eastAsia="Arial" w:hAnsi="Arial" w:cs="Arial"/>
          <w:lang w:val="en-US"/>
        </w:rPr>
        <w:t>00</w:t>
      </w:r>
      <w:bookmarkEnd w:id="409"/>
      <w:r w:rsidR="004249F0" w:rsidRPr="00B1347F">
        <w:rPr>
          <w:rFonts w:ascii="Arial" w:eastAsia="Arial" w:hAnsi="Arial" w:cs="Arial"/>
          <w:lang w:val="en-US"/>
        </w:rPr>
        <w:t xml:space="preserve"> and $</w:t>
      </w:r>
      <w:bookmarkStart w:id="410" w:name="XBRL_CS_11891e3835854c9097cb5910bd887734"/>
      <w:r w:rsidR="0096070B" w:rsidRPr="00B1347F">
        <w:rPr>
          <w:rFonts w:ascii="Arial" w:eastAsia="Arial" w:hAnsi="Arial" w:cs="Arial"/>
          <w:lang w:val="en-US"/>
        </w:rPr>
        <w:t>40</w:t>
      </w:r>
      <w:r w:rsidR="004249F0" w:rsidRPr="00B1347F">
        <w:rPr>
          <w:rFonts w:ascii="Arial" w:eastAsia="Arial" w:hAnsi="Arial" w:cs="Arial"/>
          <w:lang w:val="en-US"/>
        </w:rPr>
        <w:t>,</w:t>
      </w:r>
      <w:r w:rsidR="0096070B" w:rsidRPr="00B1347F">
        <w:rPr>
          <w:rFonts w:ascii="Arial" w:eastAsia="Arial" w:hAnsi="Arial" w:cs="Arial"/>
          <w:lang w:val="en-US"/>
        </w:rPr>
        <w:t>0</w:t>
      </w:r>
      <w:r w:rsidR="004249F0" w:rsidRPr="00B1347F">
        <w:rPr>
          <w:rFonts w:ascii="Arial" w:eastAsia="Arial" w:hAnsi="Arial" w:cs="Arial"/>
          <w:lang w:val="en-US"/>
        </w:rPr>
        <w:t>00</w:t>
      </w:r>
      <w:bookmarkEnd w:id="410"/>
      <w:r w:rsidR="00B1347F">
        <w:rPr>
          <w:rFonts w:ascii="Arial" w:eastAsia="Arial" w:hAnsi="Arial" w:cs="Arial"/>
          <w:lang w:val="en-US"/>
        </w:rPr>
        <w:t>, respectively,</w:t>
      </w:r>
      <w:r w:rsidR="004249F0" w:rsidRPr="00B1347F">
        <w:rPr>
          <w:rFonts w:ascii="Arial" w:eastAsia="Arial" w:hAnsi="Arial" w:cs="Arial"/>
          <w:lang w:val="en-US"/>
        </w:rPr>
        <w:t xml:space="preserve"> matured. </w:t>
      </w:r>
      <w:r w:rsidRPr="00B1347F">
        <w:rPr>
          <w:rFonts w:ascii="Arial" w:eastAsia="Arial" w:hAnsi="Arial" w:cs="Arial"/>
          <w:lang w:val="en-US"/>
        </w:rPr>
        <w:t xml:space="preserve">Restricted cash </w:t>
      </w:r>
      <w:r w:rsidR="00317E6A">
        <w:rPr>
          <w:rFonts w:ascii="Arial" w:eastAsia="Arial" w:hAnsi="Arial" w:cs="Arial"/>
          <w:lang w:val="en-US"/>
        </w:rPr>
        <w:t xml:space="preserve">primarily </w:t>
      </w:r>
      <w:r w:rsidRPr="00B1347F">
        <w:rPr>
          <w:rFonts w:ascii="Arial" w:eastAsia="Arial" w:hAnsi="Arial" w:cs="Arial"/>
          <w:lang w:val="en-US"/>
        </w:rPr>
        <w:t xml:space="preserve">consists of cash </w:t>
      </w:r>
      <w:r w:rsidR="00317E6A">
        <w:rPr>
          <w:rFonts w:ascii="Arial" w:eastAsia="Arial" w:hAnsi="Arial" w:cs="Arial"/>
          <w:lang w:val="en-US"/>
        </w:rPr>
        <w:t xml:space="preserve">balances that the Company is </w:t>
      </w:r>
      <w:r w:rsidRPr="00B1347F">
        <w:rPr>
          <w:rFonts w:ascii="Arial" w:eastAsia="Arial" w:hAnsi="Arial" w:cs="Arial"/>
          <w:lang w:val="en-US"/>
        </w:rPr>
        <w:t>required to maintain</w:t>
      </w:r>
      <w:r>
        <w:rPr>
          <w:rFonts w:ascii="Arial" w:eastAsia="Arial" w:hAnsi="Arial" w:cs="Arial"/>
          <w:lang w:val="en-US"/>
        </w:rPr>
        <w:t xml:space="preserve"> under its </w:t>
      </w:r>
      <w:r w:rsidRPr="00B1347F">
        <w:rPr>
          <w:rFonts w:ascii="Arial" w:eastAsia="Arial" w:hAnsi="Arial" w:cs="Arial"/>
          <w:lang w:val="en-US"/>
        </w:rPr>
        <w:t>loan facilities (Note 8)</w:t>
      </w:r>
      <w:r w:rsidR="004249F0" w:rsidRPr="00B1347F">
        <w:rPr>
          <w:rFonts w:ascii="Arial" w:eastAsia="Arial" w:hAnsi="Arial" w:cs="Arial"/>
          <w:lang w:val="en-US"/>
        </w:rPr>
        <w:t xml:space="preserve"> as </w:t>
      </w:r>
      <w:r w:rsidR="004249F0" w:rsidRPr="004D10E4">
        <w:rPr>
          <w:rFonts w:ascii="Arial" w:eastAsia="Arial" w:hAnsi="Arial" w:cs="Arial"/>
          <w:lang w:val="en-US"/>
        </w:rPr>
        <w:t>compensating cash balances</w:t>
      </w:r>
      <w:r w:rsidRPr="004D10E4">
        <w:rPr>
          <w:rFonts w:ascii="Arial" w:eastAsia="Arial" w:hAnsi="Arial" w:cs="Arial"/>
          <w:lang w:val="en-US"/>
        </w:rPr>
        <w:t>. These restricted amounts are not available for general use but are not pledged as collateral.</w:t>
      </w:r>
      <w:r>
        <w:rPr>
          <w:rFonts w:ascii="Arial" w:eastAsia="Arial" w:hAnsi="Arial" w:cs="Arial"/>
          <w:lang w:val="en-US"/>
        </w:rPr>
        <w:t xml:space="preserve"> </w:t>
      </w:r>
      <w:r w:rsidRPr="004D10E4">
        <w:rPr>
          <w:rFonts w:ascii="Arial" w:eastAsia="Arial" w:hAnsi="Arial" w:cs="Arial"/>
          <w:lang w:val="en-US"/>
        </w:rPr>
        <w:t>In addition, as of December 31, 2025, restricted cash</w:t>
      </w:r>
      <w:r>
        <w:rPr>
          <w:rFonts w:ascii="Arial" w:eastAsia="Arial" w:hAnsi="Arial" w:cs="Arial"/>
          <w:lang w:val="en-US"/>
        </w:rPr>
        <w:t xml:space="preserve">, current amounting to </w:t>
      </w:r>
      <w:r w:rsidRPr="004D10E4">
        <w:rPr>
          <w:rFonts w:ascii="Arial" w:eastAsia="Arial" w:hAnsi="Arial" w:cs="Arial"/>
          <w:lang w:val="en-US"/>
        </w:rPr>
        <w:t>$</w:t>
      </w:r>
      <w:bookmarkStart w:id="411" w:name="XBRL_CS_b449e30e7dfe492d999ed2f25a55c425"/>
      <w:r w:rsidRPr="004D10E4">
        <w:rPr>
          <w:rFonts w:ascii="Arial" w:eastAsia="Arial" w:hAnsi="Arial" w:cs="Arial"/>
          <w:lang w:val="en-US"/>
        </w:rPr>
        <w:t>53,</w:t>
      </w:r>
      <w:r>
        <w:rPr>
          <w:rFonts w:ascii="Arial" w:eastAsia="Arial" w:hAnsi="Arial" w:cs="Arial"/>
          <w:lang w:val="en-US"/>
        </w:rPr>
        <w:t>750</w:t>
      </w:r>
      <w:bookmarkEnd w:id="411"/>
      <w:r w:rsidRPr="004D10E4">
        <w:rPr>
          <w:rFonts w:ascii="Arial" w:eastAsia="Arial" w:hAnsi="Arial" w:cs="Arial"/>
          <w:lang w:val="en-US"/>
        </w:rPr>
        <w:t xml:space="preserve">, </w:t>
      </w:r>
      <w:r>
        <w:rPr>
          <w:rFonts w:ascii="Arial" w:eastAsia="Arial" w:hAnsi="Arial" w:cs="Arial"/>
          <w:lang w:val="en-US"/>
        </w:rPr>
        <w:t xml:space="preserve">consists of </w:t>
      </w:r>
      <w:r w:rsidRPr="004D10E4">
        <w:rPr>
          <w:rFonts w:ascii="Arial" w:eastAsia="Arial" w:hAnsi="Arial" w:cs="Arial"/>
          <w:lang w:val="en-US"/>
        </w:rPr>
        <w:t>loan proceeds drawn during the year maintained in a pledged account in order to reduce the loan’s margin</w:t>
      </w:r>
      <w:r w:rsidR="00987485">
        <w:rPr>
          <w:rFonts w:ascii="Arial" w:eastAsia="Arial" w:hAnsi="Arial" w:cs="Arial"/>
          <w:lang w:val="en-US"/>
        </w:rPr>
        <w:t xml:space="preserve"> (Note 8)</w:t>
      </w:r>
      <w:r w:rsidRPr="004D10E4">
        <w:rPr>
          <w:rFonts w:ascii="Arial" w:eastAsia="Arial" w:hAnsi="Arial" w:cs="Arial"/>
          <w:lang w:val="en-US"/>
        </w:rPr>
        <w:t xml:space="preserve">. </w:t>
      </w:r>
    </w:p>
    <w:p w14:paraId="71F3F641" w14:textId="77777777" w:rsidR="00766166" w:rsidRPr="00B1347F" w:rsidRDefault="00766166" w:rsidP="004D10E4">
      <w:pPr>
        <w:pStyle w:val="ListParagraph"/>
        <w:pBdr>
          <w:top w:val="nil"/>
          <w:left w:val="nil"/>
          <w:bottom w:val="nil"/>
          <w:right w:val="nil"/>
          <w:between w:val="nil"/>
          <w:bar w:val="nil"/>
        </w:pBdr>
        <w:ind w:left="567"/>
        <w:jc w:val="both"/>
        <w:rPr>
          <w:rFonts w:ascii="Arial" w:eastAsia="Arial" w:hAnsi="Arial" w:cs="Arial"/>
          <w:bdr w:val="nil"/>
          <w:lang w:val="en-US"/>
        </w:rPr>
      </w:pPr>
    </w:p>
    <w:p w14:paraId="71F3F642" w14:textId="77777777" w:rsidR="00B61640" w:rsidRPr="004566B6"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2" w:name="XBRL_TS_e8dfb19b743c43b1bfa8b552d9719f76"/>
      <w:bookmarkEnd w:id="404"/>
      <w:r w:rsidRPr="004566B6">
        <w:rPr>
          <w:rStyle w:val="Heading2Char"/>
          <w:rFonts w:ascii="Arial" w:eastAsia="Arial" w:hAnsi="Arial" w:cs="Arial"/>
          <w:iCs w:val="0"/>
          <w:color w:val="auto"/>
          <w:sz w:val="22"/>
          <w:szCs w:val="22"/>
          <w:lang w:val="en-US"/>
        </w:rPr>
        <w:t>Accounts Receivable, Trade</w:t>
      </w:r>
      <w:r w:rsidRPr="004566B6">
        <w:rPr>
          <w:rFonts w:ascii="Arial" w:eastAsia="Arial" w:hAnsi="Arial" w:cs="Arial"/>
          <w:b/>
          <w:i/>
          <w:lang w:val="en-US"/>
        </w:rPr>
        <w:t xml:space="preserve">: </w:t>
      </w:r>
      <w:r w:rsidR="004566B6" w:rsidRPr="004566B6">
        <w:rPr>
          <w:rFonts w:ascii="Arial" w:eastAsia="Arial" w:hAnsi="Arial" w:cs="Arial"/>
          <w:bCs/>
          <w:iCs/>
          <w:lang w:val="en-US"/>
        </w:rPr>
        <w:t>A</w:t>
      </w:r>
      <w:r w:rsidRPr="004566B6">
        <w:rPr>
          <w:rFonts w:ascii="Arial" w:eastAsia="Arial" w:hAnsi="Arial" w:cs="Arial"/>
          <w:lang w:val="en-US"/>
        </w:rPr>
        <w:t>ccounts receivable, trade</w:t>
      </w:r>
      <w:r w:rsidR="004566B6" w:rsidRPr="004566B6">
        <w:rPr>
          <w:rFonts w:ascii="Arial" w:eastAsia="Arial" w:hAnsi="Arial" w:cs="Arial"/>
          <w:lang w:val="en-US"/>
        </w:rPr>
        <w:t>,</w:t>
      </w:r>
      <w:r w:rsidRPr="004566B6">
        <w:rPr>
          <w:rFonts w:ascii="Arial" w:eastAsia="Arial" w:hAnsi="Arial" w:cs="Arial"/>
          <w:lang w:val="en-US"/>
        </w:rPr>
        <w:t xml:space="preserve"> </w:t>
      </w:r>
      <w:r w:rsidR="004566B6" w:rsidRPr="004566B6">
        <w:rPr>
          <w:rFonts w:ascii="Arial" w:eastAsia="Arial" w:hAnsi="Arial" w:cs="Arial"/>
          <w:lang w:val="en-US"/>
        </w:rPr>
        <w:t>consist of</w:t>
      </w:r>
      <w:r w:rsidRPr="004566B6">
        <w:rPr>
          <w:rFonts w:ascii="Arial" w:eastAsia="Arial" w:hAnsi="Arial" w:cs="Arial"/>
          <w:lang w:val="en-US"/>
        </w:rPr>
        <w:t xml:space="preserve"> receivables from charterers for hire </w:t>
      </w:r>
      <w:r w:rsidR="004566B6" w:rsidRPr="004566B6">
        <w:rPr>
          <w:rFonts w:ascii="Arial" w:eastAsia="Arial" w:hAnsi="Arial" w:cs="Arial"/>
          <w:lang w:val="en-US"/>
        </w:rPr>
        <w:t xml:space="preserve">earned under operating </w:t>
      </w:r>
      <w:r w:rsidRPr="004566B6">
        <w:rPr>
          <w:rFonts w:ascii="Arial" w:eastAsia="Arial" w:hAnsi="Arial" w:cs="Arial"/>
          <w:lang w:val="en-US"/>
        </w:rPr>
        <w:t xml:space="preserve">lease agreements, net of provisions for doubtful accounts, if any. At each balance sheet date, </w:t>
      </w:r>
      <w:r w:rsidR="004566B6" w:rsidRPr="004566B6">
        <w:rPr>
          <w:rFonts w:ascii="Arial" w:eastAsia="Arial" w:hAnsi="Arial" w:cs="Arial"/>
          <w:lang w:val="en-US"/>
        </w:rPr>
        <w:t xml:space="preserve">the Company evaluates all outstanding receivables individually to assess whether collection is probable. If collection of a receivable is not probable, the Company records a provision for doubtful accounts to reduce the carrying amount of the receivable to the amount expected to be collected. Receivables that are determined to be uncollectible are written off against the provision for doubtful accounts (if one exists) or directly to expense when identified. </w:t>
      </w:r>
      <w:r w:rsidR="009747A5" w:rsidRPr="004566B6">
        <w:rPr>
          <w:rFonts w:ascii="Arial" w:eastAsia="Arial" w:hAnsi="Arial" w:cs="Arial"/>
          <w:lang w:val="en-US"/>
        </w:rPr>
        <w:t>A</w:t>
      </w:r>
      <w:r w:rsidRPr="004566B6">
        <w:rPr>
          <w:rFonts w:ascii="Arial" w:eastAsia="Arial" w:hAnsi="Arial" w:cs="Arial"/>
          <w:lang w:val="en-US"/>
        </w:rPr>
        <w:t>s of December 31, 2025 and 2024</w:t>
      </w:r>
      <w:r w:rsidR="009747A5" w:rsidRPr="004566B6">
        <w:rPr>
          <w:rFonts w:ascii="Arial" w:eastAsia="Arial" w:hAnsi="Arial" w:cs="Arial"/>
          <w:lang w:val="en-US"/>
        </w:rPr>
        <w:t xml:space="preserve"> there was </w:t>
      </w:r>
      <w:bookmarkStart w:id="413" w:name="XBRL_CS_c463c7cd2ba34346b7801e8deda151c9"/>
      <w:bookmarkStart w:id="414" w:name="XBRL_CS_fedc41ad66924511b96fa9b1eb1a155e"/>
      <w:r w:rsidR="009747A5" w:rsidRPr="004566B6">
        <w:rPr>
          <w:rFonts w:ascii="Arial" w:eastAsia="Arial" w:hAnsi="Arial" w:cs="Arial"/>
          <w:lang w:val="en-US"/>
        </w:rPr>
        <w:t>no</w:t>
      </w:r>
      <w:bookmarkEnd w:id="413"/>
      <w:bookmarkEnd w:id="414"/>
      <w:r w:rsidR="009747A5" w:rsidRPr="004566B6">
        <w:rPr>
          <w:rFonts w:ascii="Arial" w:eastAsia="Arial" w:hAnsi="Arial" w:cs="Arial"/>
          <w:lang w:val="en-US"/>
        </w:rPr>
        <w:t xml:space="preserve"> provision for doubtful accounts</w:t>
      </w:r>
      <w:r w:rsidRPr="004566B6">
        <w:rPr>
          <w:rFonts w:ascii="Arial" w:eastAsia="Arial" w:hAnsi="Arial" w:cs="Arial"/>
          <w:lang w:val="en-US"/>
        </w:rPr>
        <w:t>. The Company does not recognize interest income on trade receivables</w:t>
      </w:r>
      <w:r w:rsidR="00E55850" w:rsidRPr="004566B6">
        <w:rPr>
          <w:rFonts w:ascii="Arial" w:eastAsia="Arial" w:hAnsi="Arial" w:cs="Arial"/>
          <w:lang w:val="en-US"/>
        </w:rPr>
        <w:t xml:space="preserve"> as all balances are settled within a year</w:t>
      </w:r>
      <w:r w:rsidRPr="004566B6">
        <w:rPr>
          <w:rFonts w:ascii="Arial" w:eastAsia="Arial" w:hAnsi="Arial" w:cs="Arial"/>
          <w:lang w:val="en-US"/>
        </w:rPr>
        <w:t>.</w:t>
      </w:r>
      <w:bookmarkEnd w:id="412"/>
    </w:p>
    <w:p w14:paraId="71F3F643" w14:textId="77777777" w:rsidR="001336F1" w:rsidRPr="00D313BF" w:rsidRDefault="001336F1"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44" w14:textId="77777777" w:rsidR="002D67F2" w:rsidRPr="00E15492"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5" w:name="XBRL_TS_a1a2fade1b2741dba6b2a5d1fd008bfc"/>
      <w:r w:rsidRPr="00E15492">
        <w:rPr>
          <w:rStyle w:val="Heading2Char"/>
          <w:rFonts w:ascii="Arial" w:eastAsia="Arial" w:hAnsi="Arial" w:cs="Arial"/>
          <w:iCs w:val="0"/>
          <w:color w:val="auto"/>
          <w:sz w:val="22"/>
          <w:szCs w:val="22"/>
          <w:lang w:val="en-US"/>
        </w:rPr>
        <w:t>Inventories</w:t>
      </w:r>
      <w:r w:rsidRPr="00E15492">
        <w:rPr>
          <w:rFonts w:ascii="Arial" w:eastAsia="Arial" w:hAnsi="Arial" w:cs="Arial"/>
          <w:b/>
          <w:i/>
          <w:lang w:val="en-US"/>
        </w:rPr>
        <w:t xml:space="preserve">: </w:t>
      </w:r>
      <w:r w:rsidRPr="00E15492">
        <w:rPr>
          <w:rFonts w:ascii="Arial" w:eastAsia="Arial" w:hAnsi="Arial" w:cs="Arial"/>
          <w:lang w:val="en-US"/>
        </w:rPr>
        <w:t xml:space="preserve">Inventories consist of </w:t>
      </w:r>
      <w:r w:rsidR="00E15492" w:rsidRPr="00E15492">
        <w:rPr>
          <w:rFonts w:ascii="Arial" w:eastAsia="Arial" w:hAnsi="Arial" w:cs="Arial"/>
          <w:lang w:val="en-US"/>
        </w:rPr>
        <w:t>lubricants, victualing stores, and, when applicable, bunkers on board vessels that are not under employment at the balance sheet date</w:t>
      </w:r>
      <w:r w:rsidR="00E15492">
        <w:rPr>
          <w:rFonts w:ascii="Arial" w:eastAsia="Arial" w:hAnsi="Arial" w:cs="Arial"/>
          <w:lang w:val="en-US"/>
        </w:rPr>
        <w:t>.</w:t>
      </w:r>
      <w:r w:rsidR="00E15492" w:rsidRPr="00E15492">
        <w:rPr>
          <w:rFonts w:ascii="Arial" w:eastAsia="Arial" w:hAnsi="Arial" w:cs="Arial"/>
          <w:lang w:val="en-US"/>
        </w:rPr>
        <w:t xml:space="preserve"> Inventories are measured at the lower of cost or net realizable value, in accordance with ASC 330. Net realizable value represents the estimated selling price in the ordinary course of business, less reasonably predictable costs of disposal and transportation. When evidence indicates that net realizable value is lower than cost, the difference is recognized as a loss in earnings in the period identified. Inventory write</w:t>
      </w:r>
      <w:r w:rsidR="00E15492" w:rsidRPr="00E15492">
        <w:rPr>
          <w:rFonts w:ascii="Arial" w:eastAsia="Arial" w:hAnsi="Arial" w:cs="Arial"/>
          <w:lang w:val="en-US"/>
        </w:rPr>
        <w:noBreakHyphen/>
        <w:t xml:space="preserve">downs are not reversed in subsequent periods. </w:t>
      </w:r>
      <w:r w:rsidRPr="00E15492">
        <w:rPr>
          <w:rFonts w:ascii="Arial" w:eastAsia="Arial" w:hAnsi="Arial" w:cs="Arial"/>
          <w:lang w:val="en-US"/>
        </w:rPr>
        <w:t xml:space="preserve">Cost is determined </w:t>
      </w:r>
      <w:r w:rsidR="00E15492" w:rsidRPr="00E15492">
        <w:rPr>
          <w:rFonts w:ascii="Arial" w:eastAsia="Arial" w:hAnsi="Arial" w:cs="Arial"/>
          <w:lang w:val="en-US"/>
        </w:rPr>
        <w:t>using</w:t>
      </w:r>
      <w:r w:rsidRPr="00E15492">
        <w:rPr>
          <w:rFonts w:ascii="Arial" w:eastAsia="Arial" w:hAnsi="Arial" w:cs="Arial"/>
          <w:lang w:val="en-US"/>
        </w:rPr>
        <w:t xml:space="preserve"> the first</w:t>
      </w:r>
      <w:r w:rsidR="00E15492" w:rsidRPr="00E15492">
        <w:rPr>
          <w:rFonts w:ascii="Arial" w:eastAsia="Arial" w:hAnsi="Arial" w:cs="Arial"/>
          <w:lang w:val="en-US"/>
        </w:rPr>
        <w:t>-</w:t>
      </w:r>
      <w:r w:rsidRPr="00E15492">
        <w:rPr>
          <w:rFonts w:ascii="Arial" w:eastAsia="Arial" w:hAnsi="Arial" w:cs="Arial"/>
          <w:lang w:val="en-US"/>
        </w:rPr>
        <w:t>in, first</w:t>
      </w:r>
      <w:r w:rsidR="00E15492" w:rsidRPr="00E15492">
        <w:rPr>
          <w:rFonts w:ascii="Arial" w:eastAsia="Arial" w:hAnsi="Arial" w:cs="Arial"/>
          <w:lang w:val="en-US"/>
        </w:rPr>
        <w:t>-</w:t>
      </w:r>
      <w:r w:rsidRPr="00E15492">
        <w:rPr>
          <w:rFonts w:ascii="Arial" w:eastAsia="Arial" w:hAnsi="Arial" w:cs="Arial"/>
          <w:lang w:val="en-US"/>
        </w:rPr>
        <w:t>out method</w:t>
      </w:r>
      <w:r w:rsidR="00E15492" w:rsidRPr="00E15492">
        <w:rPr>
          <w:rFonts w:ascii="Arial" w:eastAsia="Arial" w:hAnsi="Arial" w:cs="Arial"/>
          <w:lang w:val="en-US"/>
        </w:rPr>
        <w:t xml:space="preserve"> (FIFO)</w:t>
      </w:r>
      <w:r w:rsidRPr="00E15492">
        <w:rPr>
          <w:rFonts w:ascii="Arial" w:eastAsia="Arial" w:hAnsi="Arial" w:cs="Arial"/>
          <w:lang w:val="en-US"/>
        </w:rPr>
        <w:t>. Amounts removed from inventory are also determined by the first</w:t>
      </w:r>
      <w:r w:rsidR="00507569">
        <w:rPr>
          <w:rFonts w:ascii="Arial" w:eastAsia="Arial" w:hAnsi="Arial" w:cs="Arial"/>
          <w:lang w:val="en-US"/>
        </w:rPr>
        <w:t>-</w:t>
      </w:r>
      <w:r w:rsidRPr="00E15492">
        <w:rPr>
          <w:rFonts w:ascii="Arial" w:eastAsia="Arial" w:hAnsi="Arial" w:cs="Arial"/>
          <w:lang w:val="en-US"/>
        </w:rPr>
        <w:t>in</w:t>
      </w:r>
      <w:r w:rsidR="00507569">
        <w:rPr>
          <w:rFonts w:ascii="Arial" w:eastAsia="Arial" w:hAnsi="Arial" w:cs="Arial"/>
          <w:lang w:val="en-US"/>
        </w:rPr>
        <w:t>,</w:t>
      </w:r>
      <w:r w:rsidRPr="00E15492">
        <w:rPr>
          <w:rFonts w:ascii="Arial" w:eastAsia="Arial" w:hAnsi="Arial" w:cs="Arial"/>
          <w:lang w:val="en-US"/>
        </w:rPr>
        <w:t xml:space="preserve"> first</w:t>
      </w:r>
      <w:r w:rsidR="00507569">
        <w:rPr>
          <w:rFonts w:ascii="Arial" w:eastAsia="Arial" w:hAnsi="Arial" w:cs="Arial"/>
          <w:lang w:val="en-US"/>
        </w:rPr>
        <w:t>-</w:t>
      </w:r>
      <w:r w:rsidRPr="00E15492">
        <w:rPr>
          <w:rFonts w:ascii="Arial" w:eastAsia="Arial" w:hAnsi="Arial" w:cs="Arial"/>
          <w:lang w:val="en-US"/>
        </w:rPr>
        <w:t>out method.</w:t>
      </w:r>
      <w:r w:rsidR="00141D99" w:rsidRPr="00E15492">
        <w:rPr>
          <w:rFonts w:ascii="Arial" w:eastAsia="Arial" w:hAnsi="Arial" w:cs="Arial"/>
          <w:lang w:val="en-US"/>
        </w:rPr>
        <w:t xml:space="preserve"> </w:t>
      </w:r>
    </w:p>
    <w:bookmarkEnd w:id="415"/>
    <w:p w14:paraId="71F3F645"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46" w14:textId="77777777" w:rsidR="002D67F2"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6" w:name="XBRL_TS_c0cad2f9804545dea4842822fee751fd"/>
      <w:r w:rsidRPr="003F6D2E">
        <w:rPr>
          <w:rStyle w:val="Heading2Char"/>
          <w:rFonts w:ascii="Arial" w:eastAsia="Arial" w:hAnsi="Arial" w:cs="Arial"/>
          <w:iCs w:val="0"/>
          <w:color w:val="auto"/>
          <w:sz w:val="22"/>
          <w:szCs w:val="22"/>
          <w:lang w:val="en-US"/>
        </w:rPr>
        <w:t>Vessel Cost</w:t>
      </w:r>
      <w:r w:rsidRPr="003F6D2E">
        <w:rPr>
          <w:rFonts w:ascii="Arial" w:eastAsia="Arial" w:hAnsi="Arial" w:cs="Arial"/>
          <w:lang w:val="en-US"/>
        </w:rPr>
        <w:t xml:space="preserve">: Vessels are stated at cost which consists of the contract price and any </w:t>
      </w:r>
      <w:r w:rsidR="00CB6141">
        <w:rPr>
          <w:rFonts w:ascii="Arial" w:eastAsia="Arial" w:hAnsi="Arial" w:cs="Arial"/>
          <w:lang w:val="en-US"/>
        </w:rPr>
        <w:t>capitalizable expenditures</w:t>
      </w:r>
      <w:r w:rsidRPr="003F6D2E">
        <w:rPr>
          <w:rFonts w:ascii="Arial" w:eastAsia="Arial" w:hAnsi="Arial" w:cs="Arial"/>
          <w:lang w:val="en-US"/>
        </w:rPr>
        <w:t xml:space="preserve"> incurred upon acquisition or during construction</w:t>
      </w:r>
      <w:r w:rsidR="00564DF2">
        <w:rPr>
          <w:rFonts w:ascii="Arial" w:eastAsia="Arial" w:hAnsi="Arial" w:cs="Arial"/>
          <w:lang w:val="en-US"/>
        </w:rPr>
        <w:t xml:space="preserve">, </w:t>
      </w:r>
      <w:r w:rsidR="00564DF2" w:rsidRPr="00564DF2">
        <w:rPr>
          <w:rFonts w:ascii="Arial" w:eastAsia="Arial" w:hAnsi="Arial" w:cs="Arial"/>
          <w:lang w:val="en-US"/>
        </w:rPr>
        <w:t>less accumulated depreciation and impairment, if any</w:t>
      </w:r>
      <w:r w:rsidRPr="003F6D2E">
        <w:rPr>
          <w:rFonts w:ascii="Arial" w:eastAsia="Arial" w:hAnsi="Arial" w:cs="Arial"/>
          <w:lang w:val="en-US"/>
        </w:rPr>
        <w:t>. Expenditures for conversions and major improvements are also capitalized when they appreciably extend the life, increase the earning capacity or improve the efficiency or safety of the vessels; otherwise</w:t>
      </w:r>
      <w:r w:rsidR="002D4478" w:rsidRPr="003F6D2E">
        <w:rPr>
          <w:rFonts w:ascii="Arial" w:eastAsia="Arial" w:hAnsi="Arial" w:cs="Arial"/>
          <w:lang w:val="en-US"/>
        </w:rPr>
        <w:t>,</w:t>
      </w:r>
      <w:r w:rsidRPr="003F6D2E">
        <w:rPr>
          <w:rFonts w:ascii="Arial" w:eastAsia="Arial" w:hAnsi="Arial" w:cs="Arial"/>
          <w:lang w:val="en-US"/>
        </w:rPr>
        <w:t xml:space="preserve"> these amounts are charged to expense as incurred. </w:t>
      </w:r>
      <w:r w:rsidR="00027664" w:rsidRPr="003F6D2E">
        <w:rPr>
          <w:rFonts w:ascii="Arial" w:eastAsia="Arial" w:hAnsi="Arial" w:cs="Arial"/>
          <w:lang w:val="en-US"/>
        </w:rPr>
        <w:t>Interest</w:t>
      </w:r>
      <w:r w:rsidRPr="003F6D2E">
        <w:rPr>
          <w:rFonts w:ascii="Arial" w:eastAsia="Arial" w:hAnsi="Arial" w:cs="Arial"/>
          <w:lang w:val="en-US"/>
        </w:rPr>
        <w:t xml:space="preserve"> incurred during the assets' construction period</w:t>
      </w:r>
      <w:r w:rsidR="00027664" w:rsidRPr="003F6D2E">
        <w:rPr>
          <w:rFonts w:ascii="Arial" w:eastAsia="Arial" w:hAnsi="Arial" w:cs="Arial"/>
          <w:lang w:val="en-US"/>
        </w:rPr>
        <w:t>,</w:t>
      </w:r>
      <w:r w:rsidRPr="003F6D2E">
        <w:rPr>
          <w:rFonts w:ascii="Arial" w:eastAsia="Arial" w:hAnsi="Arial" w:cs="Arial"/>
          <w:lang w:val="en-US"/>
        </w:rPr>
        <w:t xml:space="preserve"> that theoretically could have been avoided if expenditure for the assets had not been made</w:t>
      </w:r>
      <w:r w:rsidR="00027664" w:rsidRPr="003F6D2E">
        <w:rPr>
          <w:rFonts w:ascii="Arial" w:eastAsia="Arial" w:hAnsi="Arial" w:cs="Arial"/>
          <w:lang w:val="en-US"/>
        </w:rPr>
        <w:t>,</w:t>
      </w:r>
      <w:r w:rsidRPr="003F6D2E">
        <w:rPr>
          <w:rFonts w:ascii="Arial" w:eastAsia="Arial" w:hAnsi="Arial" w:cs="Arial"/>
          <w:lang w:val="en-US"/>
        </w:rPr>
        <w:t xml:space="preserve"> is also capitalized. The capitalization rate, applied on accumulated expenditures for the vessel, is based on interest rates applicable to outstanding borrowings of the period.</w:t>
      </w:r>
    </w:p>
    <w:bookmarkEnd w:id="416"/>
    <w:p w14:paraId="71F3F647" w14:textId="77777777" w:rsidR="00AA6776" w:rsidRPr="00D313BF" w:rsidRDefault="00AA6776"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48" w14:textId="77777777" w:rsidR="004151BF" w:rsidRPr="004151BF" w:rsidRDefault="003A4815" w:rsidP="004151BF">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7" w:name="XBRL_TS_d335da8ba15d46ef9850221a6472298f"/>
      <w:r w:rsidRPr="003F6D2E">
        <w:rPr>
          <w:rStyle w:val="Heading2Char"/>
          <w:rFonts w:ascii="Arial" w:eastAsia="Arial" w:hAnsi="Arial" w:cs="Arial"/>
          <w:iCs w:val="0"/>
          <w:color w:val="auto"/>
          <w:sz w:val="22"/>
          <w:szCs w:val="22"/>
          <w:lang w:val="en-US"/>
        </w:rPr>
        <w:t>Vessels held for sale</w:t>
      </w:r>
      <w:r w:rsidRPr="003F6D2E">
        <w:rPr>
          <w:rFonts w:ascii="Arial" w:eastAsia="Arial" w:hAnsi="Arial" w:cs="Arial"/>
          <w:b/>
          <w:i/>
          <w:lang w:val="en-US"/>
        </w:rPr>
        <w:t>:</w:t>
      </w:r>
      <w:r w:rsidRPr="003F6D2E">
        <w:rPr>
          <w:rFonts w:ascii="Arial" w:eastAsia="Arial" w:hAnsi="Arial" w:cs="Arial"/>
          <w:lang w:val="en-US"/>
        </w:rPr>
        <w:t xml:space="preserve"> </w:t>
      </w:r>
      <w:r w:rsidR="00217806">
        <w:rPr>
          <w:rFonts w:ascii="Arial" w:eastAsia="Arial" w:hAnsi="Arial" w:cs="Arial"/>
          <w:lang w:val="en-US"/>
        </w:rPr>
        <w:t>A l</w:t>
      </w:r>
      <w:r w:rsidRPr="003F6D2E">
        <w:rPr>
          <w:rFonts w:ascii="Arial" w:eastAsia="Arial" w:hAnsi="Arial" w:cs="Arial"/>
          <w:lang w:val="en-US"/>
        </w:rPr>
        <w:t xml:space="preserve">ong-lived asset classified as held for sale </w:t>
      </w:r>
      <w:r w:rsidR="00217806">
        <w:rPr>
          <w:rFonts w:ascii="Arial" w:eastAsia="Arial" w:hAnsi="Arial" w:cs="Arial"/>
          <w:lang w:val="en-US"/>
        </w:rPr>
        <w:t>is</w:t>
      </w:r>
      <w:r w:rsidRPr="003F6D2E">
        <w:rPr>
          <w:rFonts w:ascii="Arial" w:eastAsia="Arial" w:hAnsi="Arial" w:cs="Arial"/>
          <w:lang w:val="en-US"/>
        </w:rPr>
        <w:t xml:space="preserve"> measured at the lower of </w:t>
      </w:r>
      <w:r w:rsidR="00217806">
        <w:rPr>
          <w:rFonts w:ascii="Arial" w:eastAsia="Arial" w:hAnsi="Arial" w:cs="Arial"/>
          <w:lang w:val="en-US"/>
        </w:rPr>
        <w:t xml:space="preserve">its </w:t>
      </w:r>
      <w:r w:rsidRPr="003F6D2E">
        <w:rPr>
          <w:rFonts w:ascii="Arial" w:eastAsia="Arial" w:hAnsi="Arial" w:cs="Arial"/>
          <w:lang w:val="en-US"/>
        </w:rPr>
        <w:t>carrying amount or fair value less cost to sell</w:t>
      </w:r>
      <w:r w:rsidR="00772F97" w:rsidRPr="00772F97">
        <w:rPr>
          <w:rFonts w:ascii="Arial" w:eastAsia="Arial" w:hAnsi="Arial" w:cs="Arial"/>
          <w:lang w:val="en-US"/>
        </w:rPr>
        <w:t xml:space="preserve"> </w:t>
      </w:r>
      <w:r w:rsidR="00772F97" w:rsidRPr="003F6D2E">
        <w:rPr>
          <w:rFonts w:ascii="Arial" w:eastAsia="Arial" w:hAnsi="Arial" w:cs="Arial"/>
          <w:lang w:val="en-US"/>
        </w:rPr>
        <w:t xml:space="preserve">when the respective </w:t>
      </w:r>
      <w:r w:rsidR="00772F97">
        <w:rPr>
          <w:rFonts w:ascii="Arial" w:eastAsia="Arial" w:hAnsi="Arial" w:cs="Arial"/>
          <w:lang w:val="en-US"/>
        </w:rPr>
        <w:t xml:space="preserve">held for sale </w:t>
      </w:r>
      <w:r w:rsidR="00772F97" w:rsidRPr="003F6D2E">
        <w:rPr>
          <w:rFonts w:ascii="Arial" w:eastAsia="Arial" w:hAnsi="Arial" w:cs="Arial"/>
          <w:lang w:val="en-US"/>
        </w:rPr>
        <w:t>criteria are met</w:t>
      </w:r>
      <w:r w:rsidR="00217806">
        <w:rPr>
          <w:rFonts w:ascii="Arial" w:eastAsia="Arial" w:hAnsi="Arial" w:cs="Arial"/>
          <w:lang w:val="en-US"/>
        </w:rPr>
        <w:t>. The asset is not depreciated while it is classified as held for sale.</w:t>
      </w:r>
      <w:r w:rsidRPr="003F6D2E">
        <w:rPr>
          <w:rFonts w:ascii="Arial" w:eastAsia="Arial" w:hAnsi="Arial" w:cs="Arial"/>
          <w:lang w:val="en-US"/>
        </w:rPr>
        <w:t xml:space="preserve"> </w:t>
      </w:r>
      <w:r w:rsidR="00433760" w:rsidRPr="003F6D2E">
        <w:rPr>
          <w:rFonts w:ascii="Arial" w:eastAsia="Arial" w:hAnsi="Arial" w:cs="Arial"/>
          <w:color w:val="000000"/>
          <w:lang w:val="en-US"/>
        </w:rPr>
        <w:t xml:space="preserve">The fair value less cost to sell of </w:t>
      </w:r>
      <w:r w:rsidR="00176E54" w:rsidRPr="004151BF">
        <w:rPr>
          <w:rFonts w:ascii="Arial" w:eastAsia="Arial" w:hAnsi="Arial" w:cs="Arial"/>
          <w:lang w:val="en-US"/>
        </w:rPr>
        <w:t>an</w:t>
      </w:r>
      <w:r w:rsidR="00433760" w:rsidRPr="004151BF">
        <w:rPr>
          <w:rFonts w:ascii="Arial" w:eastAsia="Arial" w:hAnsi="Arial" w:cs="Arial"/>
          <w:lang w:val="en-US"/>
        </w:rPr>
        <w:t xml:space="preserve"> asset</w:t>
      </w:r>
      <w:r w:rsidR="00176E54" w:rsidRPr="004151BF">
        <w:rPr>
          <w:rFonts w:ascii="Arial" w:eastAsia="Arial" w:hAnsi="Arial" w:cs="Arial"/>
          <w:lang w:val="en-US"/>
        </w:rPr>
        <w:t xml:space="preserve"> held for sale</w:t>
      </w:r>
      <w:r w:rsidR="00433760" w:rsidRPr="004151BF">
        <w:rPr>
          <w:rFonts w:ascii="Arial" w:eastAsia="Arial" w:hAnsi="Arial" w:cs="Arial"/>
          <w:lang w:val="en-US"/>
        </w:rPr>
        <w:t xml:space="preserve"> is assessed at each reporting period it remains classified as held for sale.</w:t>
      </w:r>
      <w:r w:rsidR="00772F97" w:rsidRPr="004151BF">
        <w:rPr>
          <w:rFonts w:ascii="Arial" w:eastAsia="Arial" w:hAnsi="Arial" w:cs="Arial"/>
          <w:lang w:val="en-US"/>
        </w:rPr>
        <w:t xml:space="preserve"> </w:t>
      </w:r>
      <w:r w:rsidRPr="004151BF">
        <w:rPr>
          <w:rFonts w:ascii="Arial" w:eastAsia="Arial" w:hAnsi="Arial" w:cs="Arial"/>
          <w:lang w:val="en-US"/>
        </w:rPr>
        <w:t>If</w:t>
      </w:r>
      <w:r w:rsidR="00176E54" w:rsidRPr="004151BF">
        <w:rPr>
          <w:rFonts w:ascii="Arial" w:eastAsia="Arial" w:hAnsi="Arial" w:cs="Arial"/>
          <w:lang w:val="en-US"/>
        </w:rPr>
        <w:t xml:space="preserve"> the plan to sell </w:t>
      </w:r>
      <w:r w:rsidRPr="004151BF">
        <w:rPr>
          <w:rFonts w:ascii="Arial" w:eastAsia="Arial" w:hAnsi="Arial" w:cs="Arial"/>
          <w:lang w:val="en-US"/>
        </w:rPr>
        <w:t xml:space="preserve">the </w:t>
      </w:r>
      <w:r w:rsidR="00176E54" w:rsidRPr="004151BF">
        <w:rPr>
          <w:rFonts w:ascii="Arial" w:eastAsia="Arial" w:hAnsi="Arial" w:cs="Arial"/>
          <w:lang w:val="en-US"/>
        </w:rPr>
        <w:t>asset changes, the asset is reclassified as held and used</w:t>
      </w:r>
      <w:r w:rsidR="00DF6D08" w:rsidRPr="004151BF">
        <w:rPr>
          <w:rFonts w:ascii="Arial" w:eastAsia="Arial" w:hAnsi="Arial" w:cs="Arial"/>
          <w:lang w:val="en-US"/>
        </w:rPr>
        <w:t>,</w:t>
      </w:r>
      <w:r w:rsidR="00176E54" w:rsidRPr="004151BF">
        <w:rPr>
          <w:rFonts w:ascii="Arial" w:eastAsia="Arial" w:hAnsi="Arial" w:cs="Arial"/>
          <w:lang w:val="en-US"/>
        </w:rPr>
        <w:t xml:space="preserve"> </w:t>
      </w:r>
      <w:r w:rsidR="00DF6D08" w:rsidRPr="004151BF">
        <w:rPr>
          <w:rFonts w:ascii="Arial" w:eastAsia="Arial" w:hAnsi="Arial" w:cs="Arial"/>
          <w:lang w:val="en-US"/>
        </w:rPr>
        <w:t xml:space="preserve">measured at the lower of its carrying amount before it was </w:t>
      </w:r>
      <w:r w:rsidRPr="004151BF">
        <w:rPr>
          <w:rFonts w:ascii="Arial" w:eastAsia="Arial" w:hAnsi="Arial" w:cs="Arial"/>
          <w:lang w:val="en-US"/>
        </w:rPr>
        <w:t xml:space="preserve">classified </w:t>
      </w:r>
      <w:r w:rsidR="00DF6D08" w:rsidRPr="004151BF">
        <w:rPr>
          <w:rFonts w:ascii="Arial" w:eastAsia="Arial" w:hAnsi="Arial" w:cs="Arial"/>
          <w:lang w:val="en-US"/>
        </w:rPr>
        <w:t xml:space="preserve">as held for sale, </w:t>
      </w:r>
      <w:r w:rsidRPr="004151BF">
        <w:rPr>
          <w:rFonts w:ascii="Arial" w:eastAsia="Arial" w:hAnsi="Arial" w:cs="Arial"/>
          <w:lang w:val="en-US"/>
        </w:rPr>
        <w:t>adjusted for any depreciation expense that would have been recognized had the asset been continuously classified as held and used</w:t>
      </w:r>
      <w:r w:rsidR="00133347">
        <w:rPr>
          <w:rFonts w:ascii="Arial" w:eastAsia="Arial" w:hAnsi="Arial" w:cs="Arial"/>
          <w:lang w:val="en-US"/>
        </w:rPr>
        <w:t xml:space="preserve"> and its fair value at the date of the subsequent decision not to sell. </w:t>
      </w:r>
      <w:r w:rsidR="00564DF2" w:rsidRPr="00564DF2">
        <w:rPr>
          <w:rFonts w:ascii="Arial" w:eastAsia="Arial" w:hAnsi="Arial" w:cs="Arial"/>
          <w:lang w:val="en-US"/>
        </w:rPr>
        <w:t xml:space="preserve">As of December 31, </w:t>
      </w:r>
      <w:r w:rsidR="00564DF2">
        <w:rPr>
          <w:rFonts w:ascii="Arial" w:eastAsia="Arial" w:hAnsi="Arial" w:cs="Arial"/>
          <w:lang w:val="en-US"/>
        </w:rPr>
        <w:t>2025</w:t>
      </w:r>
      <w:r w:rsidR="00564DF2" w:rsidRPr="00564DF2">
        <w:rPr>
          <w:rFonts w:ascii="Arial" w:eastAsia="Arial" w:hAnsi="Arial" w:cs="Arial"/>
          <w:lang w:val="en-US"/>
        </w:rPr>
        <w:t xml:space="preserve"> and </w:t>
      </w:r>
      <w:r w:rsidR="00564DF2">
        <w:rPr>
          <w:rFonts w:ascii="Arial" w:eastAsia="Arial" w:hAnsi="Arial" w:cs="Arial"/>
          <w:lang w:val="en-US"/>
        </w:rPr>
        <w:t>2024</w:t>
      </w:r>
      <w:r w:rsidR="00564DF2" w:rsidRPr="00564DF2">
        <w:rPr>
          <w:rFonts w:ascii="Arial" w:eastAsia="Arial" w:hAnsi="Arial" w:cs="Arial"/>
          <w:lang w:val="en-US"/>
        </w:rPr>
        <w:t>, none of the Company’s vessels met the criteria to be classified as held for sale</w:t>
      </w:r>
      <w:r w:rsidR="00564DF2">
        <w:rPr>
          <w:rFonts w:ascii="Arial" w:eastAsia="Arial" w:hAnsi="Arial" w:cs="Arial"/>
          <w:lang w:val="en-US"/>
        </w:rPr>
        <w:t>.</w:t>
      </w:r>
    </w:p>
    <w:bookmarkEnd w:id="417"/>
    <w:p w14:paraId="71F3F649" w14:textId="77777777" w:rsidR="001F56B3" w:rsidRPr="004151BF" w:rsidRDefault="001F56B3"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4A" w14:textId="77777777" w:rsidR="001F56B3" w:rsidRPr="00AD3E04" w:rsidRDefault="003A4815" w:rsidP="00AD3E04">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8" w:name="XBRL_TS_579320005d0c473e9d152c8c6be6d815"/>
      <w:r w:rsidRPr="00057029">
        <w:rPr>
          <w:rStyle w:val="Heading2Char"/>
          <w:rFonts w:ascii="Arial" w:eastAsia="Arial" w:hAnsi="Arial" w:cs="Arial"/>
          <w:iCs w:val="0"/>
          <w:color w:val="auto"/>
          <w:sz w:val="22"/>
          <w:szCs w:val="22"/>
          <w:lang w:val="en-US"/>
        </w:rPr>
        <w:t>Sale and leaseback</w:t>
      </w:r>
      <w:r w:rsidRPr="00057029">
        <w:rPr>
          <w:rFonts w:ascii="Arial" w:eastAsia="Arial" w:hAnsi="Arial" w:cs="Arial"/>
          <w:b/>
          <w:bCs/>
          <w:i/>
          <w:iCs/>
          <w:lang w:val="en-US"/>
        </w:rPr>
        <w:t>:</w:t>
      </w:r>
      <w:r w:rsidRPr="00057029">
        <w:rPr>
          <w:rFonts w:ascii="Arial" w:eastAsia="Arial" w:hAnsi="Arial" w:cs="Arial"/>
          <w:lang w:val="en-US"/>
        </w:rPr>
        <w:t> </w:t>
      </w:r>
      <w:r w:rsidR="00057029" w:rsidRPr="00057029">
        <w:rPr>
          <w:rFonts w:ascii="Arial" w:eastAsia="Arial" w:hAnsi="Arial" w:cs="Arial"/>
          <w:lang w:val="en-US"/>
        </w:rPr>
        <w:t>The Company accounts for sale and leaseback transactions in accordance with ASC 842</w:t>
      </w:r>
      <w:r w:rsidR="00057029" w:rsidRPr="00057029">
        <w:rPr>
          <w:rFonts w:ascii="Arial" w:eastAsia="Arial" w:hAnsi="Arial" w:cs="Arial"/>
          <w:lang w:val="en-US"/>
        </w:rPr>
        <w:noBreakHyphen/>
        <w:t xml:space="preserve">40. </w:t>
      </w:r>
      <w:r w:rsidR="00057029">
        <w:rPr>
          <w:rFonts w:ascii="Arial" w:eastAsia="Arial" w:hAnsi="Arial" w:cs="Arial"/>
          <w:lang w:val="en-US"/>
        </w:rPr>
        <w:t>A</w:t>
      </w:r>
      <w:r w:rsidRPr="00057029">
        <w:rPr>
          <w:rFonts w:ascii="Arial" w:eastAsia="Arial" w:hAnsi="Arial" w:cs="Arial"/>
          <w:lang w:val="en-US"/>
        </w:rPr>
        <w:t xml:space="preserve">s seller-lessee, </w:t>
      </w:r>
      <w:r w:rsidR="006A7E04">
        <w:rPr>
          <w:rFonts w:ascii="Arial" w:eastAsia="Arial" w:hAnsi="Arial" w:cs="Arial"/>
          <w:lang w:val="en-US"/>
        </w:rPr>
        <w:t xml:space="preserve">the Company first </w:t>
      </w:r>
      <w:r w:rsidR="001D1A5D">
        <w:rPr>
          <w:rFonts w:ascii="Arial" w:eastAsia="Arial" w:hAnsi="Arial" w:cs="Arial"/>
          <w:lang w:val="en-US"/>
        </w:rPr>
        <w:t>evaluates</w:t>
      </w:r>
      <w:r w:rsidR="006A7E04">
        <w:rPr>
          <w:rFonts w:ascii="Arial" w:eastAsia="Arial" w:hAnsi="Arial" w:cs="Arial"/>
          <w:lang w:val="en-US"/>
        </w:rPr>
        <w:t xml:space="preserve"> </w:t>
      </w:r>
      <w:r w:rsidRPr="00057029">
        <w:rPr>
          <w:rFonts w:ascii="Arial" w:eastAsia="Arial" w:hAnsi="Arial" w:cs="Arial"/>
          <w:lang w:val="en-US"/>
        </w:rPr>
        <w:t xml:space="preserve">whether the transfer of </w:t>
      </w:r>
      <w:r w:rsidR="00F47D18" w:rsidRPr="00057029">
        <w:rPr>
          <w:rFonts w:ascii="Arial" w:eastAsia="Arial" w:hAnsi="Arial" w:cs="Arial"/>
          <w:lang w:val="en-US"/>
        </w:rPr>
        <w:t xml:space="preserve">the </w:t>
      </w:r>
      <w:r w:rsidR="006A7E04">
        <w:rPr>
          <w:rFonts w:ascii="Arial" w:eastAsia="Arial" w:hAnsi="Arial" w:cs="Arial"/>
          <w:lang w:val="en-US"/>
        </w:rPr>
        <w:t xml:space="preserve">vessel qualifies as </w:t>
      </w:r>
      <w:r w:rsidRPr="00057029">
        <w:rPr>
          <w:rFonts w:ascii="Arial" w:eastAsia="Arial" w:hAnsi="Arial" w:cs="Arial"/>
          <w:lang w:val="en-US"/>
        </w:rPr>
        <w:t xml:space="preserve">a sale under ASC 606. For a sale to have occurred, the control of the </w:t>
      </w:r>
      <w:r w:rsidR="00AD3E04">
        <w:rPr>
          <w:rFonts w:ascii="Arial" w:eastAsia="Arial" w:hAnsi="Arial" w:cs="Arial"/>
          <w:lang w:val="en-US"/>
        </w:rPr>
        <w:t>vessel</w:t>
      </w:r>
      <w:r w:rsidRPr="00057029">
        <w:rPr>
          <w:rFonts w:ascii="Arial" w:eastAsia="Arial" w:hAnsi="Arial" w:cs="Arial"/>
          <w:lang w:val="en-US"/>
        </w:rPr>
        <w:t xml:space="preserve"> would need to be transferred to the buyer and the buyer would need to obtain substantially all the benefits from the use of the asset. </w:t>
      </w:r>
      <w:r w:rsidR="00F47D18" w:rsidRPr="00057029">
        <w:rPr>
          <w:rFonts w:ascii="Arial" w:eastAsia="Arial" w:hAnsi="Arial" w:cs="Arial"/>
          <w:lang w:val="en-US"/>
        </w:rPr>
        <w:t>S</w:t>
      </w:r>
      <w:r w:rsidRPr="00057029">
        <w:rPr>
          <w:rFonts w:ascii="Arial" w:eastAsia="Arial" w:hAnsi="Arial" w:cs="Arial"/>
          <w:lang w:val="en-US"/>
        </w:rPr>
        <w:t xml:space="preserve">ale and leaseback transactions, which include an obligation for the Company, as seller-lessee, to repurchase the </w:t>
      </w:r>
      <w:r w:rsidR="00AD3E04">
        <w:rPr>
          <w:rFonts w:ascii="Arial" w:eastAsia="Arial" w:hAnsi="Arial" w:cs="Arial"/>
          <w:lang w:val="en-US"/>
        </w:rPr>
        <w:t>vessel</w:t>
      </w:r>
      <w:r w:rsidRPr="00057029">
        <w:rPr>
          <w:rFonts w:ascii="Arial" w:eastAsia="Arial" w:hAnsi="Arial" w:cs="Arial"/>
          <w:lang w:val="en-US"/>
        </w:rPr>
        <w:t>, or other situations where the leaseback would be classified as a finance lease</w:t>
      </w:r>
      <w:r w:rsidR="00B12FB0">
        <w:rPr>
          <w:rFonts w:ascii="Arial" w:eastAsia="Arial" w:hAnsi="Arial" w:cs="Arial"/>
          <w:lang w:val="en-US"/>
        </w:rPr>
        <w:t xml:space="preserve"> </w:t>
      </w:r>
      <w:r w:rsidR="00B12FB0" w:rsidRPr="00B12FB0">
        <w:rPr>
          <w:rFonts w:ascii="Arial" w:eastAsia="Arial" w:hAnsi="Arial" w:cs="Arial"/>
          <w:lang w:val="en-US"/>
        </w:rPr>
        <w:t>are determined to be failed sales under ASC 842-40</w:t>
      </w:r>
      <w:r w:rsidR="00AD3E04">
        <w:rPr>
          <w:rFonts w:ascii="Arial" w:eastAsia="Arial" w:hAnsi="Arial" w:cs="Arial"/>
          <w:lang w:val="en-US"/>
        </w:rPr>
        <w:t xml:space="preserve">. </w:t>
      </w:r>
      <w:r w:rsidR="00AD3E04" w:rsidRPr="00AD3E04">
        <w:rPr>
          <w:rFonts w:ascii="Arial" w:eastAsia="Arial" w:hAnsi="Arial" w:cs="Arial"/>
          <w:lang w:val="en-US"/>
        </w:rPr>
        <w:t>In such cases, the Company does not derecognize the vessel from its balance sheet. The proceeds received from the buyer</w:t>
      </w:r>
      <w:r w:rsidR="00AD3E04" w:rsidRPr="00AD3E04">
        <w:rPr>
          <w:rFonts w:ascii="Arial" w:eastAsia="Arial" w:hAnsi="Arial" w:cs="Arial"/>
          <w:lang w:val="en-US"/>
        </w:rPr>
        <w:noBreakHyphen/>
        <w:t>lessor are recognized as a financial liability, which is subsequently measured in accordance with the applicable guidance for such liabilities. No gain or loss is recognized at the time of the transaction, and the vessel continues to be depreciated over its remaining useful life.</w:t>
      </w:r>
    </w:p>
    <w:bookmarkEnd w:id="418"/>
    <w:p w14:paraId="71F3F64B" w14:textId="77777777" w:rsidR="00AD14F7" w:rsidRPr="00D313BF" w:rsidRDefault="00AD14F7" w:rsidP="00D01D20">
      <w:pPr>
        <w:pBdr>
          <w:top w:val="nil"/>
          <w:left w:val="nil"/>
          <w:bottom w:val="nil"/>
          <w:right w:val="nil"/>
          <w:between w:val="nil"/>
          <w:bar w:val="nil"/>
        </w:pBdr>
        <w:tabs>
          <w:tab w:val="left" w:pos="1710"/>
        </w:tabs>
        <w:ind w:left="567" w:hanging="567"/>
        <w:jc w:val="both"/>
        <w:rPr>
          <w:rFonts w:ascii="Arial" w:eastAsia="Arial" w:hAnsi="Arial" w:cs="Arial"/>
          <w:bdr w:val="nil"/>
          <w:lang w:val="en-US"/>
        </w:rPr>
      </w:pPr>
    </w:p>
    <w:p w14:paraId="71F3F64C" w14:textId="77777777" w:rsidR="00AD14F7"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19" w:name="XBRL_TS_546ebe8bf3f04dbb934257494ba288e0"/>
      <w:r w:rsidRPr="003F6D2E">
        <w:rPr>
          <w:rStyle w:val="Heading2Char"/>
          <w:rFonts w:ascii="Arial" w:eastAsia="Arial" w:hAnsi="Arial" w:cs="Arial"/>
          <w:iCs w:val="0"/>
          <w:color w:val="auto"/>
          <w:sz w:val="22"/>
          <w:szCs w:val="22"/>
          <w:lang w:val="en-US"/>
        </w:rPr>
        <w:t>Property and equipment</w:t>
      </w:r>
      <w:r w:rsidRPr="003F6D2E">
        <w:rPr>
          <w:rFonts w:ascii="Arial" w:eastAsia="Arial" w:hAnsi="Arial" w:cs="Arial"/>
          <w:b/>
          <w:i/>
          <w:lang w:val="en-US"/>
        </w:rPr>
        <w:t>:</w:t>
      </w:r>
      <w:r w:rsidRPr="003F6D2E">
        <w:rPr>
          <w:rFonts w:ascii="Arial" w:eastAsia="Arial" w:hAnsi="Arial" w:cs="Arial"/>
          <w:lang w:val="en-US"/>
        </w:rPr>
        <w:t xml:space="preserve"> The Company owns the land and building where its offices are located.</w:t>
      </w:r>
      <w:r w:rsidR="00550A5E" w:rsidRPr="003F6D2E">
        <w:rPr>
          <w:rFonts w:ascii="Arial" w:eastAsia="Arial" w:hAnsi="Arial" w:cs="Arial"/>
          <w:lang w:val="en-US"/>
        </w:rPr>
        <w:t xml:space="preserve"> The Company also own</w:t>
      </w:r>
      <w:r w:rsidR="00FE0452" w:rsidRPr="003F6D2E">
        <w:rPr>
          <w:rFonts w:ascii="Arial" w:eastAsia="Arial" w:hAnsi="Arial" w:cs="Arial"/>
          <w:lang w:val="en-US"/>
        </w:rPr>
        <w:t xml:space="preserve">s </w:t>
      </w:r>
      <w:r w:rsidR="00F47D18">
        <w:rPr>
          <w:rFonts w:ascii="Arial" w:eastAsia="Arial" w:hAnsi="Arial" w:cs="Arial"/>
          <w:lang w:val="en-US"/>
        </w:rPr>
        <w:t xml:space="preserve">other </w:t>
      </w:r>
      <w:r w:rsidR="00550A5E" w:rsidRPr="003F6D2E">
        <w:rPr>
          <w:rFonts w:ascii="Arial" w:eastAsia="Arial" w:hAnsi="Arial" w:cs="Arial"/>
          <w:lang w:val="en-US"/>
        </w:rPr>
        <w:t>plot</w:t>
      </w:r>
      <w:r w:rsidR="00F47D18">
        <w:rPr>
          <w:rFonts w:ascii="Arial" w:eastAsia="Arial" w:hAnsi="Arial" w:cs="Arial"/>
          <w:lang w:val="en-US"/>
        </w:rPr>
        <w:t>s</w:t>
      </w:r>
      <w:r w:rsidRPr="003F6D2E">
        <w:rPr>
          <w:rFonts w:ascii="Arial" w:eastAsia="Arial" w:hAnsi="Arial" w:cs="Arial"/>
          <w:lang w:val="en-US"/>
        </w:rPr>
        <w:t xml:space="preserve"> </w:t>
      </w:r>
      <w:r w:rsidR="00550A5E" w:rsidRPr="003F6D2E">
        <w:rPr>
          <w:rFonts w:ascii="Arial" w:eastAsia="Arial" w:hAnsi="Arial" w:cs="Arial"/>
          <w:lang w:val="en-US"/>
        </w:rPr>
        <w:t>acquired for office use</w:t>
      </w:r>
      <w:r w:rsidR="00FE0452" w:rsidRPr="003F6D2E">
        <w:rPr>
          <w:rFonts w:ascii="Arial" w:eastAsia="Arial" w:hAnsi="Arial" w:cs="Arial"/>
          <w:lang w:val="en-US"/>
        </w:rPr>
        <w:t xml:space="preserve"> (Note 7)</w:t>
      </w:r>
      <w:r w:rsidR="00550A5E" w:rsidRPr="003F6D2E">
        <w:rPr>
          <w:rFonts w:ascii="Arial" w:eastAsia="Arial" w:hAnsi="Arial" w:cs="Arial"/>
          <w:lang w:val="en-US"/>
        </w:rPr>
        <w:t xml:space="preserve">. </w:t>
      </w:r>
      <w:r w:rsidRPr="003F6D2E">
        <w:rPr>
          <w:rFonts w:ascii="Arial" w:eastAsia="Arial" w:hAnsi="Arial" w:cs="Arial"/>
          <w:lang w:val="en-US"/>
        </w:rPr>
        <w:t xml:space="preserve">Land is stated at cost, and it is not subject to depreciation. The building has an estimated useful life of </w:t>
      </w:r>
      <w:bookmarkStart w:id="420" w:name="XBRL_CS_cd721ebed057486fbde111a01825e81b"/>
      <w:r w:rsidRPr="003F6D2E">
        <w:rPr>
          <w:rFonts w:ascii="Arial" w:eastAsia="Arial" w:hAnsi="Arial" w:cs="Arial"/>
          <w:lang w:val="en-US"/>
        </w:rPr>
        <w:t>55 years</w:t>
      </w:r>
      <w:bookmarkEnd w:id="420"/>
      <w:r w:rsidRPr="003F6D2E">
        <w:rPr>
          <w:rFonts w:ascii="Arial" w:eastAsia="Arial" w:hAnsi="Arial" w:cs="Arial"/>
          <w:lang w:val="en-US"/>
        </w:rPr>
        <w:t xml:space="preserve"> with </w:t>
      </w:r>
      <w:bookmarkStart w:id="421" w:name="XBRL_CS_560d684323924b67bdea4c5bfc2b0b65"/>
      <w:r w:rsidRPr="003F6D2E">
        <w:rPr>
          <w:rFonts w:ascii="Arial" w:eastAsia="Arial" w:hAnsi="Arial" w:cs="Arial"/>
          <w:lang w:val="en-US"/>
        </w:rPr>
        <w:t>no</w:t>
      </w:r>
      <w:bookmarkEnd w:id="421"/>
      <w:r w:rsidRPr="003F6D2E">
        <w:rPr>
          <w:rFonts w:ascii="Arial" w:eastAsia="Arial" w:hAnsi="Arial" w:cs="Arial"/>
          <w:lang w:val="en-US"/>
        </w:rPr>
        <w:t xml:space="preserve"> residual value. </w:t>
      </w:r>
      <w:r w:rsidR="002D4478" w:rsidRPr="003F6D2E">
        <w:rPr>
          <w:rFonts w:ascii="Arial" w:eastAsia="Arial" w:hAnsi="Arial" w:cs="Arial"/>
          <w:lang w:val="en-US"/>
        </w:rPr>
        <w:t>F</w:t>
      </w:r>
      <w:r w:rsidRPr="003F6D2E">
        <w:rPr>
          <w:rFonts w:ascii="Arial" w:eastAsia="Arial" w:hAnsi="Arial" w:cs="Arial"/>
          <w:lang w:val="en-US"/>
        </w:rPr>
        <w:t>urniture</w:t>
      </w:r>
      <w:r w:rsidR="002D4478" w:rsidRPr="003F6D2E">
        <w:rPr>
          <w:rFonts w:ascii="Arial" w:eastAsia="Arial" w:hAnsi="Arial" w:cs="Arial"/>
          <w:lang w:val="en-US"/>
        </w:rPr>
        <w:t>,</w:t>
      </w:r>
      <w:r w:rsidRPr="003F6D2E">
        <w:rPr>
          <w:rFonts w:ascii="Arial" w:eastAsia="Arial" w:hAnsi="Arial" w:cs="Arial"/>
          <w:lang w:val="en-US"/>
        </w:rPr>
        <w:t xml:space="preserve"> </w:t>
      </w:r>
      <w:r w:rsidR="002D4478" w:rsidRPr="003F6D2E">
        <w:rPr>
          <w:rFonts w:ascii="Arial" w:eastAsia="Arial" w:hAnsi="Arial" w:cs="Arial"/>
          <w:lang w:val="en-US"/>
        </w:rPr>
        <w:t xml:space="preserve">office </w:t>
      </w:r>
      <w:r w:rsidRPr="003F6D2E">
        <w:rPr>
          <w:rFonts w:ascii="Arial" w:eastAsia="Arial" w:hAnsi="Arial" w:cs="Arial"/>
          <w:lang w:val="en-US"/>
        </w:rPr>
        <w:t>equipment</w:t>
      </w:r>
      <w:r w:rsidR="002D4478" w:rsidRPr="003F6D2E">
        <w:rPr>
          <w:rFonts w:ascii="Arial" w:eastAsia="Arial" w:hAnsi="Arial" w:cs="Arial"/>
          <w:lang w:val="en-US"/>
        </w:rPr>
        <w:t xml:space="preserve"> and vehicles have a useful life of </w:t>
      </w:r>
      <w:bookmarkStart w:id="422" w:name="XBRL_CS_b3990206578e4b5aa25d94380f731032"/>
      <w:bookmarkStart w:id="423" w:name="XBRL_CS_21acc38718f04785898995c32c8cfdba"/>
      <w:bookmarkStart w:id="424" w:name="XBRL_CS_108d3e36670d4a76813505dd095219e8"/>
      <w:r w:rsidR="002D4478" w:rsidRPr="003F6D2E">
        <w:rPr>
          <w:rFonts w:ascii="Arial" w:eastAsia="Arial" w:hAnsi="Arial" w:cs="Arial"/>
          <w:lang w:val="en-US"/>
        </w:rPr>
        <w:t>5 years</w:t>
      </w:r>
      <w:bookmarkEnd w:id="422"/>
      <w:bookmarkEnd w:id="423"/>
      <w:bookmarkEnd w:id="424"/>
      <w:r w:rsidR="002D4478" w:rsidRPr="003F6D2E">
        <w:rPr>
          <w:rFonts w:ascii="Arial" w:eastAsia="Arial" w:hAnsi="Arial" w:cs="Arial"/>
          <w:lang w:val="en-US"/>
        </w:rPr>
        <w:t xml:space="preserve">, except for a car owned by the Company, which has a useful life of </w:t>
      </w:r>
      <w:bookmarkStart w:id="425" w:name="XBRL_CS_5f984b94d5ce4b60ae1682298c279a5d"/>
      <w:r w:rsidR="002D4478" w:rsidRPr="003F6D2E">
        <w:rPr>
          <w:rFonts w:ascii="Arial" w:eastAsia="Arial" w:hAnsi="Arial" w:cs="Arial"/>
          <w:lang w:val="en-US"/>
        </w:rPr>
        <w:t>10 years</w:t>
      </w:r>
      <w:bookmarkEnd w:id="425"/>
      <w:r w:rsidR="002D4478" w:rsidRPr="003F6D2E">
        <w:rPr>
          <w:rFonts w:ascii="Arial" w:eastAsia="Arial" w:hAnsi="Arial" w:cs="Arial"/>
          <w:lang w:val="en-US"/>
        </w:rPr>
        <w:t>. C</w:t>
      </w:r>
      <w:r w:rsidRPr="003F6D2E">
        <w:rPr>
          <w:rFonts w:ascii="Arial" w:eastAsia="Arial" w:hAnsi="Arial" w:cs="Arial"/>
          <w:lang w:val="en-US"/>
        </w:rPr>
        <w:t>omputer software and hardware</w:t>
      </w:r>
      <w:r w:rsidR="002D4478" w:rsidRPr="003F6D2E">
        <w:rPr>
          <w:rFonts w:ascii="Arial" w:eastAsia="Arial" w:hAnsi="Arial" w:cs="Arial"/>
          <w:lang w:val="en-US"/>
        </w:rPr>
        <w:t xml:space="preserve"> have a useful life of </w:t>
      </w:r>
      <w:bookmarkStart w:id="426" w:name="XBRL_CS_46ddc4ad4d7c4837954f1990220e73bc"/>
      <w:r w:rsidR="002D4478" w:rsidRPr="003F6D2E">
        <w:rPr>
          <w:rFonts w:ascii="Arial" w:eastAsia="Arial" w:hAnsi="Arial" w:cs="Arial"/>
          <w:lang w:val="en-US"/>
        </w:rPr>
        <w:t>three years</w:t>
      </w:r>
      <w:bookmarkEnd w:id="426"/>
      <w:r w:rsidR="002D4478" w:rsidRPr="003F6D2E">
        <w:rPr>
          <w:rFonts w:ascii="Arial" w:eastAsia="Arial" w:hAnsi="Arial" w:cs="Arial"/>
          <w:lang w:val="en-US"/>
        </w:rPr>
        <w:t xml:space="preserve">. </w:t>
      </w:r>
      <w:r w:rsidRPr="003F6D2E">
        <w:rPr>
          <w:rFonts w:ascii="Arial" w:eastAsia="Arial" w:hAnsi="Arial" w:cs="Arial"/>
          <w:lang w:val="en-US"/>
        </w:rPr>
        <w:t>Depreciation is calculated on a straight-line basis.</w:t>
      </w:r>
    </w:p>
    <w:bookmarkEnd w:id="419"/>
    <w:p w14:paraId="71F3F64D"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4E" w14:textId="77777777" w:rsidR="00DC24FC" w:rsidRPr="00564DF2" w:rsidRDefault="003A4815" w:rsidP="006F77F5">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27" w:name="XBRL_TS_d55ae47bf47d462bb872cc93e42f3def"/>
      <w:r w:rsidRPr="00F32CDB">
        <w:rPr>
          <w:rStyle w:val="Heading2Char"/>
          <w:rFonts w:ascii="Arial" w:eastAsia="Arial" w:hAnsi="Arial" w:cs="Arial"/>
          <w:iCs w:val="0"/>
          <w:color w:val="auto"/>
          <w:sz w:val="22"/>
          <w:szCs w:val="22"/>
          <w:lang w:val="en-US"/>
        </w:rPr>
        <w:t>Impairment of Long-Lived Assets</w:t>
      </w:r>
      <w:r w:rsidRPr="00F32CDB">
        <w:rPr>
          <w:rFonts w:ascii="Arial" w:eastAsia="Arial" w:hAnsi="Arial" w:cs="Arial"/>
          <w:b/>
          <w:i/>
          <w:lang w:val="en-US"/>
        </w:rPr>
        <w:t xml:space="preserve">: </w:t>
      </w:r>
      <w:r w:rsidRPr="00E0702D">
        <w:rPr>
          <w:rFonts w:ascii="Arial" w:eastAsia="Arial" w:hAnsi="Arial" w:cs="Arial"/>
          <w:lang w:val="en-US"/>
        </w:rPr>
        <w:t>Long-lived assets</w:t>
      </w:r>
      <w:r w:rsidR="008B330D" w:rsidRPr="00E0702D">
        <w:rPr>
          <w:rFonts w:ascii="Arial" w:eastAsia="Arial" w:hAnsi="Arial" w:cs="Arial"/>
          <w:lang w:val="en-US"/>
        </w:rPr>
        <w:t xml:space="preserve"> </w:t>
      </w:r>
      <w:r w:rsidRPr="00E0702D">
        <w:rPr>
          <w:rFonts w:ascii="Arial" w:eastAsia="Arial" w:hAnsi="Arial" w:cs="Arial"/>
          <w:lang w:val="en-US"/>
        </w:rPr>
        <w:t xml:space="preserve">are reviewed for impairment whenever events or changes in circumstances (such as market conditions, </w:t>
      </w:r>
      <w:r w:rsidR="00027664" w:rsidRPr="00E0702D">
        <w:rPr>
          <w:rFonts w:ascii="Arial" w:eastAsia="Arial" w:hAnsi="Arial" w:cs="Arial"/>
          <w:lang w:val="en-US"/>
        </w:rPr>
        <w:t>obsolescence</w:t>
      </w:r>
      <w:r w:rsidRPr="00E0702D">
        <w:rPr>
          <w:rFonts w:ascii="Arial" w:eastAsia="Arial" w:hAnsi="Arial" w:cs="Arial"/>
          <w:lang w:val="en-US"/>
        </w:rPr>
        <w:t xml:space="preserve"> or damage to the asset, potential sales and other business plans) indicate that the </w:t>
      </w:r>
      <w:r w:rsidR="00366216" w:rsidRPr="00E0702D">
        <w:rPr>
          <w:rFonts w:ascii="Arial" w:eastAsia="Arial" w:hAnsi="Arial" w:cs="Arial"/>
          <w:lang w:val="en-US"/>
        </w:rPr>
        <w:t xml:space="preserve">carrying amount </w:t>
      </w:r>
      <w:r w:rsidRPr="00E0702D">
        <w:rPr>
          <w:rFonts w:ascii="Arial" w:eastAsia="Arial" w:hAnsi="Arial" w:cs="Arial"/>
          <w:lang w:val="en-US"/>
        </w:rPr>
        <w:t xml:space="preserve">of </w:t>
      </w:r>
      <w:r w:rsidR="008B330D" w:rsidRPr="00E0702D">
        <w:rPr>
          <w:rFonts w:ascii="Arial" w:eastAsia="Arial" w:hAnsi="Arial" w:cs="Arial"/>
          <w:lang w:val="en-US"/>
        </w:rPr>
        <w:t>an</w:t>
      </w:r>
      <w:r w:rsidRPr="00E0702D">
        <w:rPr>
          <w:rFonts w:ascii="Arial" w:eastAsia="Arial" w:hAnsi="Arial" w:cs="Arial"/>
          <w:lang w:val="en-US"/>
        </w:rPr>
        <w:t xml:space="preserve"> asset</w:t>
      </w:r>
      <w:r w:rsidR="00433760" w:rsidRPr="00E0702D">
        <w:rPr>
          <w:rFonts w:ascii="Arial" w:eastAsia="Arial" w:hAnsi="Arial" w:cs="Arial"/>
          <w:lang w:val="en-US"/>
        </w:rPr>
        <w:t xml:space="preserve"> </w:t>
      </w:r>
      <w:r w:rsidRPr="00E0702D">
        <w:rPr>
          <w:rFonts w:ascii="Arial" w:eastAsia="Arial" w:hAnsi="Arial" w:cs="Arial"/>
          <w:lang w:val="en-US"/>
        </w:rPr>
        <w:t xml:space="preserve">may not be recoverable. </w:t>
      </w:r>
      <w:r w:rsidR="00F32CDB" w:rsidRPr="00E0702D">
        <w:rPr>
          <w:rFonts w:ascii="Arial" w:eastAsia="Arial" w:hAnsi="Arial" w:cs="Arial"/>
          <w:lang w:val="en-US"/>
        </w:rPr>
        <w:t xml:space="preserve">For impairment testing purposes, each vessel together with its </w:t>
      </w:r>
      <w:r w:rsidR="009563DB" w:rsidRPr="00E0702D">
        <w:rPr>
          <w:rFonts w:ascii="Arial" w:eastAsia="Arial" w:hAnsi="Arial" w:cs="Arial"/>
          <w:lang w:val="en-US"/>
        </w:rPr>
        <w:t xml:space="preserve">associated </w:t>
      </w:r>
      <w:r w:rsidR="00F32CDB" w:rsidRPr="00E0702D">
        <w:rPr>
          <w:rFonts w:ascii="Arial" w:eastAsia="Arial" w:hAnsi="Arial" w:cs="Arial"/>
          <w:lang w:val="en-US"/>
        </w:rPr>
        <w:t xml:space="preserve">deferred costs is considered a single asset group. When impairment indicators are identified, the Company compares the carrying amount of the asset group with the estimated undiscounted </w:t>
      </w:r>
      <w:r w:rsidR="00F32CDB" w:rsidRPr="00564DF2">
        <w:rPr>
          <w:rFonts w:ascii="Arial" w:eastAsia="Arial" w:hAnsi="Arial" w:cs="Arial"/>
          <w:lang w:val="en-US"/>
        </w:rPr>
        <w:t xml:space="preserve">projected net operating cash flows expected to result from the use of the asset group over its remaining useful life and its eventual disposition. If the carrying amount exceeds the undiscounted cash flows, the </w:t>
      </w:r>
      <w:r w:rsidR="00564DF2" w:rsidRPr="00564DF2">
        <w:rPr>
          <w:rFonts w:ascii="Arial" w:eastAsia="Arial" w:hAnsi="Arial" w:cs="Arial"/>
          <w:lang w:val="en-US"/>
        </w:rPr>
        <w:t xml:space="preserve">carrying amount of the </w:t>
      </w:r>
      <w:r w:rsidR="00F32CDB" w:rsidRPr="00564DF2">
        <w:rPr>
          <w:rFonts w:ascii="Arial" w:eastAsia="Arial" w:hAnsi="Arial" w:cs="Arial"/>
          <w:lang w:val="en-US"/>
        </w:rPr>
        <w:t>asset group is considered not recoverable and is written down to its fair value, determined primarily through third</w:t>
      </w:r>
      <w:r w:rsidR="00F32CDB" w:rsidRPr="00564DF2">
        <w:rPr>
          <w:rFonts w:ascii="Arial" w:eastAsia="Arial" w:hAnsi="Arial" w:cs="Arial"/>
          <w:lang w:val="en-US"/>
        </w:rPr>
        <w:noBreakHyphen/>
        <w:t>party valuations</w:t>
      </w:r>
      <w:r w:rsidRPr="00564DF2">
        <w:rPr>
          <w:rFonts w:ascii="Arial" w:eastAsia="Arial" w:hAnsi="Arial" w:cs="Arial"/>
          <w:lang w:val="en-US"/>
        </w:rPr>
        <w:t xml:space="preserve">. </w:t>
      </w:r>
    </w:p>
    <w:p w14:paraId="71F3F64F" w14:textId="77777777" w:rsidR="003F6D2E" w:rsidRPr="005E3986" w:rsidRDefault="003F6D2E" w:rsidP="006F77F5">
      <w:pPr>
        <w:pStyle w:val="ListParagraph"/>
        <w:pBdr>
          <w:top w:val="nil"/>
          <w:left w:val="nil"/>
          <w:bottom w:val="nil"/>
          <w:right w:val="nil"/>
          <w:between w:val="nil"/>
          <w:bar w:val="nil"/>
        </w:pBdr>
        <w:ind w:left="567" w:hanging="567"/>
        <w:jc w:val="both"/>
        <w:rPr>
          <w:rFonts w:ascii="Arial" w:eastAsia="Arial" w:hAnsi="Arial" w:cs="Arial"/>
          <w:bdr w:val="nil"/>
          <w:lang w:val="en-US"/>
        </w:rPr>
      </w:pPr>
    </w:p>
    <w:p w14:paraId="71F3F650" w14:textId="77777777" w:rsidR="00DC24FC" w:rsidRPr="005E3986" w:rsidRDefault="003A4815" w:rsidP="006F77F5">
      <w:pPr>
        <w:pStyle w:val="ListParagraph"/>
        <w:pBdr>
          <w:top w:val="nil"/>
          <w:left w:val="nil"/>
          <w:bottom w:val="nil"/>
          <w:right w:val="nil"/>
          <w:between w:val="nil"/>
          <w:bar w:val="nil"/>
        </w:pBdr>
        <w:ind w:left="567"/>
        <w:jc w:val="both"/>
        <w:rPr>
          <w:rFonts w:ascii="Arial" w:eastAsia="Arial" w:hAnsi="Arial" w:cs="Arial"/>
          <w:bdr w:val="nil"/>
          <w:lang w:val="en-US"/>
        </w:rPr>
      </w:pPr>
      <w:r w:rsidRPr="005E3986">
        <w:rPr>
          <w:rFonts w:ascii="Arial" w:eastAsia="Arial" w:hAnsi="Arial" w:cs="Arial"/>
          <w:lang w:val="en-US"/>
        </w:rPr>
        <w:t xml:space="preserve">For vessels, the Company </w:t>
      </w:r>
      <w:r w:rsidR="00350D70" w:rsidRPr="005E3986">
        <w:rPr>
          <w:rFonts w:ascii="Arial" w:eastAsia="Arial" w:hAnsi="Arial" w:cs="Arial"/>
          <w:lang w:val="en-US"/>
        </w:rPr>
        <w:t>estimates</w:t>
      </w:r>
      <w:r w:rsidRPr="005E3986">
        <w:rPr>
          <w:rFonts w:ascii="Arial" w:eastAsia="Arial" w:hAnsi="Arial" w:cs="Arial"/>
          <w:lang w:val="en-US"/>
        </w:rPr>
        <w:t xml:space="preserve"> undiscounted net operating cash flows by considering the historical and </w:t>
      </w:r>
      <w:r w:rsidR="00AA2AC2" w:rsidRPr="005E3986">
        <w:rPr>
          <w:rFonts w:ascii="Arial" w:eastAsia="Arial" w:hAnsi="Arial" w:cs="Arial"/>
          <w:lang w:val="en-US"/>
        </w:rPr>
        <w:t>projected</w:t>
      </w:r>
      <w:r w:rsidRPr="005E3986">
        <w:rPr>
          <w:rFonts w:ascii="Arial" w:eastAsia="Arial" w:hAnsi="Arial" w:cs="Arial"/>
          <w:lang w:val="en-US"/>
        </w:rPr>
        <w:t xml:space="preserve"> vessel performance and utilization</w:t>
      </w:r>
      <w:r w:rsidR="00DB6127" w:rsidRPr="005E3986">
        <w:rPr>
          <w:rFonts w:ascii="Arial" w:eastAsia="Arial" w:hAnsi="Arial" w:cs="Arial"/>
          <w:lang w:val="en-US"/>
        </w:rPr>
        <w:t>. A</w:t>
      </w:r>
      <w:r w:rsidRPr="005E3986">
        <w:rPr>
          <w:rFonts w:ascii="Arial" w:eastAsia="Arial" w:hAnsi="Arial" w:cs="Arial"/>
          <w:lang w:val="en-US"/>
        </w:rPr>
        <w:t xml:space="preserve"> significant assumption </w:t>
      </w:r>
      <w:r w:rsidR="00DB6127" w:rsidRPr="005E3986">
        <w:rPr>
          <w:rFonts w:ascii="Arial" w:eastAsia="Arial" w:hAnsi="Arial" w:cs="Arial"/>
          <w:lang w:val="en-US"/>
        </w:rPr>
        <w:t>in this analysis is the estimate of</w:t>
      </w:r>
      <w:r w:rsidRPr="005E3986">
        <w:rPr>
          <w:rFonts w:ascii="Arial" w:eastAsia="Arial" w:hAnsi="Arial" w:cs="Arial"/>
          <w:lang w:val="en-US"/>
        </w:rPr>
        <w:t xml:space="preserve"> future </w:t>
      </w:r>
      <w:r w:rsidR="00DB6127" w:rsidRPr="005E3986">
        <w:rPr>
          <w:rFonts w:ascii="Arial" w:eastAsia="Arial" w:hAnsi="Arial" w:cs="Arial"/>
          <w:lang w:val="en-US"/>
        </w:rPr>
        <w:t xml:space="preserve">time </w:t>
      </w:r>
      <w:r w:rsidRPr="005E3986">
        <w:rPr>
          <w:rFonts w:ascii="Arial" w:eastAsia="Arial" w:hAnsi="Arial" w:cs="Arial"/>
          <w:lang w:val="en-US"/>
        </w:rPr>
        <w:t xml:space="preserve">charter rates for the unfixed days, using the most recent </w:t>
      </w:r>
      <w:bookmarkStart w:id="428" w:name="XBRL_CS_edb3b82fa681404f906ab022702b29ab"/>
      <w:r w:rsidRPr="005E3986">
        <w:rPr>
          <w:rFonts w:ascii="Arial" w:eastAsia="Arial" w:hAnsi="Arial" w:cs="Arial"/>
          <w:lang w:val="en-US"/>
        </w:rPr>
        <w:t>10</w:t>
      </w:r>
      <w:bookmarkEnd w:id="428"/>
      <w:r w:rsidRPr="005E3986">
        <w:rPr>
          <w:rFonts w:ascii="Arial" w:eastAsia="Arial" w:hAnsi="Arial" w:cs="Arial"/>
          <w:lang w:val="en-US"/>
        </w:rPr>
        <w:t>-year average of historical 1 year time</w:t>
      </w:r>
      <w:r w:rsidR="00DB6127" w:rsidRPr="005E3986">
        <w:rPr>
          <w:rFonts w:ascii="Arial" w:eastAsia="Arial" w:hAnsi="Arial" w:cs="Arial"/>
          <w:lang w:val="en-US"/>
        </w:rPr>
        <w:t xml:space="preserve"> c</w:t>
      </w:r>
      <w:r w:rsidRPr="005E3986">
        <w:rPr>
          <w:rFonts w:ascii="Arial" w:eastAsia="Arial" w:hAnsi="Arial" w:cs="Arial"/>
          <w:lang w:val="en-US"/>
        </w:rPr>
        <w:t>harter rates</w:t>
      </w:r>
      <w:r w:rsidR="00DB6127" w:rsidRPr="005E3986">
        <w:rPr>
          <w:rFonts w:ascii="Arial" w:eastAsia="Arial" w:hAnsi="Arial" w:cs="Arial"/>
          <w:lang w:val="en-US"/>
        </w:rPr>
        <w:t>, net of commissions,</w:t>
      </w:r>
      <w:r w:rsidRPr="005E3986">
        <w:rPr>
          <w:rFonts w:ascii="Arial" w:eastAsia="Arial" w:hAnsi="Arial" w:cs="Arial"/>
          <w:lang w:val="en-US"/>
        </w:rPr>
        <w:t xml:space="preserve"> available for each vessel </w:t>
      </w:r>
      <w:r w:rsidR="00DB6127" w:rsidRPr="005E3986">
        <w:rPr>
          <w:rFonts w:ascii="Arial" w:eastAsia="Arial" w:hAnsi="Arial" w:cs="Arial"/>
          <w:lang w:val="en-US"/>
        </w:rPr>
        <w:t>class</w:t>
      </w:r>
      <w:r w:rsidRPr="005E3986">
        <w:rPr>
          <w:rFonts w:ascii="Arial" w:eastAsia="Arial" w:hAnsi="Arial" w:cs="Arial"/>
          <w:lang w:val="en-US"/>
        </w:rPr>
        <w:t xml:space="preserve">. </w:t>
      </w:r>
      <w:r w:rsidR="00DB6127" w:rsidRPr="005E3986">
        <w:rPr>
          <w:rFonts w:ascii="Arial" w:eastAsia="Arial" w:hAnsi="Arial" w:cs="Arial"/>
          <w:lang w:val="en-US"/>
        </w:rPr>
        <w:t>These estimated time charter rates</w:t>
      </w:r>
      <w:r w:rsidRPr="005E3986">
        <w:rPr>
          <w:rFonts w:ascii="Arial" w:eastAsia="Arial" w:hAnsi="Arial" w:cs="Arial"/>
          <w:lang w:val="en-US"/>
        </w:rPr>
        <w:t xml:space="preserve"> </w:t>
      </w:r>
      <w:r w:rsidR="00DB6127" w:rsidRPr="005E3986">
        <w:rPr>
          <w:rFonts w:ascii="Arial" w:eastAsia="Arial" w:hAnsi="Arial" w:cs="Arial"/>
          <w:lang w:val="en-US"/>
        </w:rPr>
        <w:t>reflect</w:t>
      </w:r>
      <w:r w:rsidRPr="005E3986">
        <w:rPr>
          <w:rFonts w:ascii="Arial" w:eastAsia="Arial" w:hAnsi="Arial" w:cs="Arial"/>
          <w:lang w:val="en-US"/>
        </w:rPr>
        <w:t xml:space="preserve"> the Company’s chartering strategy, </w:t>
      </w:r>
      <w:r w:rsidR="00DB6127" w:rsidRPr="005E3986">
        <w:rPr>
          <w:rFonts w:ascii="Arial" w:eastAsia="Arial" w:hAnsi="Arial" w:cs="Arial"/>
          <w:lang w:val="en-US"/>
        </w:rPr>
        <w:t>vessel</w:t>
      </w:r>
      <w:r w:rsidRPr="005E3986">
        <w:rPr>
          <w:rFonts w:ascii="Arial" w:eastAsia="Arial" w:hAnsi="Arial" w:cs="Arial"/>
          <w:lang w:val="en-US"/>
        </w:rPr>
        <w:t xml:space="preserve"> operating history </w:t>
      </w:r>
      <w:r w:rsidR="00DB6127" w:rsidRPr="005E3986">
        <w:rPr>
          <w:rFonts w:ascii="Arial" w:eastAsia="Arial" w:hAnsi="Arial" w:cs="Arial"/>
          <w:lang w:val="en-US"/>
        </w:rPr>
        <w:t xml:space="preserve">per vessel class </w:t>
      </w:r>
      <w:r w:rsidRPr="005E3986">
        <w:rPr>
          <w:rFonts w:ascii="Arial" w:eastAsia="Arial" w:hAnsi="Arial" w:cs="Arial"/>
          <w:lang w:val="en-US"/>
        </w:rPr>
        <w:t xml:space="preserve"> and at least </w:t>
      </w:r>
      <w:r w:rsidR="000F54A9" w:rsidRPr="005E3986">
        <w:rPr>
          <w:rFonts w:ascii="Arial" w:eastAsia="Arial" w:hAnsi="Arial" w:cs="Arial"/>
          <w:lang w:val="en-US"/>
        </w:rPr>
        <w:t>one</w:t>
      </w:r>
      <w:r w:rsidRPr="005E3986">
        <w:rPr>
          <w:rFonts w:ascii="Arial" w:eastAsia="Arial" w:hAnsi="Arial" w:cs="Arial"/>
          <w:lang w:val="en-US"/>
        </w:rPr>
        <w:t xml:space="preserve"> full </w:t>
      </w:r>
      <w:r w:rsidR="000F54A9" w:rsidRPr="005E3986">
        <w:rPr>
          <w:rFonts w:ascii="Arial" w:eastAsia="Arial" w:hAnsi="Arial" w:cs="Arial"/>
          <w:lang w:val="en-US"/>
        </w:rPr>
        <w:t>shipping</w:t>
      </w:r>
      <w:r w:rsidRPr="005E3986">
        <w:rPr>
          <w:rFonts w:ascii="Arial" w:eastAsia="Arial" w:hAnsi="Arial" w:cs="Arial"/>
          <w:lang w:val="en-US"/>
        </w:rPr>
        <w:t xml:space="preserve"> cycle, where applicable. When </w:t>
      </w:r>
      <w:r w:rsidR="00BB7B81" w:rsidRPr="005E3986">
        <w:rPr>
          <w:rFonts w:ascii="Arial" w:eastAsia="Arial" w:hAnsi="Arial" w:cs="Arial"/>
          <w:lang w:val="en-US"/>
        </w:rPr>
        <w:t xml:space="preserve">a full </w:t>
      </w:r>
      <w:bookmarkStart w:id="429" w:name="XBRL_CS_8836f0e11350453980ddb002518680b9"/>
      <w:r w:rsidRPr="005E3986">
        <w:rPr>
          <w:rFonts w:ascii="Arial" w:eastAsia="Arial" w:hAnsi="Arial" w:cs="Arial"/>
          <w:lang w:val="en-US"/>
        </w:rPr>
        <w:t>10</w:t>
      </w:r>
      <w:bookmarkEnd w:id="429"/>
      <w:r w:rsidRPr="005E3986">
        <w:rPr>
          <w:rFonts w:ascii="Arial" w:eastAsia="Arial" w:hAnsi="Arial" w:cs="Arial"/>
          <w:lang w:val="en-US"/>
        </w:rPr>
        <w:t xml:space="preserve">-year </w:t>
      </w:r>
      <w:r w:rsidR="00BB7B81" w:rsidRPr="005E3986">
        <w:rPr>
          <w:rFonts w:ascii="Arial" w:eastAsia="Arial" w:hAnsi="Arial" w:cs="Arial"/>
          <w:lang w:val="en-US"/>
        </w:rPr>
        <w:t>history is not available</w:t>
      </w:r>
      <w:r w:rsidR="000F54A9" w:rsidRPr="005E3986">
        <w:rPr>
          <w:rFonts w:ascii="Arial" w:eastAsia="Arial" w:hAnsi="Arial" w:cs="Arial"/>
          <w:lang w:val="en-US"/>
        </w:rPr>
        <w:t>,</w:t>
      </w:r>
      <w:r w:rsidR="00BB7B81" w:rsidRPr="005E3986">
        <w:rPr>
          <w:rFonts w:ascii="Arial" w:eastAsia="Arial" w:hAnsi="Arial" w:cs="Arial"/>
          <w:lang w:val="en-US"/>
        </w:rPr>
        <w:t xml:space="preserve"> </w:t>
      </w:r>
      <w:r w:rsidRPr="005E3986">
        <w:rPr>
          <w:rFonts w:ascii="Arial" w:eastAsia="Arial" w:hAnsi="Arial" w:cs="Arial"/>
          <w:lang w:val="en-US"/>
        </w:rPr>
        <w:t xml:space="preserve">the average </w:t>
      </w:r>
      <w:r w:rsidR="0001676F" w:rsidRPr="005E3986">
        <w:rPr>
          <w:rFonts w:ascii="Arial" w:eastAsia="Arial" w:hAnsi="Arial" w:cs="Arial"/>
          <w:lang w:val="en-US"/>
        </w:rPr>
        <w:t xml:space="preserve">1 year time charter rate </w:t>
      </w:r>
      <w:r w:rsidRPr="005E3986">
        <w:rPr>
          <w:rFonts w:ascii="Arial" w:eastAsia="Arial" w:hAnsi="Arial" w:cs="Arial"/>
          <w:lang w:val="en-US"/>
        </w:rPr>
        <w:t>of the available period</w:t>
      </w:r>
      <w:r w:rsidR="000F54A9" w:rsidRPr="005E3986">
        <w:rPr>
          <w:rFonts w:ascii="Arial" w:eastAsia="Arial" w:hAnsi="Arial" w:cs="Arial"/>
          <w:lang w:val="en-US"/>
        </w:rPr>
        <w:t xml:space="preserve"> is used</w:t>
      </w:r>
      <w:r w:rsidRPr="005E3986">
        <w:rPr>
          <w:rFonts w:ascii="Arial" w:eastAsia="Arial" w:hAnsi="Arial" w:cs="Arial"/>
          <w:lang w:val="en-US"/>
        </w:rPr>
        <w:t xml:space="preserve">. </w:t>
      </w:r>
      <w:r w:rsidR="000F54A9" w:rsidRPr="005E3986">
        <w:rPr>
          <w:rFonts w:ascii="Arial" w:eastAsia="Arial" w:hAnsi="Arial" w:cs="Arial"/>
          <w:lang w:val="en-US"/>
        </w:rPr>
        <w:t>Additional</w:t>
      </w:r>
      <w:r w:rsidRPr="005E3986">
        <w:rPr>
          <w:rFonts w:ascii="Arial" w:eastAsia="Arial" w:hAnsi="Arial" w:cs="Arial"/>
          <w:lang w:val="en-US"/>
        </w:rPr>
        <w:t xml:space="preserve"> assumptions </w:t>
      </w:r>
      <w:r w:rsidR="000F54A9" w:rsidRPr="005E3986">
        <w:rPr>
          <w:rFonts w:ascii="Arial" w:eastAsia="Arial" w:hAnsi="Arial" w:cs="Arial"/>
          <w:lang w:val="en-US"/>
        </w:rPr>
        <w:t>include</w:t>
      </w:r>
      <w:r w:rsidRPr="005E3986">
        <w:rPr>
          <w:rFonts w:ascii="Arial" w:eastAsia="Arial" w:hAnsi="Arial" w:cs="Arial"/>
          <w:lang w:val="en-US"/>
        </w:rPr>
        <w:t xml:space="preserve"> </w:t>
      </w:r>
      <w:r w:rsidR="0001676F" w:rsidRPr="005E3986">
        <w:rPr>
          <w:rFonts w:ascii="Arial" w:eastAsia="Arial" w:hAnsi="Arial" w:cs="Arial"/>
          <w:lang w:val="en-US"/>
        </w:rPr>
        <w:t>contracted</w:t>
      </w:r>
      <w:r w:rsidR="000F54A9" w:rsidRPr="005E3986">
        <w:rPr>
          <w:rFonts w:ascii="Arial" w:eastAsia="Arial" w:hAnsi="Arial" w:cs="Arial"/>
          <w:lang w:val="en-US"/>
        </w:rPr>
        <w:t xml:space="preserve"> </w:t>
      </w:r>
      <w:r w:rsidRPr="005E3986">
        <w:rPr>
          <w:rFonts w:ascii="Arial" w:eastAsia="Arial" w:hAnsi="Arial" w:cs="Arial"/>
          <w:lang w:val="en-US"/>
        </w:rPr>
        <w:t xml:space="preserve">charter rates for fixed days </w:t>
      </w:r>
      <w:r w:rsidR="000F54A9" w:rsidRPr="005E3986">
        <w:rPr>
          <w:rFonts w:ascii="Arial" w:eastAsia="Arial" w:hAnsi="Arial" w:cs="Arial"/>
          <w:lang w:val="en-US"/>
        </w:rPr>
        <w:t xml:space="preserve">based on </w:t>
      </w:r>
      <w:r w:rsidRPr="005E3986">
        <w:rPr>
          <w:rFonts w:ascii="Arial" w:eastAsia="Arial" w:hAnsi="Arial" w:cs="Arial"/>
          <w:lang w:val="en-US"/>
        </w:rPr>
        <w:t>existing time charter</w:t>
      </w:r>
      <w:r w:rsidR="000F54A9" w:rsidRPr="005E3986">
        <w:rPr>
          <w:rFonts w:ascii="Arial" w:eastAsia="Arial" w:hAnsi="Arial" w:cs="Arial"/>
          <w:lang w:val="en-US"/>
        </w:rPr>
        <w:t xml:space="preserve"> contracts</w:t>
      </w:r>
      <w:r w:rsidRPr="005E3986">
        <w:rPr>
          <w:rFonts w:ascii="Arial" w:eastAsia="Arial" w:hAnsi="Arial" w:cs="Arial"/>
          <w:lang w:val="en-US"/>
        </w:rPr>
        <w:t xml:space="preserve">, </w:t>
      </w:r>
      <w:r w:rsidR="000F54A9" w:rsidRPr="005E3986">
        <w:rPr>
          <w:rFonts w:ascii="Arial" w:eastAsia="Arial" w:hAnsi="Arial" w:cs="Arial"/>
          <w:lang w:val="en-US"/>
        </w:rPr>
        <w:t xml:space="preserve">anticipated </w:t>
      </w:r>
      <w:r w:rsidRPr="005E3986">
        <w:rPr>
          <w:rFonts w:ascii="Arial" w:eastAsia="Arial" w:hAnsi="Arial" w:cs="Arial"/>
          <w:lang w:val="en-US"/>
        </w:rPr>
        <w:t>vessel operating expenses</w:t>
      </w:r>
      <w:r w:rsidR="000F54A9" w:rsidRPr="005E3986">
        <w:rPr>
          <w:rFonts w:ascii="Arial" w:eastAsia="Arial" w:hAnsi="Arial" w:cs="Arial"/>
          <w:lang w:val="en-US"/>
        </w:rPr>
        <w:t>, scheduled vessel maintenance costs,</w:t>
      </w:r>
      <w:r w:rsidRPr="005E3986">
        <w:rPr>
          <w:rFonts w:ascii="Arial" w:eastAsia="Arial" w:hAnsi="Arial" w:cs="Arial"/>
          <w:lang w:val="en-US"/>
        </w:rPr>
        <w:t xml:space="preserve"> fleet utilization</w:t>
      </w:r>
      <w:r w:rsidR="000F54A9" w:rsidRPr="005E3986">
        <w:rPr>
          <w:rFonts w:ascii="Arial" w:eastAsia="Arial" w:hAnsi="Arial" w:cs="Arial"/>
          <w:lang w:val="en-US"/>
        </w:rPr>
        <w:t xml:space="preserve"> levels</w:t>
      </w:r>
      <w:r w:rsidRPr="005E3986">
        <w:rPr>
          <w:rFonts w:ascii="Arial" w:eastAsia="Arial" w:hAnsi="Arial" w:cs="Arial"/>
          <w:lang w:val="en-US"/>
        </w:rPr>
        <w:t xml:space="preserve">, and </w:t>
      </w:r>
      <w:r w:rsidR="000F54A9" w:rsidRPr="005E3986">
        <w:rPr>
          <w:rFonts w:ascii="Arial" w:eastAsia="Arial" w:hAnsi="Arial" w:cs="Arial"/>
          <w:lang w:val="en-US"/>
        </w:rPr>
        <w:t>estimated</w:t>
      </w:r>
      <w:r w:rsidRPr="005E3986">
        <w:rPr>
          <w:rFonts w:ascii="Arial" w:eastAsia="Arial" w:hAnsi="Arial" w:cs="Arial"/>
          <w:lang w:val="en-US"/>
        </w:rPr>
        <w:t xml:space="preserve"> residual value</w:t>
      </w:r>
      <w:r w:rsidR="000F54A9" w:rsidRPr="005E3986">
        <w:rPr>
          <w:rFonts w:ascii="Arial" w:eastAsia="Arial" w:hAnsi="Arial" w:cs="Arial"/>
          <w:lang w:val="en-US"/>
        </w:rPr>
        <w:t>s based on scrap rates</w:t>
      </w:r>
      <w:r w:rsidRPr="005E3986">
        <w:rPr>
          <w:rFonts w:ascii="Arial" w:eastAsia="Arial" w:hAnsi="Arial" w:cs="Arial"/>
          <w:lang w:val="en-US"/>
        </w:rPr>
        <w:t xml:space="preserve">. Assumptions are in line with the Company’s historical performance and its expectations for future fleet utilization under its current fleet deployment strategy. </w:t>
      </w:r>
      <w:r w:rsidR="00C95FE3" w:rsidRPr="005E3986">
        <w:rPr>
          <w:rFonts w:ascii="Arial" w:eastAsia="Arial" w:hAnsi="Arial" w:cs="Arial"/>
          <w:lang w:val="en-US"/>
        </w:rPr>
        <w:t xml:space="preserve">The undiscounted projected net operating cash flows are compared with the carrying amount of the vessel, including its </w:t>
      </w:r>
      <w:r w:rsidR="009563DB" w:rsidRPr="005E3986">
        <w:rPr>
          <w:rFonts w:ascii="Arial" w:eastAsia="Arial" w:hAnsi="Arial" w:cs="Arial"/>
          <w:lang w:val="en-US"/>
        </w:rPr>
        <w:t>unamortized deferred costs</w:t>
      </w:r>
      <w:r w:rsidR="00C95FE3" w:rsidRPr="005E3986">
        <w:rPr>
          <w:rFonts w:ascii="Arial" w:eastAsia="Arial" w:hAnsi="Arial" w:cs="Arial"/>
          <w:lang w:val="en-US"/>
        </w:rPr>
        <w:t>. If the carrying amount exceeds the undiscounted cash flows, the vessel is written down to its fair value, and the difference is recognized as an impairment loss.</w:t>
      </w:r>
    </w:p>
    <w:p w14:paraId="71F3F651" w14:textId="77777777" w:rsidR="00C95FE3" w:rsidRPr="005E3986" w:rsidRDefault="00C95FE3" w:rsidP="006F77F5">
      <w:pPr>
        <w:pStyle w:val="ListParagraph"/>
        <w:pBdr>
          <w:top w:val="nil"/>
          <w:left w:val="nil"/>
          <w:bottom w:val="nil"/>
          <w:right w:val="nil"/>
          <w:between w:val="nil"/>
          <w:bar w:val="nil"/>
        </w:pBdr>
        <w:ind w:left="567"/>
        <w:jc w:val="both"/>
        <w:rPr>
          <w:rFonts w:ascii="Arial" w:eastAsia="Arial" w:hAnsi="Arial" w:cs="Arial"/>
          <w:bdr w:val="nil"/>
          <w:lang w:val="en-US"/>
        </w:rPr>
      </w:pPr>
    </w:p>
    <w:p w14:paraId="71F3F652" w14:textId="77777777" w:rsidR="002D67F2" w:rsidRPr="005E3986" w:rsidRDefault="003A4815" w:rsidP="006F77F5">
      <w:pPr>
        <w:pStyle w:val="ListParagraph"/>
        <w:pBdr>
          <w:top w:val="nil"/>
          <w:left w:val="nil"/>
          <w:bottom w:val="nil"/>
          <w:right w:val="nil"/>
          <w:between w:val="nil"/>
          <w:bar w:val="nil"/>
        </w:pBdr>
        <w:ind w:left="567"/>
        <w:jc w:val="both"/>
        <w:rPr>
          <w:rFonts w:ascii="Arial" w:eastAsia="Arial" w:hAnsi="Arial" w:cs="Arial"/>
          <w:bdr w:val="nil"/>
          <w:lang w:val="en-US"/>
        </w:rPr>
      </w:pPr>
      <w:r w:rsidRPr="005E3986">
        <w:rPr>
          <w:rFonts w:ascii="Arial" w:eastAsia="Arial" w:hAnsi="Arial" w:cs="Arial"/>
          <w:lang w:val="en-US"/>
        </w:rPr>
        <w:t xml:space="preserve">During 2025, 2024 and 2023, </w:t>
      </w:r>
      <w:bookmarkStart w:id="430" w:name="XBRL_CS_65578f35081743709f0380cd2f35cad9"/>
      <w:bookmarkStart w:id="431" w:name="XBRL_CS_c52d4092ad034cb4b3282485232968a8"/>
      <w:bookmarkStart w:id="432" w:name="XBRL_CS_bb06ce8fbba6446586136d24e6518ac4"/>
      <w:r w:rsidR="00201D3E" w:rsidRPr="005E3986">
        <w:rPr>
          <w:rFonts w:ascii="Arial" w:eastAsia="Arial" w:hAnsi="Arial" w:cs="Arial"/>
          <w:lang w:val="en-US"/>
        </w:rPr>
        <w:t>n</w:t>
      </w:r>
      <w:r w:rsidR="0050660A" w:rsidRPr="005E3986">
        <w:rPr>
          <w:rFonts w:ascii="Arial" w:eastAsia="Arial" w:hAnsi="Arial" w:cs="Arial"/>
          <w:lang w:val="en-US"/>
        </w:rPr>
        <w:t>o</w:t>
      </w:r>
      <w:bookmarkEnd w:id="430"/>
      <w:bookmarkEnd w:id="431"/>
      <w:bookmarkEnd w:id="432"/>
      <w:r w:rsidR="0050660A" w:rsidRPr="005E3986">
        <w:rPr>
          <w:rFonts w:ascii="Arial" w:eastAsia="Arial" w:hAnsi="Arial" w:cs="Arial"/>
          <w:lang w:val="en-US"/>
        </w:rPr>
        <w:t xml:space="preserve"> impairment loss was identified or recorded</w:t>
      </w:r>
      <w:r w:rsidRPr="005E3986">
        <w:rPr>
          <w:rFonts w:ascii="Arial" w:eastAsia="Arial" w:hAnsi="Arial" w:cs="Arial"/>
          <w:lang w:val="en-US"/>
        </w:rPr>
        <w:t xml:space="preserve"> for the Company’s vessels.</w:t>
      </w:r>
    </w:p>
    <w:p w14:paraId="71F3F653" w14:textId="77777777" w:rsidR="00AD14F7" w:rsidRPr="005E3986" w:rsidRDefault="00AD14F7" w:rsidP="006F77F5">
      <w:pPr>
        <w:pStyle w:val="ListParagraph"/>
        <w:pBdr>
          <w:top w:val="nil"/>
          <w:left w:val="nil"/>
          <w:bottom w:val="nil"/>
          <w:right w:val="nil"/>
          <w:between w:val="nil"/>
          <w:bar w:val="nil"/>
        </w:pBdr>
        <w:ind w:left="567" w:hanging="567"/>
        <w:jc w:val="both"/>
        <w:rPr>
          <w:rFonts w:ascii="Arial" w:eastAsia="Arial" w:hAnsi="Arial" w:cs="Arial"/>
          <w:bdr w:val="nil"/>
          <w:lang w:val="en-US"/>
        </w:rPr>
      </w:pPr>
    </w:p>
    <w:p w14:paraId="71F3F654" w14:textId="77777777" w:rsidR="00536240" w:rsidRPr="005E3986" w:rsidRDefault="003A4815" w:rsidP="006F77F5">
      <w:pPr>
        <w:pStyle w:val="ListParagraph"/>
        <w:pBdr>
          <w:top w:val="nil"/>
          <w:left w:val="nil"/>
          <w:bottom w:val="nil"/>
          <w:right w:val="nil"/>
          <w:between w:val="nil"/>
          <w:bar w:val="nil"/>
        </w:pBdr>
        <w:ind w:left="567"/>
        <w:jc w:val="both"/>
        <w:rPr>
          <w:rFonts w:ascii="Arial" w:eastAsia="Arial" w:hAnsi="Arial" w:cs="Arial"/>
          <w:bdr w:val="nil"/>
          <w:lang w:val="en-US"/>
        </w:rPr>
      </w:pPr>
      <w:r w:rsidRPr="005E3986">
        <w:rPr>
          <w:rFonts w:ascii="Arial" w:eastAsia="Arial" w:hAnsi="Arial" w:cs="Arial"/>
          <w:lang w:val="en-US"/>
        </w:rPr>
        <w:t xml:space="preserve">For the Company’s building, recoverability is assessed by comparing the carrying amount to undiscounted projected cash flows, which are estimated based on the market rent the Company would expect to pay to lease comparable premises over the building’s remaining useful life. </w:t>
      </w:r>
      <w:bookmarkStart w:id="433" w:name="XBRL_CS_8d088dab4b3643a582ce16efcca76a06"/>
      <w:bookmarkStart w:id="434" w:name="XBRL_CS_cb80c7a203354476b947273ee53616ee"/>
      <w:bookmarkStart w:id="435" w:name="XBRL_CS_6b5ac2729ace490e950ca1c1b34224f1"/>
      <w:r w:rsidR="005862B6" w:rsidRPr="005E3986">
        <w:rPr>
          <w:rFonts w:ascii="Arial" w:eastAsia="Arial" w:hAnsi="Arial" w:cs="Arial"/>
          <w:lang w:val="en-US"/>
        </w:rPr>
        <w:t>No</w:t>
      </w:r>
      <w:bookmarkEnd w:id="433"/>
      <w:bookmarkEnd w:id="434"/>
      <w:bookmarkEnd w:id="435"/>
      <w:r w:rsidR="005862B6" w:rsidRPr="005E3986">
        <w:rPr>
          <w:rFonts w:ascii="Arial" w:eastAsia="Arial" w:hAnsi="Arial" w:cs="Arial"/>
          <w:lang w:val="en-US"/>
        </w:rPr>
        <w:t xml:space="preserve"> impairment loss was identified or recorded for </w:t>
      </w:r>
      <w:r w:rsidR="0050660A" w:rsidRPr="005E3986">
        <w:rPr>
          <w:rFonts w:ascii="Arial" w:eastAsia="Arial" w:hAnsi="Arial" w:cs="Arial"/>
          <w:lang w:val="en-US"/>
        </w:rPr>
        <w:t>2025</w:t>
      </w:r>
      <w:r w:rsidR="005862B6" w:rsidRPr="005E3986">
        <w:rPr>
          <w:rFonts w:ascii="Arial" w:eastAsia="Arial" w:hAnsi="Arial" w:cs="Arial"/>
          <w:lang w:val="en-US"/>
        </w:rPr>
        <w:t xml:space="preserve">, </w:t>
      </w:r>
      <w:r w:rsidR="0050660A" w:rsidRPr="005E3986">
        <w:rPr>
          <w:rFonts w:ascii="Arial" w:eastAsia="Arial" w:hAnsi="Arial" w:cs="Arial"/>
          <w:lang w:val="en-US"/>
        </w:rPr>
        <w:t>2024</w:t>
      </w:r>
      <w:r w:rsidR="005862B6" w:rsidRPr="005E3986">
        <w:rPr>
          <w:rFonts w:ascii="Arial" w:eastAsia="Arial" w:hAnsi="Arial" w:cs="Arial"/>
          <w:lang w:val="en-US"/>
        </w:rPr>
        <w:t xml:space="preserve"> and </w:t>
      </w:r>
      <w:r w:rsidR="0050660A" w:rsidRPr="005E3986">
        <w:rPr>
          <w:rFonts w:ascii="Arial" w:eastAsia="Arial" w:hAnsi="Arial" w:cs="Arial"/>
          <w:lang w:val="en-US"/>
        </w:rPr>
        <w:t>2023</w:t>
      </w:r>
      <w:r w:rsidR="005862B6" w:rsidRPr="005E3986">
        <w:rPr>
          <w:rFonts w:ascii="Arial" w:eastAsia="Arial" w:hAnsi="Arial" w:cs="Arial"/>
          <w:lang w:val="en-US"/>
        </w:rPr>
        <w:t xml:space="preserve"> and the Company has not identified any facts or circumstances that would require the write down of the value of its land or building.</w:t>
      </w:r>
    </w:p>
    <w:bookmarkEnd w:id="427"/>
    <w:p w14:paraId="71F3F655" w14:textId="77777777" w:rsidR="00DC24FC" w:rsidRPr="005E3986"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56" w14:textId="77777777" w:rsidR="00DC24FC" w:rsidRPr="00720696" w:rsidRDefault="003A4815" w:rsidP="00D01D20">
      <w:pPr>
        <w:pStyle w:val="Notesbody"/>
        <w:numPr>
          <w:ilvl w:val="0"/>
          <w:numId w:val="24"/>
        </w:numPr>
        <w:pBdr>
          <w:top w:val="nil"/>
          <w:left w:val="nil"/>
          <w:bottom w:val="nil"/>
          <w:right w:val="nil"/>
          <w:between w:val="nil"/>
          <w:bar w:val="nil"/>
        </w:pBdr>
        <w:ind w:left="567" w:hanging="567"/>
        <w:rPr>
          <w:rFonts w:ascii="Arial" w:eastAsia="Arial" w:hAnsi="Arial" w:cs="Arial"/>
          <w:bdr w:val="nil"/>
        </w:rPr>
      </w:pPr>
      <w:bookmarkStart w:id="436" w:name="XBRL_TS_2e9c03ab1c654bf48e04d9d041c558b8"/>
      <w:r w:rsidRPr="00720696">
        <w:rPr>
          <w:rStyle w:val="Heading2Char"/>
          <w:rFonts w:ascii="Arial" w:eastAsia="Arial" w:hAnsi="Arial" w:cs="Arial"/>
          <w:iCs w:val="0"/>
          <w:sz w:val="22"/>
          <w:szCs w:val="22"/>
          <w:lang w:eastAsia="el-GR"/>
        </w:rPr>
        <w:t>Vessel Depreciation</w:t>
      </w:r>
      <w:r w:rsidRPr="00720696">
        <w:rPr>
          <w:rFonts w:ascii="Arial" w:eastAsia="Arial" w:hAnsi="Arial" w:cs="Arial"/>
          <w:b/>
          <w:i/>
          <w:szCs w:val="20"/>
          <w:lang w:eastAsia="el-GR"/>
        </w:rPr>
        <w:t xml:space="preserve">: </w:t>
      </w:r>
      <w:r w:rsidRPr="00720696">
        <w:rPr>
          <w:rFonts w:ascii="Arial" w:eastAsia="Arial" w:hAnsi="Arial" w:cs="Arial"/>
          <w:szCs w:val="20"/>
          <w:lang w:eastAsia="el-GR"/>
        </w:rPr>
        <w:t xml:space="preserve">Depreciation is </w:t>
      </w:r>
      <w:r w:rsidR="00FE1407">
        <w:rPr>
          <w:rFonts w:ascii="Arial" w:eastAsia="Arial" w:hAnsi="Arial" w:cs="Arial"/>
          <w:szCs w:val="20"/>
          <w:lang w:eastAsia="el-GR"/>
        </w:rPr>
        <w:t>calculated</w:t>
      </w:r>
      <w:r w:rsidRPr="00720696">
        <w:rPr>
          <w:rFonts w:ascii="Arial" w:eastAsia="Arial" w:hAnsi="Arial" w:cs="Arial"/>
          <w:szCs w:val="20"/>
          <w:lang w:eastAsia="el-GR"/>
        </w:rPr>
        <w:t xml:space="preserve"> using the straight-line method over the estimated useful life of the vessels, after considering the estimated salvage (scrap) value</w:t>
      </w:r>
      <w:r w:rsidR="00F95372" w:rsidRPr="00720696">
        <w:rPr>
          <w:rFonts w:ascii="Arial" w:eastAsia="Arial" w:hAnsi="Arial" w:cs="Arial"/>
          <w:szCs w:val="20"/>
          <w:lang w:eastAsia="el-GR"/>
        </w:rPr>
        <w:t xml:space="preserve">. </w:t>
      </w:r>
      <w:r w:rsidR="00FE1407">
        <w:rPr>
          <w:rFonts w:ascii="Arial" w:eastAsia="Arial" w:hAnsi="Arial" w:cs="Arial"/>
          <w:szCs w:val="20"/>
          <w:lang w:eastAsia="el-GR"/>
        </w:rPr>
        <w:t>The</w:t>
      </w:r>
      <w:r w:rsidRPr="00720696">
        <w:rPr>
          <w:rFonts w:ascii="Arial" w:eastAsia="Arial" w:hAnsi="Arial" w:cs="Arial"/>
          <w:szCs w:val="20"/>
          <w:lang w:eastAsia="el-GR"/>
        </w:rPr>
        <w:t xml:space="preserve"> salvage value </w:t>
      </w:r>
      <w:r w:rsidR="00FE1407">
        <w:rPr>
          <w:rFonts w:ascii="Arial" w:eastAsia="Arial" w:hAnsi="Arial" w:cs="Arial"/>
          <w:szCs w:val="20"/>
          <w:lang w:eastAsia="el-GR"/>
        </w:rPr>
        <w:t xml:space="preserve">of a vessel is estimated as </w:t>
      </w:r>
      <w:r w:rsidRPr="00720696">
        <w:rPr>
          <w:rFonts w:ascii="Arial" w:eastAsia="Arial" w:hAnsi="Arial" w:cs="Arial"/>
          <w:szCs w:val="20"/>
          <w:lang w:eastAsia="el-GR"/>
        </w:rPr>
        <w:t xml:space="preserve">the product of its lightweight tonnage and </w:t>
      </w:r>
      <w:r w:rsidR="00FE1407">
        <w:rPr>
          <w:rFonts w:ascii="Arial" w:eastAsia="Arial" w:hAnsi="Arial" w:cs="Arial"/>
          <w:szCs w:val="20"/>
          <w:lang w:eastAsia="el-GR"/>
        </w:rPr>
        <w:t xml:space="preserve">the applicable </w:t>
      </w:r>
      <w:r w:rsidRPr="00720696">
        <w:rPr>
          <w:rFonts w:ascii="Arial" w:eastAsia="Arial" w:hAnsi="Arial" w:cs="Arial"/>
          <w:szCs w:val="20"/>
          <w:lang w:eastAsia="el-GR"/>
        </w:rPr>
        <w:t xml:space="preserve">scrap </w:t>
      </w:r>
      <w:r w:rsidR="00FE1407">
        <w:rPr>
          <w:rFonts w:ascii="Arial" w:eastAsia="Arial" w:hAnsi="Arial" w:cs="Arial"/>
          <w:szCs w:val="20"/>
          <w:lang w:eastAsia="el-GR"/>
        </w:rPr>
        <w:t>value</w:t>
      </w:r>
      <w:r w:rsidRPr="00720696">
        <w:rPr>
          <w:rFonts w:ascii="Arial" w:eastAsia="Arial" w:hAnsi="Arial" w:cs="Arial"/>
          <w:szCs w:val="20"/>
          <w:lang w:eastAsia="el-GR"/>
        </w:rPr>
        <w:t xml:space="preserve">. Management estimates the useful life of the Company’s vessels to be </w:t>
      </w:r>
      <w:bookmarkStart w:id="437" w:name="XBRL_CS_21dc21a853a3486392c439019d94d465"/>
      <w:r w:rsidRPr="00720696">
        <w:rPr>
          <w:rFonts w:ascii="Arial" w:eastAsia="Arial" w:hAnsi="Arial" w:cs="Arial"/>
          <w:szCs w:val="20"/>
          <w:lang w:eastAsia="el-GR"/>
        </w:rPr>
        <w:t>25 years</w:t>
      </w:r>
      <w:bookmarkEnd w:id="437"/>
      <w:r w:rsidRPr="00720696">
        <w:rPr>
          <w:rFonts w:ascii="Arial" w:eastAsia="Arial" w:hAnsi="Arial" w:cs="Arial"/>
          <w:szCs w:val="20"/>
          <w:lang w:eastAsia="el-GR"/>
        </w:rPr>
        <w:t xml:space="preserve"> from the date of initial delivery from the shipyard. Second</w:t>
      </w:r>
      <w:r w:rsidR="00FE0452" w:rsidRPr="00720696">
        <w:rPr>
          <w:rFonts w:ascii="Arial" w:eastAsia="Arial" w:hAnsi="Arial" w:cs="Arial"/>
          <w:szCs w:val="20"/>
          <w:lang w:eastAsia="el-GR"/>
        </w:rPr>
        <w:t>-</w:t>
      </w:r>
      <w:r w:rsidRPr="00720696">
        <w:rPr>
          <w:rFonts w:ascii="Arial" w:eastAsia="Arial" w:hAnsi="Arial" w:cs="Arial"/>
          <w:szCs w:val="20"/>
          <w:lang w:eastAsia="el-GR"/>
        </w:rPr>
        <w:t xml:space="preserve">hand vessels are depreciated from the date of their acquisition through their remaining estimated useful life. When </w:t>
      </w:r>
      <w:r w:rsidR="00FE1407">
        <w:rPr>
          <w:rFonts w:ascii="Arial" w:eastAsia="Arial" w:hAnsi="Arial" w:cs="Arial"/>
          <w:szCs w:val="20"/>
          <w:lang w:eastAsia="el-GR"/>
        </w:rPr>
        <w:t xml:space="preserve">newly adopted </w:t>
      </w:r>
      <w:r w:rsidRPr="00720696">
        <w:rPr>
          <w:rFonts w:ascii="Arial" w:eastAsia="Arial" w:hAnsi="Arial" w:cs="Arial"/>
          <w:szCs w:val="20"/>
          <w:lang w:eastAsia="el-GR"/>
        </w:rPr>
        <w:t xml:space="preserve">regulations </w:t>
      </w:r>
      <w:r w:rsidR="00FE1407">
        <w:rPr>
          <w:rFonts w:ascii="Arial" w:eastAsia="Arial" w:hAnsi="Arial" w:cs="Arial"/>
          <w:szCs w:val="20"/>
          <w:lang w:eastAsia="el-GR"/>
        </w:rPr>
        <w:t xml:space="preserve">restrict the </w:t>
      </w:r>
      <w:r w:rsidRPr="00720696">
        <w:rPr>
          <w:rFonts w:ascii="Arial" w:eastAsia="Arial" w:hAnsi="Arial" w:cs="Arial"/>
          <w:szCs w:val="20"/>
          <w:lang w:eastAsia="el-GR"/>
        </w:rPr>
        <w:t>vessel</w:t>
      </w:r>
      <w:r w:rsidR="00FE1407">
        <w:rPr>
          <w:rFonts w:ascii="Arial" w:eastAsia="Arial" w:hAnsi="Arial" w:cs="Arial"/>
          <w:szCs w:val="20"/>
          <w:lang w:eastAsia="el-GR"/>
        </w:rPr>
        <w:t>’s ability</w:t>
      </w:r>
      <w:r w:rsidRPr="00720696">
        <w:rPr>
          <w:rFonts w:ascii="Arial" w:eastAsia="Arial" w:hAnsi="Arial" w:cs="Arial"/>
          <w:szCs w:val="20"/>
          <w:lang w:eastAsia="el-GR"/>
        </w:rPr>
        <w:t xml:space="preserve"> to trade on a worldwide basis, </w:t>
      </w:r>
      <w:r w:rsidR="00FE1407">
        <w:rPr>
          <w:rFonts w:ascii="Arial" w:eastAsia="Arial" w:hAnsi="Arial" w:cs="Arial"/>
          <w:szCs w:val="20"/>
          <w:lang w:eastAsia="el-GR"/>
        </w:rPr>
        <w:t xml:space="preserve">the vessel’s </w:t>
      </w:r>
      <w:r w:rsidRPr="00720696">
        <w:rPr>
          <w:rFonts w:ascii="Arial" w:eastAsia="Arial" w:hAnsi="Arial" w:cs="Arial"/>
          <w:szCs w:val="20"/>
          <w:lang w:eastAsia="el-GR"/>
        </w:rPr>
        <w:t xml:space="preserve">remaining useful life is </w:t>
      </w:r>
      <w:r w:rsidR="00FE1407">
        <w:rPr>
          <w:rFonts w:ascii="Arial" w:eastAsia="Arial" w:hAnsi="Arial" w:cs="Arial"/>
          <w:szCs w:val="20"/>
          <w:lang w:eastAsia="el-GR"/>
        </w:rPr>
        <w:t>revised as of</w:t>
      </w:r>
      <w:r w:rsidRPr="00720696">
        <w:rPr>
          <w:rFonts w:ascii="Arial" w:eastAsia="Arial" w:hAnsi="Arial" w:cs="Arial"/>
          <w:szCs w:val="20"/>
          <w:lang w:eastAsia="el-GR"/>
        </w:rPr>
        <w:t xml:space="preserve"> the date such regulations are adopted.</w:t>
      </w:r>
      <w:r w:rsidR="00FE0452" w:rsidRPr="00720696">
        <w:rPr>
          <w:rFonts w:ascii="Arial" w:eastAsia="Arial" w:hAnsi="Arial" w:cs="Arial"/>
          <w:szCs w:val="20"/>
          <w:lang w:eastAsia="el-GR"/>
        </w:rPr>
        <w:t xml:space="preserve"> </w:t>
      </w:r>
      <w:bookmarkStart w:id="438" w:name="XBRL_CS_a82019494eab49beab7a05815b6712f8"/>
      <w:r w:rsidR="00FE0452" w:rsidRPr="00720696">
        <w:rPr>
          <w:rFonts w:ascii="Arial" w:eastAsia="Arial" w:hAnsi="Arial" w:cs="Arial"/>
          <w:bdr w:val="none" w:sz="0" w:space="0" w:color="auto" w:frame="1"/>
          <w:lang w:eastAsia="el-GR"/>
        </w:rPr>
        <w:t xml:space="preserve">Effective July 1, 2023, the </w:t>
      </w:r>
      <w:r w:rsidR="00FE0452" w:rsidRPr="00720696">
        <w:rPr>
          <w:rFonts w:ascii="Arial" w:eastAsia="Arial" w:hAnsi="Arial" w:cs="Arial"/>
          <w:szCs w:val="20"/>
          <w:lang w:eastAsia="el-GR"/>
        </w:rPr>
        <w:t>Company</w:t>
      </w:r>
      <w:r w:rsidR="004865D4" w:rsidRPr="00720696">
        <w:rPr>
          <w:rFonts w:ascii="Arial" w:eastAsia="Arial" w:hAnsi="Arial" w:cs="Arial"/>
          <w:szCs w:val="20"/>
          <w:lang w:eastAsia="el-GR"/>
        </w:rPr>
        <w:t xml:space="preserve"> reassessed the scrap rate used </w:t>
      </w:r>
      <w:r w:rsidR="00FE1407">
        <w:rPr>
          <w:rFonts w:ascii="Arial" w:eastAsia="Arial" w:hAnsi="Arial" w:cs="Arial"/>
          <w:szCs w:val="20"/>
          <w:lang w:eastAsia="el-GR"/>
        </w:rPr>
        <w:t>in determining salvage values. B</w:t>
      </w:r>
      <w:r w:rsidR="004865D4" w:rsidRPr="00720696">
        <w:rPr>
          <w:rFonts w:ascii="Arial" w:eastAsia="Arial" w:hAnsi="Arial" w:cs="Arial"/>
          <w:szCs w:val="20"/>
          <w:lang w:eastAsia="el-GR"/>
        </w:rPr>
        <w:t xml:space="preserve">ased on the average demolition prices </w:t>
      </w:r>
      <w:r w:rsidR="00FE1407">
        <w:rPr>
          <w:rFonts w:ascii="Arial" w:eastAsia="Arial" w:hAnsi="Arial" w:cs="Arial"/>
          <w:szCs w:val="20"/>
          <w:lang w:eastAsia="el-GR"/>
        </w:rPr>
        <w:t xml:space="preserve">across major </w:t>
      </w:r>
      <w:r w:rsidR="004865D4" w:rsidRPr="00720696">
        <w:rPr>
          <w:rFonts w:ascii="Arial" w:eastAsia="Arial" w:hAnsi="Arial" w:cs="Arial"/>
          <w:szCs w:val="20"/>
          <w:lang w:eastAsia="el-GR"/>
        </w:rPr>
        <w:t xml:space="preserve">markets during the </w:t>
      </w:r>
      <w:r w:rsidR="00FE1407">
        <w:rPr>
          <w:rFonts w:ascii="Arial" w:eastAsia="Arial" w:hAnsi="Arial" w:cs="Arial"/>
          <w:szCs w:val="20"/>
          <w:lang w:eastAsia="el-GR"/>
        </w:rPr>
        <w:t xml:space="preserve">preceding </w:t>
      </w:r>
      <w:r w:rsidR="004865D4" w:rsidRPr="00720696">
        <w:rPr>
          <w:rFonts w:ascii="Arial" w:eastAsia="Arial" w:hAnsi="Arial" w:cs="Arial"/>
          <w:szCs w:val="20"/>
          <w:lang w:eastAsia="el-GR"/>
        </w:rPr>
        <w:t xml:space="preserve">15 years, </w:t>
      </w:r>
      <w:r w:rsidR="00FE1407">
        <w:rPr>
          <w:rFonts w:ascii="Arial" w:eastAsia="Arial" w:hAnsi="Arial" w:cs="Arial"/>
          <w:szCs w:val="20"/>
          <w:lang w:eastAsia="el-GR"/>
        </w:rPr>
        <w:t xml:space="preserve">the Company increased the </w:t>
      </w:r>
      <w:r w:rsidR="00FE0452" w:rsidRPr="00720696">
        <w:rPr>
          <w:rFonts w:ascii="Arial" w:eastAsia="Arial" w:hAnsi="Arial" w:cs="Arial"/>
          <w:szCs w:val="20"/>
          <w:lang w:eastAsia="el-GR"/>
        </w:rPr>
        <w:t>estimated scrap rate</w:t>
      </w:r>
      <w:r w:rsidR="004865D4" w:rsidRPr="00720696">
        <w:rPr>
          <w:rFonts w:ascii="Arial" w:eastAsia="Arial" w:hAnsi="Arial" w:cs="Arial"/>
          <w:szCs w:val="20"/>
          <w:lang w:eastAsia="el-GR"/>
        </w:rPr>
        <w:t xml:space="preserve">. This change in estimate </w:t>
      </w:r>
      <w:bookmarkEnd w:id="438"/>
      <w:r w:rsidR="004865D4" w:rsidRPr="00720696">
        <w:rPr>
          <w:rFonts w:ascii="Arial" w:eastAsia="Arial" w:hAnsi="Arial" w:cs="Arial"/>
          <w:szCs w:val="20"/>
          <w:lang w:eastAsia="el-GR"/>
        </w:rPr>
        <w:t xml:space="preserve">resulted in </w:t>
      </w:r>
      <w:r w:rsidR="00FE1407">
        <w:rPr>
          <w:rFonts w:ascii="Arial" w:eastAsia="Arial" w:hAnsi="Arial" w:cs="Arial"/>
          <w:szCs w:val="20"/>
          <w:lang w:eastAsia="el-GR"/>
        </w:rPr>
        <w:t xml:space="preserve">higher </w:t>
      </w:r>
      <w:r w:rsidR="00FE0452" w:rsidRPr="00720696">
        <w:rPr>
          <w:rFonts w:ascii="Arial" w:eastAsia="Arial" w:hAnsi="Arial" w:cs="Arial"/>
          <w:szCs w:val="20"/>
          <w:lang w:eastAsia="el-GR"/>
        </w:rPr>
        <w:t>salvage values</w:t>
      </w:r>
      <w:r w:rsidR="004865D4" w:rsidRPr="00720696">
        <w:rPr>
          <w:rFonts w:ascii="Arial" w:eastAsia="Arial" w:hAnsi="Arial" w:cs="Arial"/>
          <w:szCs w:val="20"/>
          <w:lang w:eastAsia="el-GR"/>
        </w:rPr>
        <w:t xml:space="preserve">, </w:t>
      </w:r>
      <w:r w:rsidR="00FE1407">
        <w:rPr>
          <w:rFonts w:ascii="Arial" w:eastAsia="Arial" w:hAnsi="Arial" w:cs="Arial"/>
          <w:bdr w:val="none" w:sz="0" w:space="0" w:color="auto" w:frame="1"/>
          <w:lang w:eastAsia="el-GR"/>
        </w:rPr>
        <w:t xml:space="preserve">lower </w:t>
      </w:r>
      <w:r w:rsidR="00FE0452" w:rsidRPr="00720696">
        <w:rPr>
          <w:rFonts w:ascii="Arial" w:eastAsia="Arial" w:hAnsi="Arial" w:cs="Arial"/>
          <w:bdr w:val="none" w:sz="0" w:space="0" w:color="auto" w:frame="1"/>
          <w:lang w:eastAsia="el-GR"/>
        </w:rPr>
        <w:t xml:space="preserve">depreciation </w:t>
      </w:r>
      <w:r w:rsidR="00FE0452" w:rsidRPr="00720696">
        <w:rPr>
          <w:rFonts w:ascii="Arial" w:eastAsia="Arial" w:hAnsi="Arial" w:cs="Arial"/>
          <w:lang w:eastAsia="el-GR"/>
        </w:rPr>
        <w:t>expense</w:t>
      </w:r>
      <w:r w:rsidRPr="00720696">
        <w:rPr>
          <w:rFonts w:ascii="Arial" w:eastAsia="Arial" w:hAnsi="Arial" w:cs="Arial"/>
          <w:lang w:eastAsia="el-GR"/>
        </w:rPr>
        <w:t xml:space="preserve"> and</w:t>
      </w:r>
      <w:r w:rsidR="00FE0452" w:rsidRPr="00720696">
        <w:rPr>
          <w:rFonts w:ascii="Arial" w:eastAsia="Arial" w:hAnsi="Arial" w:cs="Arial"/>
          <w:lang w:eastAsia="el-GR"/>
        </w:rPr>
        <w:t xml:space="preserve"> </w:t>
      </w:r>
      <w:r w:rsidR="00FE1407">
        <w:rPr>
          <w:rFonts w:ascii="Arial" w:eastAsia="Arial" w:hAnsi="Arial" w:cs="Arial"/>
          <w:lang w:eastAsia="el-GR"/>
        </w:rPr>
        <w:t xml:space="preserve">higher </w:t>
      </w:r>
      <w:r w:rsidR="00FE0452" w:rsidRPr="00720696">
        <w:rPr>
          <w:rFonts w:ascii="Arial" w:eastAsia="Arial" w:hAnsi="Arial" w:cs="Arial"/>
          <w:lang w:eastAsia="el-GR"/>
        </w:rPr>
        <w:t>operating income</w:t>
      </w:r>
      <w:r w:rsidR="004865D4" w:rsidRPr="00720696">
        <w:rPr>
          <w:rFonts w:ascii="Arial" w:eastAsia="Arial" w:hAnsi="Arial" w:cs="Arial"/>
          <w:lang w:eastAsia="el-GR"/>
        </w:rPr>
        <w:t>.</w:t>
      </w:r>
      <w:r w:rsidRPr="00720696">
        <w:rPr>
          <w:rFonts w:ascii="Arial" w:eastAsia="Arial" w:hAnsi="Arial" w:cs="Arial"/>
          <w:lang w:eastAsia="el-GR"/>
        </w:rPr>
        <w:t xml:space="preserve"> </w:t>
      </w:r>
      <w:r w:rsidR="00FE1407">
        <w:rPr>
          <w:rFonts w:ascii="Arial" w:eastAsia="Arial" w:hAnsi="Arial" w:cs="Arial"/>
          <w:lang w:eastAsia="el-GR"/>
        </w:rPr>
        <w:t>F</w:t>
      </w:r>
      <w:r w:rsidR="004865D4" w:rsidRPr="00720696">
        <w:rPr>
          <w:rFonts w:ascii="Arial" w:eastAsia="Arial" w:hAnsi="Arial" w:cs="Arial"/>
          <w:bdr w:val="none" w:sz="0" w:space="0" w:color="auto" w:frame="1"/>
          <w:lang w:eastAsia="el-GR"/>
        </w:rPr>
        <w:t>or the period from July 1, 2023 to December 31, 2023, n</w:t>
      </w:r>
      <w:r w:rsidR="00FE0452" w:rsidRPr="00720696">
        <w:rPr>
          <w:rFonts w:ascii="Arial" w:eastAsia="Arial" w:hAnsi="Arial" w:cs="Arial"/>
          <w:bdr w:val="none" w:sz="0" w:space="0" w:color="auto" w:frame="1"/>
          <w:lang w:eastAsia="el-GR"/>
        </w:rPr>
        <w:t>et income</w:t>
      </w:r>
      <w:r w:rsidR="004865D4" w:rsidRPr="00720696">
        <w:rPr>
          <w:rFonts w:ascii="Arial" w:eastAsia="Arial" w:hAnsi="Arial" w:cs="Arial"/>
          <w:bdr w:val="none" w:sz="0" w:space="0" w:color="auto" w:frame="1"/>
          <w:lang w:eastAsia="el-GR"/>
        </w:rPr>
        <w:t xml:space="preserve"> and </w:t>
      </w:r>
      <w:r w:rsidR="00FE1407">
        <w:rPr>
          <w:rFonts w:ascii="Arial" w:eastAsia="Arial" w:hAnsi="Arial" w:cs="Arial"/>
          <w:bdr w:val="none" w:sz="0" w:space="0" w:color="auto" w:frame="1"/>
          <w:lang w:eastAsia="el-GR"/>
        </w:rPr>
        <w:t xml:space="preserve">basic and diluted </w:t>
      </w:r>
      <w:r w:rsidR="004865D4" w:rsidRPr="00720696">
        <w:rPr>
          <w:rFonts w:ascii="Arial" w:eastAsia="Arial" w:hAnsi="Arial" w:cs="Arial"/>
          <w:bdr w:val="none" w:sz="0" w:space="0" w:color="auto" w:frame="1"/>
          <w:lang w:eastAsia="el-GR"/>
        </w:rPr>
        <w:t>earnings per share increased</w:t>
      </w:r>
      <w:r w:rsidR="00FE0452" w:rsidRPr="00720696">
        <w:rPr>
          <w:rFonts w:ascii="Arial" w:eastAsia="Arial" w:hAnsi="Arial" w:cs="Arial"/>
          <w:bdr w:val="none" w:sz="0" w:space="0" w:color="auto" w:frame="1"/>
          <w:lang w:eastAsia="el-GR"/>
        </w:rPr>
        <w:t xml:space="preserve"> by $</w:t>
      </w:r>
      <w:bookmarkStart w:id="439" w:name="XBRL_CS_ee7b33fbeb0b47e58d77478aa0c8ccd2"/>
      <w:r w:rsidR="00FE0452" w:rsidRPr="00720696">
        <w:rPr>
          <w:rFonts w:ascii="Arial" w:eastAsia="Arial" w:hAnsi="Arial" w:cs="Arial"/>
          <w:bdr w:val="none" w:sz="0" w:space="0" w:color="auto" w:frame="1"/>
          <w:lang w:eastAsia="el-GR"/>
        </w:rPr>
        <w:t>3,773</w:t>
      </w:r>
      <w:bookmarkEnd w:id="439"/>
      <w:r w:rsidR="00FE0452" w:rsidRPr="00720696">
        <w:rPr>
          <w:rFonts w:ascii="Arial" w:eastAsia="Arial" w:hAnsi="Arial" w:cs="Arial"/>
          <w:bdr w:val="none" w:sz="0" w:space="0" w:color="auto" w:frame="1"/>
          <w:lang w:eastAsia="el-GR"/>
        </w:rPr>
        <w:t xml:space="preserve"> </w:t>
      </w:r>
      <w:r w:rsidR="004865D4" w:rsidRPr="00720696">
        <w:rPr>
          <w:rFonts w:ascii="Arial" w:eastAsia="Arial" w:hAnsi="Arial" w:cs="Arial"/>
          <w:bdr w:val="none" w:sz="0" w:space="0" w:color="auto" w:frame="1"/>
          <w:lang w:eastAsia="el-GR"/>
        </w:rPr>
        <w:t xml:space="preserve">and </w:t>
      </w:r>
      <w:r w:rsidR="00FE0452" w:rsidRPr="00720696">
        <w:rPr>
          <w:rFonts w:ascii="Arial" w:eastAsia="Arial" w:hAnsi="Arial" w:cs="Arial"/>
          <w:bdr w:val="none" w:sz="0" w:space="0" w:color="auto" w:frame="1"/>
          <w:lang w:eastAsia="el-GR"/>
        </w:rPr>
        <w:t>$</w:t>
      </w:r>
      <w:bookmarkStart w:id="440" w:name="XBRL_CS_2d54e3e0551a4f139c5a4f9c194ece2d"/>
      <w:bookmarkStart w:id="441" w:name="XBRL_CS_3fd3ccd21882400ea8869b9a4e49e337"/>
      <w:r w:rsidR="00FE0452" w:rsidRPr="00720696">
        <w:rPr>
          <w:rFonts w:ascii="Arial" w:eastAsia="Arial" w:hAnsi="Arial" w:cs="Arial"/>
          <w:bdr w:val="none" w:sz="0" w:space="0" w:color="auto" w:frame="1"/>
          <w:lang w:eastAsia="el-GR"/>
        </w:rPr>
        <w:t>0.04</w:t>
      </w:r>
      <w:bookmarkEnd w:id="440"/>
      <w:bookmarkEnd w:id="441"/>
      <w:r w:rsidR="004865D4" w:rsidRPr="00720696">
        <w:rPr>
          <w:rFonts w:ascii="Arial" w:eastAsia="Arial" w:hAnsi="Arial" w:cs="Arial"/>
          <w:bdr w:val="none" w:sz="0" w:space="0" w:color="auto" w:frame="1"/>
          <w:lang w:eastAsia="el-GR"/>
        </w:rPr>
        <w:t>, respectively.</w:t>
      </w:r>
    </w:p>
    <w:bookmarkEnd w:id="436"/>
    <w:p w14:paraId="71F3F657" w14:textId="77777777" w:rsidR="00D143A5" w:rsidRPr="00720696" w:rsidRDefault="00D143A5"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58" w14:textId="77777777" w:rsidR="00DC24FC"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2" w:name="XBRL_TS_14ddde107fbb4cbf83cefc0fc73c56b2"/>
      <w:r w:rsidRPr="00720696">
        <w:rPr>
          <w:rStyle w:val="Heading2Char"/>
          <w:rFonts w:ascii="Arial" w:eastAsia="Arial" w:hAnsi="Arial" w:cs="Arial"/>
          <w:iCs w:val="0"/>
          <w:color w:val="auto"/>
          <w:sz w:val="22"/>
          <w:szCs w:val="22"/>
          <w:lang w:val="en-US"/>
        </w:rPr>
        <w:t>Deferred</w:t>
      </w:r>
      <w:r w:rsidR="002F510E" w:rsidRPr="00720696">
        <w:rPr>
          <w:rStyle w:val="Heading2Char"/>
          <w:rFonts w:ascii="Arial" w:eastAsia="Arial" w:hAnsi="Arial" w:cs="Arial"/>
          <w:iCs w:val="0"/>
          <w:color w:val="auto"/>
          <w:sz w:val="22"/>
          <w:szCs w:val="22"/>
          <w:lang w:val="en-US"/>
        </w:rPr>
        <w:t xml:space="preserve"> Costs</w:t>
      </w:r>
      <w:r w:rsidR="002F510E" w:rsidRPr="00720696">
        <w:rPr>
          <w:rFonts w:ascii="Arial" w:eastAsia="Arial" w:hAnsi="Arial" w:cs="Arial"/>
          <w:lang w:val="en-US"/>
        </w:rPr>
        <w:t xml:space="preserve">: The Company follows the deferral method of accounting for dry-docking </w:t>
      </w:r>
      <w:r w:rsidRPr="00720696">
        <w:rPr>
          <w:rFonts w:ascii="Arial" w:eastAsia="Arial" w:hAnsi="Arial" w:cs="Arial"/>
          <w:lang w:val="en-US"/>
        </w:rPr>
        <w:t xml:space="preserve">and special survey </w:t>
      </w:r>
      <w:r w:rsidR="002F510E" w:rsidRPr="00720696">
        <w:rPr>
          <w:rFonts w:ascii="Arial" w:eastAsia="Arial" w:hAnsi="Arial" w:cs="Arial"/>
          <w:lang w:val="en-US"/>
        </w:rPr>
        <w:t>costs</w:t>
      </w:r>
      <w:r w:rsidR="007B722E">
        <w:rPr>
          <w:rFonts w:ascii="Arial" w:eastAsia="Arial" w:hAnsi="Arial" w:cs="Arial"/>
          <w:lang w:val="en-US"/>
        </w:rPr>
        <w:t xml:space="preserve">. Under this method, </w:t>
      </w:r>
      <w:r w:rsidR="002F510E" w:rsidRPr="00720696">
        <w:rPr>
          <w:rFonts w:ascii="Arial" w:eastAsia="Arial" w:hAnsi="Arial" w:cs="Arial"/>
          <w:lang w:val="en-US"/>
        </w:rPr>
        <w:t>actual</w:t>
      </w:r>
      <w:r w:rsidR="002F510E" w:rsidRPr="003F6D2E">
        <w:rPr>
          <w:rFonts w:ascii="Arial" w:eastAsia="Arial" w:hAnsi="Arial" w:cs="Arial"/>
          <w:lang w:val="en-US"/>
        </w:rPr>
        <w:t xml:space="preserve"> costs incurred are </w:t>
      </w:r>
      <w:r w:rsidR="007B722E">
        <w:rPr>
          <w:rFonts w:ascii="Arial" w:eastAsia="Arial" w:hAnsi="Arial" w:cs="Arial"/>
          <w:lang w:val="en-US"/>
        </w:rPr>
        <w:t xml:space="preserve">capitalized </w:t>
      </w:r>
      <w:r w:rsidR="002F510E" w:rsidRPr="003F6D2E">
        <w:rPr>
          <w:rFonts w:ascii="Arial" w:eastAsia="Arial" w:hAnsi="Arial" w:cs="Arial"/>
          <w:lang w:val="en-US"/>
        </w:rPr>
        <w:t xml:space="preserve">and amortized on a straight-line basis over the period through the date the next </w:t>
      </w:r>
      <w:r w:rsidR="007B722E">
        <w:rPr>
          <w:rFonts w:ascii="Arial" w:eastAsia="Arial" w:hAnsi="Arial" w:cs="Arial"/>
          <w:lang w:val="en-US"/>
        </w:rPr>
        <w:t xml:space="preserve">scheduled </w:t>
      </w:r>
      <w:r w:rsidRPr="003F6D2E">
        <w:rPr>
          <w:rFonts w:ascii="Arial" w:eastAsia="Arial" w:hAnsi="Arial" w:cs="Arial"/>
          <w:lang w:val="en-US"/>
        </w:rPr>
        <w:t>survey</w:t>
      </w:r>
      <w:r w:rsidR="002F510E" w:rsidRPr="003F6D2E">
        <w:rPr>
          <w:rFonts w:ascii="Arial" w:eastAsia="Arial" w:hAnsi="Arial" w:cs="Arial"/>
          <w:lang w:val="en-US"/>
        </w:rPr>
        <w:t xml:space="preserve"> is </w:t>
      </w:r>
      <w:r w:rsidR="007B722E">
        <w:rPr>
          <w:rFonts w:ascii="Arial" w:eastAsia="Arial" w:hAnsi="Arial" w:cs="Arial"/>
          <w:lang w:val="en-US"/>
        </w:rPr>
        <w:t xml:space="preserve">expected </w:t>
      </w:r>
      <w:r w:rsidR="002F510E" w:rsidRPr="003F6D2E">
        <w:rPr>
          <w:rFonts w:ascii="Arial" w:eastAsia="Arial" w:hAnsi="Arial" w:cs="Arial"/>
          <w:lang w:val="en-US"/>
        </w:rPr>
        <w:t xml:space="preserve">to become due. Unamortized </w:t>
      </w:r>
      <w:r w:rsidRPr="003F6D2E">
        <w:rPr>
          <w:rFonts w:ascii="Arial" w:eastAsia="Arial" w:hAnsi="Arial" w:cs="Arial"/>
          <w:lang w:val="en-US"/>
        </w:rPr>
        <w:t>deferred</w:t>
      </w:r>
      <w:r w:rsidR="002F510E" w:rsidRPr="003F6D2E">
        <w:rPr>
          <w:rFonts w:ascii="Arial" w:eastAsia="Arial" w:hAnsi="Arial" w:cs="Arial"/>
          <w:lang w:val="en-US"/>
        </w:rPr>
        <w:t xml:space="preserve"> </w:t>
      </w:r>
      <w:r w:rsidR="007B722E">
        <w:rPr>
          <w:rFonts w:ascii="Arial" w:eastAsia="Arial" w:hAnsi="Arial" w:cs="Arial"/>
          <w:lang w:val="en-US"/>
        </w:rPr>
        <w:t xml:space="preserve">dry-docking or special survey costs related to </w:t>
      </w:r>
      <w:r w:rsidR="002F510E" w:rsidRPr="003F6D2E">
        <w:rPr>
          <w:rFonts w:ascii="Arial" w:eastAsia="Arial" w:hAnsi="Arial" w:cs="Arial"/>
          <w:lang w:val="en-US"/>
        </w:rPr>
        <w:t xml:space="preserve">vessels that are sold or impaired are written off and included in the </w:t>
      </w:r>
      <w:r w:rsidR="007B722E">
        <w:rPr>
          <w:rFonts w:ascii="Arial" w:eastAsia="Arial" w:hAnsi="Arial" w:cs="Arial"/>
          <w:lang w:val="en-US"/>
        </w:rPr>
        <w:t xml:space="preserve">determination </w:t>
      </w:r>
      <w:r w:rsidR="002F510E" w:rsidRPr="003F6D2E">
        <w:rPr>
          <w:rFonts w:ascii="Arial" w:eastAsia="Arial" w:hAnsi="Arial" w:cs="Arial"/>
          <w:lang w:val="en-US"/>
        </w:rPr>
        <w:t xml:space="preserve">of the gain or loss </w:t>
      </w:r>
      <w:r w:rsidR="007B722E">
        <w:rPr>
          <w:rFonts w:ascii="Arial" w:eastAsia="Arial" w:hAnsi="Arial" w:cs="Arial"/>
          <w:lang w:val="en-US"/>
        </w:rPr>
        <w:t>on the vessel’s sale</w:t>
      </w:r>
      <w:r w:rsidR="0051181D">
        <w:rPr>
          <w:rFonts w:ascii="Arial" w:eastAsia="Arial" w:hAnsi="Arial" w:cs="Arial"/>
          <w:lang w:val="en-US"/>
        </w:rPr>
        <w:t xml:space="preserve"> </w:t>
      </w:r>
      <w:r w:rsidRPr="003F6D2E">
        <w:rPr>
          <w:rFonts w:ascii="Arial" w:eastAsia="Arial" w:hAnsi="Arial" w:cs="Arial"/>
          <w:lang w:val="en-US"/>
        </w:rPr>
        <w:t xml:space="preserve">(Note 6) </w:t>
      </w:r>
      <w:r w:rsidR="002F510E" w:rsidRPr="003F6D2E">
        <w:rPr>
          <w:rFonts w:ascii="Arial" w:eastAsia="Arial" w:hAnsi="Arial" w:cs="Arial"/>
          <w:lang w:val="en-US"/>
        </w:rPr>
        <w:t>or impairment.</w:t>
      </w:r>
    </w:p>
    <w:bookmarkEnd w:id="442"/>
    <w:p w14:paraId="71F3F659" w14:textId="77777777" w:rsidR="002D67F2" w:rsidRPr="00D313BF" w:rsidRDefault="002D67F2"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5A" w14:textId="77777777" w:rsidR="00812EA2" w:rsidRPr="00812EA2" w:rsidRDefault="003A4815" w:rsidP="00812EA2">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3" w:name="XBRL_TS_60436da5647f432382b57672f487ab51"/>
      <w:r w:rsidRPr="007A157D">
        <w:rPr>
          <w:rStyle w:val="Heading2Char"/>
          <w:rFonts w:ascii="Arial" w:eastAsia="Arial" w:hAnsi="Arial" w:cs="Arial"/>
          <w:iCs w:val="0"/>
          <w:color w:val="auto"/>
          <w:sz w:val="22"/>
          <w:szCs w:val="22"/>
          <w:lang w:val="en-US"/>
        </w:rPr>
        <w:t>Financing Costs</w:t>
      </w:r>
      <w:r w:rsidRPr="007A157D">
        <w:rPr>
          <w:rFonts w:ascii="Arial" w:eastAsia="Arial" w:hAnsi="Arial" w:cs="Arial"/>
          <w:lang w:val="en-US"/>
        </w:rPr>
        <w:t>: Fees and costs incurred in connection with obtaining new loans, refinancing existing loans, issuing bonds, or amending existing debt agreements are deferred and presented as a contra</w:t>
      </w:r>
      <w:r w:rsidRPr="007A157D">
        <w:rPr>
          <w:rFonts w:ascii="Arial" w:eastAsia="Arial" w:hAnsi="Arial" w:cs="Arial"/>
          <w:lang w:val="en-US"/>
        </w:rPr>
        <w:noBreakHyphen/>
        <w:t>liability to the related debt in accordance with ASC 835</w:t>
      </w:r>
      <w:r w:rsidRPr="007A157D">
        <w:rPr>
          <w:rFonts w:ascii="Arial" w:eastAsia="Arial" w:hAnsi="Arial" w:cs="Arial"/>
          <w:lang w:val="en-US"/>
        </w:rPr>
        <w:noBreakHyphen/>
        <w:t xml:space="preserve">30. These amounts are amortized to interest and finance costs over the life of the related financing arrangement using the effective interest method. </w:t>
      </w:r>
      <w:r w:rsidRPr="00812EA2">
        <w:rPr>
          <w:rFonts w:ascii="Arial" w:eastAsia="Arial" w:hAnsi="Arial" w:cs="Arial"/>
          <w:lang w:val="en-US"/>
        </w:rPr>
        <w:t xml:space="preserve">Fees paid for undrawn loan facilities are deferred </w:t>
      </w:r>
      <w:r w:rsidR="0001676F">
        <w:rPr>
          <w:rFonts w:ascii="Arial" w:eastAsia="Arial" w:hAnsi="Arial" w:cs="Arial"/>
          <w:lang w:val="en-US"/>
        </w:rPr>
        <w:t>and</w:t>
      </w:r>
      <w:r w:rsidRPr="00812EA2">
        <w:rPr>
          <w:rFonts w:ascii="Arial" w:eastAsia="Arial" w:hAnsi="Arial" w:cs="Arial"/>
          <w:lang w:val="en-US"/>
        </w:rPr>
        <w:t xml:space="preserve"> are amortized on a straight</w:t>
      </w:r>
      <w:r w:rsidRPr="00812EA2">
        <w:rPr>
          <w:rFonts w:ascii="Arial" w:eastAsia="Arial" w:hAnsi="Arial" w:cs="Arial"/>
          <w:lang w:val="en-US"/>
        </w:rPr>
        <w:noBreakHyphen/>
        <w:t>line basis over the commitment period, which approximates the effective interest method.</w:t>
      </w:r>
      <w:r w:rsidRPr="007A157D">
        <w:rPr>
          <w:rFonts w:ascii="Arial" w:eastAsia="Arial" w:hAnsi="Arial" w:cs="Arial"/>
          <w:lang w:val="en-US"/>
        </w:rPr>
        <w:t xml:space="preserve"> </w:t>
      </w:r>
      <w:r w:rsidRPr="00812EA2">
        <w:rPr>
          <w:rFonts w:ascii="Arial" w:eastAsia="Arial" w:hAnsi="Arial" w:cs="Arial"/>
          <w:lang w:val="en-US"/>
        </w:rPr>
        <w:t>If a debt transaction is accounted for as a debt extinguishment under ASC 470</w:t>
      </w:r>
      <w:r w:rsidRPr="00812EA2">
        <w:rPr>
          <w:rFonts w:ascii="Arial" w:eastAsia="Arial" w:hAnsi="Arial" w:cs="Arial"/>
          <w:lang w:val="en-US"/>
        </w:rPr>
        <w:noBreakHyphen/>
        <w:t>50, any unamortized deferred financing costs related to the repaid or extinguished debt are written off in the period of extinguishment and included in gain/loss on debt extinguishment. If a refinancing is accounted for as a modification, unamortized fees continue to be amortized over the revised term of the debt.</w:t>
      </w:r>
      <w:r w:rsidR="007A157D" w:rsidRPr="007A157D">
        <w:rPr>
          <w:rFonts w:ascii="Arial" w:eastAsia="Arial" w:hAnsi="Arial" w:cs="Arial"/>
          <w:lang w:val="en-US"/>
        </w:rPr>
        <w:t xml:space="preserve"> </w:t>
      </w:r>
      <w:r w:rsidRPr="00812EA2">
        <w:rPr>
          <w:rFonts w:ascii="Arial" w:eastAsia="Arial" w:hAnsi="Arial" w:cs="Arial"/>
          <w:lang w:val="en-US"/>
        </w:rPr>
        <w:t>Loan commitment fees are expensed as incurred unless they relate to financing obtained for vessels under construction, in which case they are capitalized as part of the vessels’ construction cost in accordance with ASC 835</w:t>
      </w:r>
      <w:r w:rsidRPr="00812EA2">
        <w:rPr>
          <w:rFonts w:ascii="Arial" w:eastAsia="Arial" w:hAnsi="Arial" w:cs="Arial"/>
          <w:lang w:val="en-US"/>
        </w:rPr>
        <w:noBreakHyphen/>
        <w:t>20.</w:t>
      </w:r>
    </w:p>
    <w:bookmarkEnd w:id="443"/>
    <w:p w14:paraId="71F3F65B" w14:textId="77777777" w:rsidR="004E44D2" w:rsidRPr="00D313BF" w:rsidRDefault="004E44D2" w:rsidP="00DA3BC8">
      <w:pPr>
        <w:pBdr>
          <w:top w:val="nil"/>
          <w:left w:val="nil"/>
          <w:bottom w:val="nil"/>
          <w:right w:val="nil"/>
          <w:between w:val="nil"/>
          <w:bar w:val="nil"/>
        </w:pBdr>
        <w:jc w:val="both"/>
        <w:rPr>
          <w:rFonts w:ascii="Arial" w:eastAsia="Arial" w:hAnsi="Arial" w:cs="Arial"/>
          <w:bdr w:val="nil"/>
          <w:lang w:val="en-US"/>
        </w:rPr>
      </w:pPr>
    </w:p>
    <w:p w14:paraId="71F3F65C" w14:textId="77777777" w:rsidR="00C321CD" w:rsidRPr="00452DAD" w:rsidRDefault="003A4815" w:rsidP="00452DAD">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4" w:name="XBRL_TS_a67de892e8454463a52ab70ec36258d9"/>
      <w:r w:rsidRPr="00452DAD">
        <w:rPr>
          <w:rStyle w:val="Heading2Char"/>
          <w:rFonts w:ascii="Arial" w:eastAsia="Arial" w:hAnsi="Arial" w:cs="Arial"/>
          <w:iCs w:val="0"/>
          <w:color w:val="auto"/>
          <w:sz w:val="22"/>
          <w:szCs w:val="22"/>
          <w:lang w:val="en-US"/>
        </w:rPr>
        <w:t>Accounting for Revenues and Expenses</w:t>
      </w:r>
      <w:r w:rsidRPr="00452DAD">
        <w:rPr>
          <w:rFonts w:ascii="Arial" w:eastAsia="Arial" w:hAnsi="Arial" w:cs="Arial"/>
          <w:b/>
          <w:i/>
          <w:lang w:val="en-US"/>
        </w:rPr>
        <w:t xml:space="preserve">: </w:t>
      </w:r>
      <w:r w:rsidR="00452DAD" w:rsidRPr="00452DAD">
        <w:rPr>
          <w:rFonts w:ascii="Arial" w:eastAsia="Arial" w:hAnsi="Arial" w:cs="Arial"/>
          <w:lang w:val="en-US"/>
        </w:rPr>
        <w:t xml:space="preserve">The Company </w:t>
      </w:r>
      <w:r w:rsidR="00021EB1">
        <w:rPr>
          <w:rFonts w:ascii="Arial" w:eastAsia="Arial" w:hAnsi="Arial" w:cs="Arial"/>
          <w:lang w:val="en-US"/>
        </w:rPr>
        <w:t>enters into short- to medium-term time charter agreements, under which the charterer pays a fixed daily rate. Charter hire is usually paid 15 days in advance. R</w:t>
      </w:r>
      <w:r w:rsidR="00452DAD" w:rsidRPr="00452DAD">
        <w:rPr>
          <w:rFonts w:ascii="Arial" w:eastAsia="Arial" w:hAnsi="Arial" w:cs="Arial"/>
          <w:lang w:val="en-US"/>
        </w:rPr>
        <w:t xml:space="preserve">evenues from time charter agreements constitute operating leases under ASC 842. A time charter contract contains a lease because (i) each vessel is an identifiable asset, (ii) the </w:t>
      </w:r>
      <w:r w:rsidR="00E843ED">
        <w:rPr>
          <w:rFonts w:ascii="Arial" w:eastAsia="Arial" w:hAnsi="Arial" w:cs="Arial"/>
          <w:lang w:val="en-US"/>
        </w:rPr>
        <w:t>owner of the vessel</w:t>
      </w:r>
      <w:r w:rsidR="00452DAD" w:rsidRPr="00452DAD">
        <w:rPr>
          <w:rFonts w:ascii="Arial" w:eastAsia="Arial" w:hAnsi="Arial" w:cs="Arial"/>
          <w:lang w:val="en-US"/>
        </w:rPr>
        <w:t xml:space="preserve"> does not have substantive substitution rights, and (iii) the charterer has the right to control the use of the vessel during the charter period and obtains substantially all of the economic benefits from such use. Each time charter agreement</w:t>
      </w:r>
      <w:r w:rsidR="00E00CAD">
        <w:rPr>
          <w:rFonts w:ascii="Arial" w:eastAsia="Arial" w:hAnsi="Arial" w:cs="Arial"/>
          <w:lang w:val="en-US"/>
        </w:rPr>
        <w:t>,</w:t>
      </w:r>
      <w:r w:rsidR="00FC7CFC">
        <w:rPr>
          <w:rFonts w:ascii="Arial" w:eastAsia="Arial" w:hAnsi="Arial" w:cs="Arial"/>
          <w:lang w:val="en-US"/>
        </w:rPr>
        <w:t xml:space="preserve"> including</w:t>
      </w:r>
      <w:r w:rsidR="00E00CAD">
        <w:rPr>
          <w:rFonts w:ascii="Arial" w:eastAsia="Arial" w:hAnsi="Arial" w:cs="Arial"/>
          <w:lang w:val="en-US"/>
        </w:rPr>
        <w:t xml:space="preserve"> consecutive agreements with the same charterer, is </w:t>
      </w:r>
      <w:r w:rsidR="00452DAD" w:rsidRPr="00452DAD">
        <w:rPr>
          <w:rFonts w:ascii="Arial" w:eastAsia="Arial" w:hAnsi="Arial" w:cs="Arial"/>
          <w:lang w:val="en-US"/>
        </w:rPr>
        <w:t xml:space="preserve">accounted for as a separate lease. </w:t>
      </w:r>
      <w:r w:rsidR="00FC7CFC" w:rsidRPr="00FC7CFC">
        <w:rPr>
          <w:rFonts w:ascii="Arial" w:eastAsia="Arial" w:hAnsi="Arial" w:cs="Arial"/>
          <w:lang w:val="en-US"/>
        </w:rPr>
        <w:t>The lease term includes the non</w:t>
      </w:r>
      <w:r w:rsidR="00FC7CFC" w:rsidRPr="00FC7CFC">
        <w:rPr>
          <w:rFonts w:ascii="Arial" w:eastAsia="Arial" w:hAnsi="Arial" w:cs="Arial"/>
          <w:lang w:val="en-US"/>
        </w:rPr>
        <w:noBreakHyphen/>
        <w:t xml:space="preserve">cancellable period of the charter plus any charterer extension options that the Company concludes are reasonably certain to be exercised. </w:t>
      </w:r>
      <w:r w:rsidR="00452DAD" w:rsidRPr="00452DAD">
        <w:rPr>
          <w:rFonts w:ascii="Arial" w:eastAsia="Arial" w:hAnsi="Arial" w:cs="Arial"/>
          <w:lang w:val="en-US"/>
        </w:rPr>
        <w:t xml:space="preserve">Under a time charter, the charterer pays a daily hire rate for the use of the vessel and reimburses the </w:t>
      </w:r>
      <w:r w:rsidR="00E843ED">
        <w:rPr>
          <w:rFonts w:ascii="Arial" w:eastAsia="Arial" w:hAnsi="Arial" w:cs="Arial"/>
          <w:lang w:val="en-US"/>
        </w:rPr>
        <w:t>owner of the vessel</w:t>
      </w:r>
      <w:r w:rsidR="00452DAD" w:rsidRPr="00452DAD">
        <w:rPr>
          <w:rFonts w:ascii="Arial" w:eastAsia="Arial" w:hAnsi="Arial" w:cs="Arial"/>
          <w:lang w:val="en-US"/>
        </w:rPr>
        <w:t xml:space="preserve"> for hold cleanings, </w:t>
      </w:r>
      <w:r w:rsidR="00E843ED">
        <w:rPr>
          <w:rFonts w:ascii="Arial" w:eastAsia="Arial" w:hAnsi="Arial" w:cs="Arial"/>
          <w:lang w:val="en-US"/>
        </w:rPr>
        <w:t>extra</w:t>
      </w:r>
      <w:r w:rsidR="00452DAD" w:rsidRPr="00452DAD">
        <w:rPr>
          <w:rFonts w:ascii="Arial" w:eastAsia="Arial" w:hAnsi="Arial" w:cs="Arial"/>
          <w:lang w:val="en-US"/>
        </w:rPr>
        <w:t xml:space="preserve"> insurance premiums for trading in restricted areas, and charterer</w:t>
      </w:r>
      <w:r w:rsidR="00452DAD" w:rsidRPr="00452DAD">
        <w:rPr>
          <w:rFonts w:ascii="Arial" w:eastAsia="Arial" w:hAnsi="Arial" w:cs="Arial"/>
          <w:lang w:val="en-US"/>
        </w:rPr>
        <w:noBreakHyphen/>
        <w:t>caused damages</w:t>
      </w:r>
      <w:r w:rsidR="00E843ED">
        <w:rPr>
          <w:rFonts w:ascii="Arial" w:eastAsia="Arial" w:hAnsi="Arial" w:cs="Arial"/>
          <w:lang w:val="en-US"/>
        </w:rPr>
        <w:t xml:space="preserve">. </w:t>
      </w:r>
      <w:r w:rsidR="00452DAD" w:rsidRPr="00452DAD">
        <w:rPr>
          <w:rFonts w:ascii="Arial" w:eastAsia="Arial" w:hAnsi="Arial" w:cs="Arial"/>
          <w:lang w:val="en-US"/>
        </w:rPr>
        <w:t>Time charter revenue is recognized as operating lease income on a straight</w:t>
      </w:r>
      <w:r w:rsidR="00452DAD" w:rsidRPr="00452DAD">
        <w:rPr>
          <w:rFonts w:ascii="Arial" w:eastAsia="Arial" w:hAnsi="Arial" w:cs="Arial"/>
          <w:lang w:val="en-US"/>
        </w:rPr>
        <w:noBreakHyphen/>
        <w:t>line basis over the lease term, as the services are provided. The Company elected the lessor practical expedient under ASC 842</w:t>
      </w:r>
      <w:r w:rsidR="00452DAD" w:rsidRPr="00452DAD">
        <w:rPr>
          <w:rFonts w:ascii="Arial" w:eastAsia="Arial" w:hAnsi="Arial" w:cs="Arial"/>
          <w:lang w:val="en-US"/>
        </w:rPr>
        <w:noBreakHyphen/>
        <w:t>10</w:t>
      </w:r>
      <w:r w:rsidR="00452DAD" w:rsidRPr="00452DAD">
        <w:rPr>
          <w:rFonts w:ascii="Arial" w:eastAsia="Arial" w:hAnsi="Arial" w:cs="Arial"/>
          <w:lang w:val="en-US"/>
        </w:rPr>
        <w:noBreakHyphen/>
        <w:t>15</w:t>
      </w:r>
      <w:r w:rsidR="00452DAD" w:rsidRPr="00452DAD">
        <w:rPr>
          <w:rFonts w:ascii="Arial" w:eastAsia="Arial" w:hAnsi="Arial" w:cs="Arial"/>
          <w:lang w:val="en-US"/>
        </w:rPr>
        <w:noBreakHyphen/>
        <w:t>42A not to separate the lease and non</w:t>
      </w:r>
      <w:r w:rsidR="00452DAD" w:rsidRPr="00452DAD">
        <w:rPr>
          <w:rFonts w:ascii="Arial" w:eastAsia="Arial" w:hAnsi="Arial" w:cs="Arial"/>
          <w:lang w:val="en-US"/>
        </w:rPr>
        <w:noBreakHyphen/>
        <w:t>lease components (such as operation and maintenance of the vessel), because the timing and pattern of transfer are the same, and the lease component is predominant. Charterers typically pay port charges, canal expenses and bunkers directly to third parties. When such costs are for the Company’s account, they are recorded in voyage expenses. Voyage expenses also include commissions on time charter revenues and gains or losses arising from bunkers on redelivery and delivery of vessels between consecutive time charters. The Company may earn ballast bonus when a charterer reimburses the Company for repositioning a vessel. The Company evaluates each contract to determine whether the bonus is part of the lease consideration (recognized on a straight</w:t>
      </w:r>
      <w:r w:rsidR="00452DAD" w:rsidRPr="00452DAD">
        <w:rPr>
          <w:rFonts w:ascii="Arial" w:eastAsia="Arial" w:hAnsi="Arial" w:cs="Arial"/>
          <w:lang w:val="en-US"/>
        </w:rPr>
        <w:noBreakHyphen/>
        <w:t>line basis over the lease term) or represents a separate service component accounted for under ASC 606, recognized when the repositioning service is performed. The Company, as lessor, bears the costs of operating and maintaining the vessel, including crew, insurance, spares and repairs, which are recorded as vessel operating expenses. Deferred revenue represents amounts collected in advance of providing services under time charter agreements and is recognized in revenue as the related services are performed</w:t>
      </w:r>
      <w:r w:rsidR="00FE0452" w:rsidRPr="00452DAD">
        <w:rPr>
          <w:rFonts w:ascii="Arial" w:eastAsia="Arial" w:hAnsi="Arial" w:cs="Arial"/>
          <w:lang w:val="en-US"/>
        </w:rPr>
        <w:t>.</w:t>
      </w:r>
    </w:p>
    <w:bookmarkEnd w:id="444"/>
    <w:p w14:paraId="71F3F65D" w14:textId="77777777" w:rsidR="008806FD" w:rsidRPr="00D313BF" w:rsidRDefault="008806FD"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5E" w14:textId="77777777" w:rsidR="002D67F2"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5" w:name="XBRL_TS_bb714f16de314b59b3d3a3f148f5cd87"/>
      <w:r w:rsidRPr="003F6D2E">
        <w:rPr>
          <w:rStyle w:val="Heading2Char"/>
          <w:rFonts w:ascii="Arial" w:eastAsia="Arial" w:hAnsi="Arial" w:cs="Arial"/>
          <w:iCs w:val="0"/>
          <w:color w:val="auto"/>
          <w:sz w:val="22"/>
          <w:szCs w:val="22"/>
          <w:lang w:val="en-US"/>
        </w:rPr>
        <w:t>Repairs and Maintenance</w:t>
      </w:r>
      <w:r w:rsidRPr="003F6D2E">
        <w:rPr>
          <w:rFonts w:ascii="Arial" w:eastAsia="Arial" w:hAnsi="Arial" w:cs="Arial"/>
          <w:b/>
          <w:i/>
          <w:lang w:val="en-US"/>
        </w:rPr>
        <w:t>:</w:t>
      </w:r>
      <w:r w:rsidRPr="003F6D2E">
        <w:rPr>
          <w:rFonts w:ascii="Arial" w:eastAsia="Arial" w:hAnsi="Arial" w:cs="Arial"/>
          <w:lang w:val="en-US"/>
        </w:rPr>
        <w:t xml:space="preserve"> All repair and maintenance expenses including underwater inspection expenses are expensed in the year incurred. Such costs are included in vessel operating expenses in the accompanying consolidated statements of </w:t>
      </w:r>
      <w:r w:rsidR="00E737D7">
        <w:rPr>
          <w:rFonts w:ascii="Arial" w:eastAsia="Arial" w:hAnsi="Arial" w:cs="Arial"/>
          <w:lang w:val="en-US"/>
        </w:rPr>
        <w:t>income</w:t>
      </w:r>
      <w:r w:rsidRPr="003F6D2E">
        <w:rPr>
          <w:rFonts w:ascii="Arial" w:eastAsia="Arial" w:hAnsi="Arial" w:cs="Arial"/>
          <w:lang w:val="en-US"/>
        </w:rPr>
        <w:t>.</w:t>
      </w:r>
    </w:p>
    <w:bookmarkEnd w:id="445"/>
    <w:p w14:paraId="71F3F65F"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60" w14:textId="77777777" w:rsidR="001712D1" w:rsidRPr="001712D1" w:rsidRDefault="003A4815" w:rsidP="001712D1">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6" w:name="XBRL_TS_0e0819f4a402450e86459b7e02b8fbe6"/>
      <w:r w:rsidRPr="001712D1">
        <w:rPr>
          <w:rStyle w:val="Heading2Char"/>
          <w:rFonts w:ascii="Arial" w:eastAsia="Arial" w:hAnsi="Arial" w:cs="Arial"/>
          <w:iCs w:val="0"/>
          <w:color w:val="auto"/>
          <w:sz w:val="22"/>
          <w:szCs w:val="22"/>
          <w:lang w:val="en-US"/>
        </w:rPr>
        <w:t>Earnings / (loss) per Common Share</w:t>
      </w:r>
      <w:r w:rsidRPr="001712D1">
        <w:rPr>
          <w:rFonts w:ascii="Arial" w:eastAsia="Arial" w:hAnsi="Arial" w:cs="Arial"/>
          <w:b/>
          <w:i/>
          <w:lang w:val="en-US"/>
        </w:rPr>
        <w:t>:</w:t>
      </w:r>
      <w:r w:rsidRPr="001712D1">
        <w:rPr>
          <w:rFonts w:ascii="Arial" w:eastAsia="Arial" w:hAnsi="Arial" w:cs="Arial"/>
          <w:lang w:val="en-US"/>
        </w:rPr>
        <w:t xml:space="preserve"> Basic earnings / (loss) per common share is computed by dividing net income / (loss) available to common stockholders by the weighted average number of common shares outstanding during the </w:t>
      </w:r>
      <w:r w:rsidR="00FC7CFC">
        <w:rPr>
          <w:rFonts w:ascii="Arial" w:eastAsia="Arial" w:hAnsi="Arial" w:cs="Arial"/>
          <w:lang w:val="en-US"/>
        </w:rPr>
        <w:t>year</w:t>
      </w:r>
      <w:r w:rsidRPr="001712D1">
        <w:rPr>
          <w:rFonts w:ascii="Arial" w:eastAsia="Arial" w:hAnsi="Arial" w:cs="Arial"/>
          <w:lang w:val="en-US"/>
        </w:rPr>
        <w:t xml:space="preserve">. Shares that are contingently issuable for little or no cash consideration are included in basic earnings / (loss) per share as of the date that all necessary conditions have been satisfied. </w:t>
      </w:r>
      <w:r w:rsidR="009A6637" w:rsidRPr="009A6637">
        <w:rPr>
          <w:rFonts w:ascii="Arial" w:eastAsia="Arial" w:hAnsi="Arial" w:cs="Arial"/>
          <w:lang w:val="en-US"/>
        </w:rPr>
        <w:t>Diluted earnings per common share reflects the potential dilution that could occur if securities or other contracts to issue common stock were exercised.</w:t>
      </w:r>
    </w:p>
    <w:bookmarkEnd w:id="446"/>
    <w:p w14:paraId="71F3F661" w14:textId="77777777" w:rsidR="00DC24FC" w:rsidRPr="001712D1" w:rsidRDefault="00DC24FC" w:rsidP="001712D1">
      <w:pPr>
        <w:pStyle w:val="ListParagraph"/>
        <w:pBdr>
          <w:top w:val="nil"/>
          <w:left w:val="nil"/>
          <w:bottom w:val="nil"/>
          <w:right w:val="nil"/>
          <w:between w:val="nil"/>
          <w:bar w:val="nil"/>
        </w:pBdr>
        <w:ind w:left="567"/>
        <w:jc w:val="both"/>
        <w:rPr>
          <w:rFonts w:ascii="Arial" w:eastAsia="Arial" w:hAnsi="Arial" w:cs="Arial"/>
          <w:bdr w:val="nil"/>
          <w:lang w:val="en-US"/>
        </w:rPr>
      </w:pPr>
    </w:p>
    <w:p w14:paraId="71F3F662" w14:textId="77777777" w:rsidR="009C5907" w:rsidRPr="00A646B2" w:rsidRDefault="003A4815" w:rsidP="004B66E7">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7" w:name="XBRL_TS_7cd7bd227fa846a0b5786ec49883cb62"/>
      <w:r w:rsidRPr="00A646B2">
        <w:rPr>
          <w:rStyle w:val="Heading2Char"/>
          <w:rFonts w:ascii="Arial" w:eastAsia="Arial" w:hAnsi="Arial" w:cs="Arial"/>
          <w:iCs w:val="0"/>
          <w:color w:val="auto"/>
          <w:sz w:val="22"/>
          <w:szCs w:val="22"/>
          <w:lang w:val="en-US"/>
        </w:rPr>
        <w:t>Segmental Reporting</w:t>
      </w:r>
      <w:r w:rsidRPr="00A646B2">
        <w:rPr>
          <w:rFonts w:ascii="Arial" w:eastAsia="Arial" w:hAnsi="Arial" w:cs="Arial"/>
          <w:b/>
          <w:i/>
          <w:lang w:val="en-US"/>
        </w:rPr>
        <w:t xml:space="preserve">: </w:t>
      </w:r>
      <w:r w:rsidR="00427596" w:rsidRPr="00A646B2">
        <w:rPr>
          <w:rFonts w:ascii="Arial" w:eastAsia="Arial" w:hAnsi="Arial" w:cs="Arial"/>
          <w:lang w:val="en-US"/>
        </w:rPr>
        <w:t xml:space="preserve">The Company operates under one reportable segment, the operation of dry bulk vessels. The Company’s management, including its Chief Executive Officer, who is the chief operating decision maker (“CODM”), reviews operating results solely by the consolidated revenue and consolidated operating results of the fleet. The CODM does not use discrete financial information to evaluate the operating results for each type of charter or vessel but is instead regularly provided with only the consolidated expenses as noted on the face of the consolidated statements of income. </w:t>
      </w:r>
      <w:r w:rsidR="00E26305" w:rsidRPr="00A646B2">
        <w:rPr>
          <w:rFonts w:ascii="Arial" w:eastAsia="Arial" w:hAnsi="Arial" w:cs="Arial"/>
          <w:lang w:val="en-US"/>
        </w:rPr>
        <w:t xml:space="preserve">The measure of segment assets is reported on the balance sheet as total consolidated assets. </w:t>
      </w:r>
      <w:r w:rsidR="00427596" w:rsidRPr="00A646B2">
        <w:rPr>
          <w:rFonts w:ascii="Arial" w:eastAsia="Arial" w:hAnsi="Arial" w:cs="Arial"/>
          <w:lang w:val="en-US"/>
        </w:rPr>
        <w:t xml:space="preserve">The CODM assesses performance for the vessel operations segment and decides how to allocate resources based on consolidated net income. </w:t>
      </w:r>
      <w:r w:rsidR="00A646B2" w:rsidRPr="00A646B2">
        <w:rPr>
          <w:rFonts w:ascii="Arial" w:eastAsia="Arial" w:hAnsi="Arial" w:cs="Arial"/>
          <w:lang w:val="en-US"/>
        </w:rPr>
        <w:t xml:space="preserve">Net income is used to monitor budget versus actual results of the Company. The Company’s consolidated financial results are used in assessing the performance of the segment and in deciding whether to reinvest profits in the Company. </w:t>
      </w:r>
      <w:r w:rsidR="00427596" w:rsidRPr="00A646B2">
        <w:rPr>
          <w:rFonts w:ascii="Arial" w:eastAsia="Arial" w:hAnsi="Arial" w:cs="Arial"/>
          <w:lang w:val="en-US"/>
        </w:rPr>
        <w:t>Additionally, the vessels do not operate in specific geographic areas, as they trade worldwide; they do not trade in specific trade routes, as their trading (route and cargo) is dictated by the charterers; and the Company does not evaluate the operating results for each type of dry bulk vessels (i.e. Panamax, Capesize etc.) for the purpose of making decisions about allocating resources and assessing performance.</w:t>
      </w:r>
      <w:r w:rsidR="009A52AC" w:rsidRPr="00A646B2">
        <w:rPr>
          <w:rFonts w:ascii="Arial" w:eastAsia="Arial" w:hAnsi="Arial" w:cs="Arial"/>
          <w:lang w:val="en-US"/>
        </w:rPr>
        <w:t xml:space="preserve"> </w:t>
      </w:r>
    </w:p>
    <w:p w14:paraId="71F3F663" w14:textId="77777777" w:rsidR="00D1756A" w:rsidRPr="00AE2E0A" w:rsidRDefault="00D1756A" w:rsidP="00444E5F">
      <w:pPr>
        <w:pStyle w:val="ListParagraph"/>
        <w:pBdr>
          <w:top w:val="nil"/>
          <w:left w:val="nil"/>
          <w:bottom w:val="nil"/>
          <w:right w:val="nil"/>
          <w:between w:val="nil"/>
          <w:bar w:val="nil"/>
        </w:pBdr>
        <w:ind w:left="567"/>
        <w:jc w:val="both"/>
        <w:rPr>
          <w:rFonts w:ascii="Arial" w:eastAsia="Arial" w:hAnsi="Arial" w:cs="Arial"/>
          <w:bdr w:val="nil"/>
          <w:lang w:val="en-US"/>
        </w:rPr>
      </w:pPr>
    </w:p>
    <w:p w14:paraId="71F3F664" w14:textId="77777777" w:rsidR="0046774B"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8" w:name="XBRL_TS_435872e7f96d443e869fc1eed2c4c94c"/>
      <w:bookmarkEnd w:id="447"/>
      <w:r w:rsidRPr="003F6D2E">
        <w:rPr>
          <w:rStyle w:val="Heading2Char"/>
          <w:rFonts w:ascii="Arial" w:eastAsia="Arial" w:hAnsi="Arial" w:cs="Arial"/>
          <w:iCs w:val="0"/>
          <w:color w:val="auto"/>
          <w:sz w:val="22"/>
          <w:szCs w:val="22"/>
          <w:lang w:val="en-US"/>
        </w:rPr>
        <w:t>Fair Value Measurements</w:t>
      </w:r>
      <w:r w:rsidRPr="003F6D2E">
        <w:rPr>
          <w:rFonts w:ascii="Arial" w:eastAsia="Arial" w:hAnsi="Arial" w:cs="Arial"/>
          <w:lang w:val="en-US"/>
        </w:rPr>
        <w:t xml:space="preserve">: The Company classifies and discloses its assets and liabilities carried at fair value in one of the following categories: Level 1: Quoted market prices in active markets for identical assets or liabilities; Level 2: Observable </w:t>
      </w:r>
      <w:r w:rsidR="0085263F" w:rsidRPr="003F6D2E">
        <w:rPr>
          <w:rFonts w:ascii="Arial" w:eastAsia="Arial" w:hAnsi="Arial" w:cs="Arial"/>
          <w:lang w:val="en-US"/>
        </w:rPr>
        <w:t>market-based</w:t>
      </w:r>
      <w:r w:rsidRPr="003F6D2E">
        <w:rPr>
          <w:rFonts w:ascii="Arial" w:eastAsia="Arial" w:hAnsi="Arial" w:cs="Arial"/>
          <w:lang w:val="en-US"/>
        </w:rPr>
        <w:t xml:space="preserve"> inputs or unobservable inputs that are corroborated by market data; Level 3: Unobservable inputs that are not corroborated by market data.</w:t>
      </w:r>
    </w:p>
    <w:bookmarkEnd w:id="448"/>
    <w:p w14:paraId="71F3F665" w14:textId="77777777" w:rsidR="00DC24FC" w:rsidRPr="00D313BF" w:rsidRDefault="00DC24FC"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66" w14:textId="77777777" w:rsidR="00DE714F" w:rsidRPr="0071020C"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49" w:name="XBRL_TS_f7b6c21c1e704d45b0c903d075261618"/>
      <w:r w:rsidRPr="0071020C">
        <w:rPr>
          <w:rStyle w:val="Heading2Char"/>
          <w:rFonts w:ascii="Arial" w:eastAsia="Arial" w:hAnsi="Arial" w:cs="Arial"/>
          <w:iCs w:val="0"/>
          <w:color w:val="auto"/>
          <w:sz w:val="22"/>
          <w:szCs w:val="22"/>
          <w:lang w:val="en-US"/>
        </w:rPr>
        <w:t>Share Based Payments</w:t>
      </w:r>
      <w:r w:rsidRPr="0071020C">
        <w:rPr>
          <w:rFonts w:ascii="Arial" w:eastAsia="Arial" w:hAnsi="Arial" w:cs="Arial"/>
          <w:b/>
          <w:i/>
          <w:lang w:val="en-US"/>
        </w:rPr>
        <w:t>:</w:t>
      </w:r>
      <w:r w:rsidRPr="0071020C">
        <w:rPr>
          <w:rFonts w:ascii="Arial" w:eastAsia="Arial" w:hAnsi="Arial" w:cs="Arial"/>
          <w:lang w:val="en-US"/>
        </w:rPr>
        <w:t xml:space="preserve"> </w:t>
      </w:r>
      <w:r w:rsidR="00452DAD" w:rsidRPr="0071020C">
        <w:rPr>
          <w:rFonts w:ascii="Arial" w:eastAsia="Arial" w:hAnsi="Arial" w:cs="Arial"/>
          <w:lang w:val="en-US"/>
        </w:rPr>
        <w:t>The Company grants restricted share awards, which are classified as equity awards under ASC 718. Restricted share awards are measured at their grant</w:t>
      </w:r>
      <w:r w:rsidR="00452DAD" w:rsidRPr="0071020C">
        <w:rPr>
          <w:rFonts w:ascii="Arial" w:eastAsia="Arial" w:hAnsi="Arial" w:cs="Arial"/>
          <w:lang w:val="en-US"/>
        </w:rPr>
        <w:noBreakHyphen/>
        <w:t>date fair value and are not subsequently re</w:t>
      </w:r>
      <w:r w:rsidR="00452DAD" w:rsidRPr="0071020C">
        <w:rPr>
          <w:rFonts w:ascii="Arial" w:eastAsia="Arial" w:hAnsi="Arial" w:cs="Arial"/>
          <w:lang w:val="en-US"/>
        </w:rPr>
        <w:noBreakHyphen/>
        <w:t>measured. The related compensation cost is recognized on a straight</w:t>
      </w:r>
      <w:r w:rsidR="00452DAD" w:rsidRPr="0071020C">
        <w:rPr>
          <w:rFonts w:ascii="Arial" w:eastAsia="Arial" w:hAnsi="Arial" w:cs="Arial"/>
          <w:lang w:val="en-US"/>
        </w:rPr>
        <w:noBreakHyphen/>
        <w:t>line basis over the requisite service period (generally the vesting period), which represents the period during which the employees must provide service in order to earn the awards.</w:t>
      </w:r>
      <w:r w:rsidR="0071020C" w:rsidRPr="0071020C">
        <w:rPr>
          <w:rFonts w:ascii="Arial" w:eastAsia="Arial" w:hAnsi="Arial" w:cs="Arial"/>
          <w:lang w:val="en-US"/>
        </w:rPr>
        <w:t xml:space="preserve"> </w:t>
      </w:r>
      <w:r w:rsidR="00C424DA" w:rsidRPr="00452DAD">
        <w:rPr>
          <w:rFonts w:ascii="Arial" w:eastAsia="Arial" w:hAnsi="Arial" w:cs="Arial"/>
          <w:lang w:val="en-US"/>
        </w:rPr>
        <w:t>No compensation cost is recognized for awards for which employees do not render the requisite service, unless otherwise determined by the Board of Directors.</w:t>
      </w:r>
      <w:r w:rsidR="00C424DA">
        <w:rPr>
          <w:rFonts w:ascii="Arial" w:eastAsia="Arial" w:hAnsi="Arial" w:cs="Arial"/>
          <w:lang w:val="en-US"/>
        </w:rPr>
        <w:t xml:space="preserve"> </w:t>
      </w:r>
      <w:r w:rsidR="00C424DA" w:rsidRPr="00C424DA">
        <w:rPr>
          <w:rFonts w:ascii="Arial" w:eastAsia="Arial" w:hAnsi="Arial" w:cs="Arial"/>
          <w:lang w:val="en-US"/>
        </w:rPr>
        <w:t>Forfeitures of awards are accounted for when and if they occur.</w:t>
      </w:r>
      <w:r w:rsidR="00452DAD" w:rsidRPr="00452DAD">
        <w:rPr>
          <w:rFonts w:ascii="Arial" w:eastAsia="Arial" w:hAnsi="Arial" w:cs="Arial"/>
          <w:lang w:val="en-US"/>
        </w:rPr>
        <w:t xml:space="preserve"> </w:t>
      </w:r>
      <w:r w:rsidR="00C424DA" w:rsidRPr="00C424DA">
        <w:rPr>
          <w:rFonts w:ascii="Arial" w:eastAsia="Arial" w:hAnsi="Arial" w:cs="Arial"/>
          <w:lang w:val="en-US"/>
        </w:rPr>
        <w:t>If an equity award is modified after the grant date, incremental compensation cost will be recognized in an amount equal to the excess of the fair value of the modified award over the fair value of the original award immediately before the modification</w:t>
      </w:r>
      <w:r w:rsidR="00452DAD" w:rsidRPr="00452DAD">
        <w:rPr>
          <w:rFonts w:ascii="Arial" w:eastAsia="Arial" w:hAnsi="Arial" w:cs="Arial"/>
          <w:lang w:val="en-US"/>
        </w:rPr>
        <w:t>.</w:t>
      </w:r>
      <w:r w:rsidR="0071020C" w:rsidRPr="0071020C">
        <w:rPr>
          <w:rFonts w:ascii="Arial" w:eastAsia="Arial" w:hAnsi="Arial" w:cs="Arial"/>
          <w:lang w:val="en-US"/>
        </w:rPr>
        <w:t xml:space="preserve"> </w:t>
      </w:r>
      <w:r w:rsidR="00452DAD" w:rsidRPr="00452DAD">
        <w:rPr>
          <w:rFonts w:ascii="Arial" w:eastAsia="Arial" w:hAnsi="Arial" w:cs="Arial"/>
          <w:lang w:val="en-US"/>
        </w:rPr>
        <w:t>Compensation expense related to share</w:t>
      </w:r>
      <w:r w:rsidR="00452DAD" w:rsidRPr="00452DAD">
        <w:rPr>
          <w:rFonts w:ascii="Arial" w:eastAsia="Arial" w:hAnsi="Arial" w:cs="Arial"/>
          <w:lang w:val="en-US"/>
        </w:rPr>
        <w:noBreakHyphen/>
        <w:t>based payments is recorded in general and administrative expenses in the consolidated statements of income.</w:t>
      </w:r>
      <w:r w:rsidR="0071020C" w:rsidRPr="0071020C">
        <w:rPr>
          <w:rFonts w:ascii="Arial" w:eastAsia="Arial" w:hAnsi="Arial" w:cs="Arial"/>
          <w:lang w:val="en-US"/>
        </w:rPr>
        <w:t xml:space="preserve"> </w:t>
      </w:r>
      <w:r w:rsidRPr="0071020C">
        <w:rPr>
          <w:rFonts w:ascii="Arial" w:eastAsia="Arial" w:hAnsi="Arial" w:cs="Arial"/>
          <w:lang w:val="en-US"/>
        </w:rPr>
        <w:t xml:space="preserve"> </w:t>
      </w:r>
    </w:p>
    <w:bookmarkEnd w:id="449"/>
    <w:p w14:paraId="71F3F667" w14:textId="77777777" w:rsidR="00DE714F" w:rsidRPr="00D313BF" w:rsidRDefault="00DE714F"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68" w14:textId="77777777" w:rsidR="00413170" w:rsidRPr="00004C01" w:rsidRDefault="003A4815" w:rsidP="00BF037B">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50" w:name="XBRL_TS_6a002913c54147aaa30353082754b546"/>
      <w:r w:rsidRPr="00004C01">
        <w:rPr>
          <w:rStyle w:val="Heading2Char"/>
          <w:rFonts w:ascii="Arial" w:eastAsia="Arial" w:hAnsi="Arial" w:cs="Arial"/>
          <w:iCs w:val="0"/>
          <w:color w:val="auto"/>
          <w:sz w:val="22"/>
          <w:szCs w:val="22"/>
          <w:lang w:val="en-US"/>
        </w:rPr>
        <w:t>Equity method investments</w:t>
      </w:r>
      <w:r w:rsidRPr="00004C01">
        <w:rPr>
          <w:rFonts w:ascii="Arial" w:eastAsia="Arial" w:hAnsi="Arial" w:cs="Arial"/>
          <w:b/>
          <w:i/>
          <w:lang w:val="en-US"/>
        </w:rPr>
        <w:t>:</w:t>
      </w:r>
      <w:r w:rsidRPr="00004C01">
        <w:rPr>
          <w:rFonts w:ascii="Arial" w:eastAsia="Arial" w:hAnsi="Arial" w:cs="Arial"/>
          <w:lang w:val="en-US"/>
        </w:rPr>
        <w:t xml:space="preserve"> </w:t>
      </w:r>
      <w:r w:rsidR="00004C01" w:rsidRPr="00004C01">
        <w:rPr>
          <w:rFonts w:ascii="Arial" w:eastAsia="Arial" w:hAnsi="Arial" w:cs="Arial"/>
          <w:lang w:val="en-US"/>
        </w:rPr>
        <w:t>Investments in entities in which the Company has significant influence, but does not control, are accounted for under the equity method of accounting in accordance with ASC 323. Significant influence is generally presumed to exist when the Company owns 20% or more of the voting interests, unless such influence can be clearly demonstrated not to exist. Equity method investments are initially recorded at cost (or at fair value if such measurement results from a deconsolidation event) and are subsequently adjusted to reflect the Company’s share of the investee’s earnings or losses after the date of acquisition. The Company records its share of investee earnings or losses in income</w:t>
      </w:r>
      <w:r w:rsidR="00711362">
        <w:rPr>
          <w:rFonts w:ascii="Arial" w:eastAsia="Arial" w:hAnsi="Arial" w:cs="Arial"/>
          <w:lang w:val="en-US"/>
        </w:rPr>
        <w:t>/(loss)</w:t>
      </w:r>
      <w:r w:rsidR="00004C01" w:rsidRPr="00004C01">
        <w:rPr>
          <w:rFonts w:ascii="Arial" w:eastAsia="Arial" w:hAnsi="Arial" w:cs="Arial"/>
          <w:lang w:val="en-US"/>
        </w:rPr>
        <w:t xml:space="preserve"> from equity method investments in the consolidated statements of income. Dividends received</w:t>
      </w:r>
      <w:r w:rsidR="00A1507F">
        <w:rPr>
          <w:rFonts w:ascii="Arial" w:eastAsia="Arial" w:hAnsi="Arial" w:cs="Arial"/>
          <w:lang w:val="en-US"/>
        </w:rPr>
        <w:t xml:space="preserve">, if any, </w:t>
      </w:r>
      <w:r w:rsidR="00004C01" w:rsidRPr="00004C01">
        <w:rPr>
          <w:rFonts w:ascii="Arial" w:eastAsia="Arial" w:hAnsi="Arial" w:cs="Arial"/>
          <w:lang w:val="en-US"/>
        </w:rPr>
        <w:t xml:space="preserve">reduce the carrying amount of the investment and are recorded as receivables when declared. When the Company’s share of losses reduces the carrying amount of an equity method investment to zero, the Company ceases recognizing additional losses, unless it has committed to provide further financial support to the investee. The Company evaluates equity method investments for impairment whenever events or changes in circumstances indicate that the carrying amount may not be recoverable. </w:t>
      </w:r>
      <w:r w:rsidR="00EF7CFC" w:rsidRPr="00EF7CFC">
        <w:rPr>
          <w:rFonts w:ascii="Arial" w:eastAsia="Arial" w:hAnsi="Arial" w:cs="Arial"/>
          <w:lang w:val="en-US"/>
        </w:rPr>
        <w:t xml:space="preserve">Evidence of a loss in value might include absence of an ability to recover the carrying amount of the investment or inability of the investee to sustain an earnings capacity that would justify the carrying amount of the investment. </w:t>
      </w:r>
      <w:r w:rsidR="00004C01" w:rsidRPr="00004C01">
        <w:rPr>
          <w:rFonts w:ascii="Arial" w:eastAsia="Arial" w:hAnsi="Arial" w:cs="Arial"/>
          <w:lang w:val="en-US"/>
        </w:rPr>
        <w:t xml:space="preserve">If the fair value of an investment declines below its carrying value and the decline is determined to be other than temporary, the investment is written down to its fair value and the impairment loss is recognized in earnings. For equity method investments for which the Company has elected the fair value option under ASC 825, the investment is measured at fair value, and subsequent changes in fair value are recognized in gain/(loss) on related party investments in the consolidated statements of income. For investees whose functional currency is not the U.S. dollar, the Company records foreign currency translation adjustments arising from its share of the investee’s equity in other comprehensive income/(loss) as part of the cumulative translation adjustment. </w:t>
      </w:r>
    </w:p>
    <w:bookmarkEnd w:id="450"/>
    <w:p w14:paraId="71F3F669" w14:textId="77777777" w:rsidR="002C09FB" w:rsidRPr="00D313BF" w:rsidRDefault="002C09FB"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6A" w14:textId="77777777" w:rsidR="008F30BF" w:rsidRPr="009B1322"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51" w:name="XBRL_TS_536b36ec62c74443817de6e889b89375"/>
      <w:r w:rsidRPr="009B1322">
        <w:rPr>
          <w:rStyle w:val="Heading2Char"/>
          <w:rFonts w:ascii="Arial" w:eastAsia="Arial" w:hAnsi="Arial" w:cs="Arial"/>
          <w:iCs w:val="0"/>
          <w:color w:val="auto"/>
          <w:sz w:val="22"/>
          <w:szCs w:val="22"/>
          <w:lang w:val="en-US"/>
        </w:rPr>
        <w:t>Shares repurchased and retired</w:t>
      </w:r>
      <w:r w:rsidRPr="009B1322">
        <w:rPr>
          <w:rFonts w:ascii="Arial" w:eastAsia="Arial" w:hAnsi="Arial" w:cs="Arial"/>
          <w:b/>
          <w:i/>
          <w:lang w:val="en-US"/>
        </w:rPr>
        <w:t xml:space="preserve">: </w:t>
      </w:r>
      <w:r w:rsidR="002C52B9" w:rsidRPr="009B1322">
        <w:rPr>
          <w:rFonts w:ascii="Arial" w:eastAsia="Arial" w:hAnsi="Arial" w:cs="Arial"/>
          <w:lang w:val="en-US"/>
        </w:rPr>
        <w:t xml:space="preserve">The </w:t>
      </w:r>
      <w:r w:rsidRPr="009B1322">
        <w:rPr>
          <w:rFonts w:ascii="Arial" w:eastAsia="Arial" w:hAnsi="Arial" w:cs="Arial"/>
          <w:lang w:val="en-US"/>
        </w:rPr>
        <w:t xml:space="preserve">Company’s </w:t>
      </w:r>
      <w:r w:rsidR="009B1322" w:rsidRPr="009B1322">
        <w:rPr>
          <w:rFonts w:ascii="Arial" w:eastAsia="Arial" w:hAnsi="Arial" w:cs="Arial"/>
          <w:lang w:val="en-US"/>
        </w:rPr>
        <w:t xml:space="preserve">common </w:t>
      </w:r>
      <w:r w:rsidRPr="009B1322">
        <w:rPr>
          <w:rFonts w:ascii="Arial" w:eastAsia="Arial" w:hAnsi="Arial" w:cs="Arial"/>
          <w:lang w:val="en-US"/>
        </w:rPr>
        <w:t>shares repurchased are immediately cancelled and the Company</w:t>
      </w:r>
      <w:r w:rsidR="009B1322" w:rsidRPr="009B1322">
        <w:rPr>
          <w:rFonts w:ascii="Arial" w:eastAsia="Arial" w:hAnsi="Arial" w:cs="Arial"/>
          <w:lang w:val="en-US"/>
        </w:rPr>
        <w:t xml:space="preserve"> reduces its </w:t>
      </w:r>
      <w:r w:rsidRPr="009B1322">
        <w:rPr>
          <w:rFonts w:ascii="Arial" w:eastAsia="Arial" w:hAnsi="Arial" w:cs="Arial"/>
          <w:lang w:val="en-US"/>
        </w:rPr>
        <w:t xml:space="preserve">share capital </w:t>
      </w:r>
      <w:r w:rsidR="009B1322" w:rsidRPr="009B1322">
        <w:rPr>
          <w:rFonts w:ascii="Arial" w:eastAsia="Arial" w:hAnsi="Arial" w:cs="Arial"/>
          <w:lang w:val="en-US"/>
        </w:rPr>
        <w:t xml:space="preserve">by the par value of the shares retired. </w:t>
      </w:r>
      <w:r w:rsidR="009B1322">
        <w:rPr>
          <w:rFonts w:ascii="Arial" w:eastAsia="Arial" w:hAnsi="Arial" w:cs="Arial"/>
          <w:lang w:val="en-US"/>
        </w:rPr>
        <w:t>The</w:t>
      </w:r>
      <w:r w:rsidRPr="009B1322">
        <w:rPr>
          <w:rFonts w:ascii="Arial" w:eastAsia="Arial" w:hAnsi="Arial" w:cs="Arial"/>
          <w:lang w:val="en-US"/>
        </w:rPr>
        <w:t xml:space="preserve"> excess of the </w:t>
      </w:r>
      <w:r w:rsidR="009B1322">
        <w:rPr>
          <w:rFonts w:ascii="Arial" w:eastAsia="Arial" w:hAnsi="Arial" w:cs="Arial"/>
          <w:lang w:val="en-US"/>
        </w:rPr>
        <w:t xml:space="preserve">repurchase </w:t>
      </w:r>
      <w:r w:rsidRPr="009B1322">
        <w:rPr>
          <w:rFonts w:ascii="Arial" w:eastAsia="Arial" w:hAnsi="Arial" w:cs="Arial"/>
          <w:lang w:val="en-US"/>
        </w:rPr>
        <w:t xml:space="preserve">cost of the shares over par value is </w:t>
      </w:r>
      <w:r w:rsidR="009B1322">
        <w:rPr>
          <w:rFonts w:ascii="Arial" w:eastAsia="Arial" w:hAnsi="Arial" w:cs="Arial"/>
          <w:lang w:val="en-US"/>
        </w:rPr>
        <w:t>recorded</w:t>
      </w:r>
      <w:r w:rsidRPr="009B1322">
        <w:rPr>
          <w:rFonts w:ascii="Arial" w:eastAsia="Arial" w:hAnsi="Arial" w:cs="Arial"/>
          <w:lang w:val="en-US"/>
        </w:rPr>
        <w:t xml:space="preserve"> </w:t>
      </w:r>
      <w:r w:rsidR="009B1322">
        <w:rPr>
          <w:rFonts w:ascii="Arial" w:eastAsia="Arial" w:hAnsi="Arial" w:cs="Arial"/>
          <w:lang w:val="en-US"/>
        </w:rPr>
        <w:t xml:space="preserve">as a reduction of </w:t>
      </w:r>
      <w:r w:rsidRPr="009B1322">
        <w:rPr>
          <w:rFonts w:ascii="Arial" w:eastAsia="Arial" w:hAnsi="Arial" w:cs="Arial"/>
          <w:lang w:val="en-US"/>
        </w:rPr>
        <w:t>additional paid-in capital, in accordance with ASC 505-30-30, Treasury Stock</w:t>
      </w:r>
      <w:r w:rsidR="00FE0452" w:rsidRPr="009B1322">
        <w:rPr>
          <w:rFonts w:ascii="Arial" w:eastAsia="Arial" w:hAnsi="Arial" w:cs="Arial"/>
          <w:lang w:val="en-US"/>
        </w:rPr>
        <w:t xml:space="preserve">. </w:t>
      </w:r>
    </w:p>
    <w:bookmarkEnd w:id="451"/>
    <w:p w14:paraId="71F3F66B" w14:textId="77777777" w:rsidR="008F30BF" w:rsidRPr="00D313BF" w:rsidRDefault="008F30BF" w:rsidP="00D01D20">
      <w:pPr>
        <w:pBdr>
          <w:top w:val="nil"/>
          <w:left w:val="nil"/>
          <w:bottom w:val="nil"/>
          <w:right w:val="nil"/>
          <w:between w:val="nil"/>
          <w:bar w:val="nil"/>
        </w:pBdr>
        <w:ind w:left="567" w:hanging="567"/>
        <w:jc w:val="both"/>
        <w:rPr>
          <w:rFonts w:ascii="Arial" w:eastAsia="Arial" w:hAnsi="Arial" w:cs="Arial"/>
          <w:b/>
          <w:i/>
          <w:bdr w:val="nil"/>
          <w:lang w:val="en-US"/>
        </w:rPr>
      </w:pPr>
    </w:p>
    <w:p w14:paraId="71F3F66C" w14:textId="77777777" w:rsidR="0094517F" w:rsidRPr="003F6D2E" w:rsidRDefault="003A4815" w:rsidP="00D01D20">
      <w:pPr>
        <w:pStyle w:val="ListParagraph"/>
        <w:numPr>
          <w:ilvl w:val="0"/>
          <w:numId w:val="24"/>
        </w:numPr>
        <w:pBdr>
          <w:top w:val="nil"/>
          <w:left w:val="nil"/>
          <w:bottom w:val="nil"/>
          <w:right w:val="nil"/>
          <w:between w:val="nil"/>
          <w:bar w:val="nil"/>
        </w:pBdr>
        <w:ind w:left="567" w:hanging="567"/>
        <w:jc w:val="both"/>
        <w:rPr>
          <w:rFonts w:ascii="Arial" w:eastAsia="Arial" w:hAnsi="Arial" w:cs="Arial"/>
          <w:bdr w:val="nil"/>
          <w:lang w:val="en-US"/>
        </w:rPr>
      </w:pPr>
      <w:bookmarkStart w:id="452" w:name="XBRL_TS_66aee280cb734e63aa566e7c1f61d476"/>
      <w:r w:rsidRPr="003F6D2E">
        <w:rPr>
          <w:rStyle w:val="Heading2Char"/>
          <w:rFonts w:ascii="Arial" w:eastAsia="Arial" w:hAnsi="Arial" w:cs="Arial"/>
          <w:iCs w:val="0"/>
          <w:color w:val="auto"/>
          <w:sz w:val="22"/>
          <w:szCs w:val="22"/>
          <w:lang w:val="en-US"/>
        </w:rPr>
        <w:t>Financial Instruments, credit losses</w:t>
      </w:r>
      <w:r w:rsidRPr="003F6D2E">
        <w:rPr>
          <w:rFonts w:ascii="Arial" w:eastAsia="Arial" w:hAnsi="Arial" w:cs="Arial"/>
          <w:lang w:val="en-US"/>
        </w:rPr>
        <w:t xml:space="preserve">: </w:t>
      </w:r>
      <w:r w:rsidR="009514D5">
        <w:rPr>
          <w:rFonts w:ascii="Arial" w:eastAsia="Arial" w:hAnsi="Arial" w:cs="Arial"/>
          <w:lang w:val="en-US"/>
        </w:rPr>
        <w:t>T</w:t>
      </w:r>
      <w:r w:rsidRPr="003F6D2E">
        <w:rPr>
          <w:rFonts w:ascii="Arial" w:eastAsia="Arial" w:hAnsi="Arial" w:cs="Arial"/>
          <w:lang w:val="en-US"/>
        </w:rPr>
        <w:t xml:space="preserve">he Company evaluates its financial assets individually for credit losses and presents such assets in the net amount expected to be collected on such financial asset. When financial assets present similar risk characteristics, these are evaluated on a collective basis. When developing an estimate of expected credit losses, the Company considers available information relevant to assessing the collectability of cash flows such as internal information, past events, current conditions and reasonable and supportable forecasts. </w:t>
      </w:r>
      <w:bookmarkStart w:id="453" w:name="XBRL_CS_aca708d7e2d64aa3830dcc4d2dc53a1a"/>
      <w:bookmarkStart w:id="454" w:name="XBRL_CS_3b4b2bc713934beb9022f2bfbd7b3a7a"/>
      <w:r w:rsidR="00CB66BD" w:rsidRPr="003F6D2E">
        <w:rPr>
          <w:rFonts w:ascii="Arial" w:eastAsia="Arial" w:hAnsi="Arial" w:cs="Arial"/>
          <w:lang w:val="en-US"/>
        </w:rPr>
        <w:t>No</w:t>
      </w:r>
      <w:bookmarkEnd w:id="453"/>
      <w:bookmarkEnd w:id="454"/>
      <w:r w:rsidR="00CB66BD" w:rsidRPr="003F6D2E">
        <w:rPr>
          <w:rFonts w:ascii="Arial" w:eastAsia="Arial" w:hAnsi="Arial" w:cs="Arial"/>
          <w:lang w:val="en-US"/>
        </w:rPr>
        <w:t xml:space="preserve"> credit losses were identified and recorded in </w:t>
      </w:r>
      <w:r w:rsidRPr="003F6D2E">
        <w:rPr>
          <w:rFonts w:ascii="Arial" w:eastAsia="Arial" w:hAnsi="Arial" w:cs="Arial"/>
          <w:lang w:val="en-US"/>
        </w:rPr>
        <w:t>2025</w:t>
      </w:r>
      <w:r w:rsidR="00D84489">
        <w:rPr>
          <w:rFonts w:ascii="Arial" w:eastAsia="Arial" w:hAnsi="Arial" w:cs="Arial"/>
          <w:lang w:val="en-US"/>
        </w:rPr>
        <w:t>,</w:t>
      </w:r>
      <w:r w:rsidR="00326323" w:rsidRPr="003F6D2E">
        <w:rPr>
          <w:rFonts w:ascii="Arial" w:eastAsia="Arial" w:hAnsi="Arial" w:cs="Arial"/>
          <w:lang w:val="en-US"/>
        </w:rPr>
        <w:t xml:space="preserve"> </w:t>
      </w:r>
      <w:r w:rsidRPr="003F6D2E">
        <w:rPr>
          <w:rFonts w:ascii="Arial" w:eastAsia="Arial" w:hAnsi="Arial" w:cs="Arial"/>
          <w:lang w:val="en-US"/>
        </w:rPr>
        <w:t>2024</w:t>
      </w:r>
      <w:r w:rsidR="00D84489">
        <w:rPr>
          <w:rFonts w:ascii="Arial" w:eastAsia="Arial" w:hAnsi="Arial" w:cs="Arial"/>
          <w:lang w:val="en-US"/>
        </w:rPr>
        <w:t xml:space="preserve"> and </w:t>
      </w:r>
      <w:r w:rsidR="00D84489" w:rsidRPr="003F6D2E">
        <w:rPr>
          <w:rFonts w:ascii="Arial" w:eastAsia="Arial" w:hAnsi="Arial" w:cs="Arial"/>
          <w:lang w:val="en-US"/>
        </w:rPr>
        <w:t>2023</w:t>
      </w:r>
      <w:r w:rsidR="00CB66BD" w:rsidRPr="003F6D2E">
        <w:rPr>
          <w:rFonts w:ascii="Arial" w:eastAsia="Arial" w:hAnsi="Arial" w:cs="Arial"/>
          <w:lang w:val="en-US"/>
        </w:rPr>
        <w:t>.</w:t>
      </w:r>
    </w:p>
    <w:bookmarkEnd w:id="452"/>
    <w:p w14:paraId="71F3F66D" w14:textId="77777777" w:rsidR="00A3132F" w:rsidRPr="00D313BF" w:rsidRDefault="00A3132F" w:rsidP="00D01D20">
      <w:pPr>
        <w:pBdr>
          <w:top w:val="nil"/>
          <w:left w:val="nil"/>
          <w:bottom w:val="nil"/>
          <w:right w:val="nil"/>
          <w:between w:val="nil"/>
          <w:bar w:val="nil"/>
        </w:pBdr>
        <w:ind w:left="567" w:hanging="567"/>
        <w:jc w:val="both"/>
        <w:rPr>
          <w:rFonts w:ascii="Arial" w:eastAsia="Arial" w:hAnsi="Arial" w:cs="Arial"/>
          <w:bdr w:val="nil"/>
          <w:lang w:val="en-US"/>
        </w:rPr>
      </w:pPr>
    </w:p>
    <w:p w14:paraId="71F3F66E" w14:textId="77777777" w:rsidR="009A25E3" w:rsidRPr="00972960" w:rsidRDefault="003A4815" w:rsidP="00972960">
      <w:pPr>
        <w:pStyle w:val="CommentText"/>
        <w:numPr>
          <w:ilvl w:val="0"/>
          <w:numId w:val="24"/>
        </w:numPr>
        <w:pBdr>
          <w:top w:val="nil"/>
          <w:left w:val="nil"/>
          <w:bottom w:val="nil"/>
          <w:right w:val="nil"/>
          <w:between w:val="nil"/>
          <w:bar w:val="nil"/>
        </w:pBdr>
        <w:ind w:left="567" w:hanging="567"/>
        <w:jc w:val="both"/>
        <w:rPr>
          <w:rFonts w:ascii="Arial" w:eastAsia="Arial" w:hAnsi="Arial" w:cs="Arial"/>
          <w:sz w:val="22"/>
          <w:szCs w:val="22"/>
          <w:bdr w:val="nil"/>
        </w:rPr>
      </w:pPr>
      <w:bookmarkStart w:id="455" w:name="XBRL_TS_2a7e056b82874d379378aa5cc4cc3251"/>
      <w:r w:rsidRPr="00972960">
        <w:rPr>
          <w:rFonts w:ascii="Arial" w:eastAsia="Arial" w:hAnsi="Arial" w:cs="Arial"/>
          <w:b/>
          <w:bCs/>
          <w:i/>
          <w:sz w:val="22"/>
          <w:szCs w:val="22"/>
        </w:rPr>
        <w:t>Financial Instruments, Investments</w:t>
      </w:r>
      <w:r w:rsidR="00ED4C10">
        <w:rPr>
          <w:rFonts w:ascii="Arial" w:eastAsia="Arial" w:hAnsi="Arial" w:cs="Arial"/>
          <w:b/>
          <w:bCs/>
          <w:i/>
          <w:sz w:val="22"/>
          <w:szCs w:val="22"/>
        </w:rPr>
        <w:t xml:space="preserve"> in </w:t>
      </w:r>
      <w:r w:rsidRPr="00972960">
        <w:rPr>
          <w:rFonts w:ascii="Arial" w:eastAsia="Arial" w:hAnsi="Arial" w:cs="Arial"/>
          <w:b/>
          <w:bCs/>
          <w:i/>
          <w:sz w:val="22"/>
          <w:szCs w:val="22"/>
        </w:rPr>
        <w:t>Equity Securities</w:t>
      </w:r>
      <w:r w:rsidR="00A0640B" w:rsidRPr="00972960">
        <w:rPr>
          <w:rFonts w:ascii="Arial" w:eastAsia="Arial" w:hAnsi="Arial" w:cs="Arial"/>
          <w:sz w:val="22"/>
          <w:szCs w:val="22"/>
        </w:rPr>
        <w:t>:</w:t>
      </w:r>
      <w:r w:rsidRPr="00972960">
        <w:rPr>
          <w:rFonts w:ascii="Arial" w:eastAsia="Arial" w:hAnsi="Arial" w:cs="Arial"/>
          <w:sz w:val="22"/>
          <w:szCs w:val="22"/>
        </w:rPr>
        <w:t xml:space="preserve"> Equity </w:t>
      </w:r>
      <w:r w:rsidR="00EF7CFC">
        <w:rPr>
          <w:rFonts w:ascii="Arial" w:eastAsia="Arial" w:hAnsi="Arial" w:cs="Arial"/>
          <w:sz w:val="22"/>
          <w:szCs w:val="22"/>
        </w:rPr>
        <w:t>investments</w:t>
      </w:r>
      <w:r w:rsidRPr="00972960">
        <w:rPr>
          <w:rFonts w:ascii="Arial" w:eastAsia="Arial" w:hAnsi="Arial" w:cs="Arial"/>
          <w:sz w:val="22"/>
          <w:szCs w:val="22"/>
        </w:rPr>
        <w:t xml:space="preserve"> with readily determinable fair values are</w:t>
      </w:r>
      <w:r w:rsidR="00972960" w:rsidRPr="00972960">
        <w:rPr>
          <w:rFonts w:ascii="Arial" w:eastAsia="Arial" w:hAnsi="Arial" w:cs="Arial"/>
          <w:sz w:val="22"/>
          <w:szCs w:val="22"/>
        </w:rPr>
        <w:t xml:space="preserve"> initially</w:t>
      </w:r>
      <w:r w:rsidRPr="00972960">
        <w:rPr>
          <w:rFonts w:ascii="Arial" w:eastAsia="Arial" w:hAnsi="Arial" w:cs="Arial"/>
          <w:sz w:val="22"/>
          <w:szCs w:val="22"/>
        </w:rPr>
        <w:t xml:space="preserve"> recognized at transaction price and subsequently measured at fair value </w:t>
      </w:r>
      <w:r w:rsidR="00972960" w:rsidRPr="00972960">
        <w:rPr>
          <w:rFonts w:ascii="Arial" w:eastAsia="Arial" w:hAnsi="Arial" w:cs="Arial"/>
          <w:sz w:val="22"/>
          <w:szCs w:val="22"/>
        </w:rPr>
        <w:t>with changes in fair value recognized in net income, in accordance with ASC 321. For equity securities without a readily determinable fair value, the Company has elected the measurement alternative in ASC 321</w:t>
      </w:r>
      <w:r w:rsidR="00972960" w:rsidRPr="00972960">
        <w:rPr>
          <w:rFonts w:ascii="Arial" w:eastAsia="Arial" w:hAnsi="Arial" w:cs="Arial"/>
          <w:sz w:val="22"/>
          <w:szCs w:val="22"/>
        </w:rPr>
        <w:noBreakHyphen/>
        <w:t>10</w:t>
      </w:r>
      <w:r w:rsidR="00972960" w:rsidRPr="00972960">
        <w:rPr>
          <w:rFonts w:ascii="Arial" w:eastAsia="Arial" w:hAnsi="Arial" w:cs="Arial"/>
          <w:sz w:val="22"/>
          <w:szCs w:val="22"/>
        </w:rPr>
        <w:noBreakHyphen/>
        <w:t>35</w:t>
      </w:r>
      <w:r w:rsidR="00972960" w:rsidRPr="00972960">
        <w:rPr>
          <w:rFonts w:ascii="Arial" w:eastAsia="Arial" w:hAnsi="Arial" w:cs="Arial"/>
          <w:sz w:val="22"/>
          <w:szCs w:val="22"/>
        </w:rPr>
        <w:noBreakHyphen/>
        <w:t>2, under which such investments are carried at cost, less impairment, and adjusted for observable price changes in orderly transactions for the identical or a similar investment of the same issuer. When observable price changes occur, the carrying amount is adjusted to fair value as of the date of the transaction, with the corresponding gain or loss recognized in earnings. At each reporting date, the Company reassesses whether an investment continues to qualify for the measurement alternative. The Company may irrevocably elect to subsequently measure an equity security at fair value, with changes recognized in earnings, at which point the investment is no longer eligible for the measurement alternative. The Company evaluates equity securities measured under the measurement alternative for impairment whenever events or circumstances indicate that the investment’s fair value may be less than its carrying amount. Indicators of impairment include, but are not limited to, significant deterioration in the investee’s financial condition, adverse changes in its industry or market environment, or a decline in its ability to continue as a going concern. If an impairment is identified, the Company estimates the investment’s fair value, and any difference between the carrying amount and fair value is recognized as an impairment loss in earnings.</w:t>
      </w:r>
    </w:p>
    <w:bookmarkEnd w:id="455"/>
    <w:p w14:paraId="71F3F66F" w14:textId="77777777" w:rsidR="00371047" w:rsidRPr="00D313BF" w:rsidRDefault="00371047" w:rsidP="00D01D20">
      <w:pPr>
        <w:pStyle w:val="CommentText"/>
        <w:pBdr>
          <w:top w:val="nil"/>
          <w:left w:val="nil"/>
          <w:bottom w:val="nil"/>
          <w:right w:val="nil"/>
          <w:between w:val="nil"/>
          <w:bar w:val="nil"/>
        </w:pBdr>
        <w:tabs>
          <w:tab w:val="left" w:pos="709"/>
        </w:tabs>
        <w:ind w:left="567" w:hanging="567"/>
        <w:jc w:val="both"/>
        <w:rPr>
          <w:rFonts w:ascii="Arial" w:eastAsia="Arial" w:hAnsi="Arial" w:cs="Arial"/>
          <w:b/>
          <w:i/>
          <w:sz w:val="22"/>
          <w:szCs w:val="22"/>
          <w:bdr w:val="nil"/>
        </w:rPr>
      </w:pPr>
    </w:p>
    <w:p w14:paraId="71F3F670" w14:textId="77777777" w:rsidR="001B5E08" w:rsidRPr="00972960" w:rsidRDefault="003A4815" w:rsidP="00972960">
      <w:pPr>
        <w:pStyle w:val="CommentText"/>
        <w:numPr>
          <w:ilvl w:val="0"/>
          <w:numId w:val="24"/>
        </w:numPr>
        <w:pBdr>
          <w:top w:val="nil"/>
          <w:left w:val="nil"/>
          <w:bottom w:val="nil"/>
          <w:right w:val="nil"/>
          <w:between w:val="nil"/>
          <w:bar w:val="nil"/>
        </w:pBdr>
        <w:ind w:left="567" w:hanging="567"/>
        <w:jc w:val="both"/>
        <w:rPr>
          <w:rFonts w:ascii="Arial" w:eastAsia="Arial" w:hAnsi="Arial" w:cs="Arial"/>
          <w:iCs/>
          <w:sz w:val="22"/>
          <w:szCs w:val="22"/>
          <w:bdr w:val="nil"/>
        </w:rPr>
      </w:pPr>
      <w:bookmarkStart w:id="456" w:name="XBRL_TS_95d2e35e7a17473bb1adafc9ad2498ba"/>
      <w:r w:rsidRPr="00972960">
        <w:rPr>
          <w:rFonts w:ascii="Arial" w:eastAsia="Arial" w:hAnsi="Arial" w:cs="Arial"/>
          <w:b/>
          <w:bCs/>
          <w:i/>
          <w:sz w:val="22"/>
          <w:szCs w:val="22"/>
        </w:rPr>
        <w:t xml:space="preserve">Contracts in entity’s equity: </w:t>
      </w:r>
      <w:r w:rsidR="00972960" w:rsidRPr="00972960">
        <w:rPr>
          <w:rFonts w:ascii="Arial" w:eastAsia="Arial" w:hAnsi="Arial" w:cs="Arial"/>
          <w:iCs/>
          <w:sz w:val="22"/>
          <w:szCs w:val="22"/>
        </w:rPr>
        <w:t>The Company evaluates contracts that may be settled in the Company’s common shares, including warrants and pre</w:t>
      </w:r>
      <w:r w:rsidR="00972960" w:rsidRPr="00972960">
        <w:rPr>
          <w:rFonts w:ascii="Arial" w:eastAsia="Arial" w:hAnsi="Arial" w:cs="Arial"/>
          <w:iCs/>
          <w:sz w:val="22"/>
          <w:szCs w:val="22"/>
        </w:rPr>
        <w:noBreakHyphen/>
        <w:t>funded warrants, under the  guidance of ASC 480 and ASC 815</w:t>
      </w:r>
      <w:r w:rsidR="00972960" w:rsidRPr="00972960">
        <w:rPr>
          <w:rFonts w:ascii="Arial" w:eastAsia="Arial" w:hAnsi="Arial" w:cs="Arial"/>
          <w:iCs/>
          <w:sz w:val="22"/>
          <w:szCs w:val="22"/>
        </w:rPr>
        <w:noBreakHyphen/>
        <w:t>40 to determine whether such instruments should be classified as equity or as liabilities. The Company first assesses whether the contract is within the scope of ASC 480, including instruments that are mandatorily redeemable, require the issuer to repurchase its own shares for cash, or embody an unconditional obligation to deliver cash. Instruments within the scope of ASC 480 are classified as liabilities. If ASC 480 does not require liability classification, the Company evaluates the instrument under ASC 815</w:t>
      </w:r>
      <w:r w:rsidR="00972960" w:rsidRPr="00972960">
        <w:rPr>
          <w:rFonts w:ascii="Arial" w:eastAsia="Arial" w:hAnsi="Arial" w:cs="Arial"/>
          <w:iCs/>
          <w:sz w:val="22"/>
          <w:szCs w:val="22"/>
        </w:rPr>
        <w:noBreakHyphen/>
        <w:t>40. The Company considers whether the contract (i) is indexed to the Company’s own stock and (ii) meets the equity classification criteria in ASC 815</w:t>
      </w:r>
      <w:r w:rsidR="00972960" w:rsidRPr="00972960">
        <w:rPr>
          <w:rFonts w:ascii="Arial" w:eastAsia="Arial" w:hAnsi="Arial" w:cs="Arial"/>
          <w:iCs/>
          <w:sz w:val="22"/>
          <w:szCs w:val="22"/>
        </w:rPr>
        <w:noBreakHyphen/>
        <w:t>40</w:t>
      </w:r>
      <w:r w:rsidR="00972960" w:rsidRPr="00972960">
        <w:rPr>
          <w:rFonts w:ascii="Arial" w:eastAsia="Arial" w:hAnsi="Arial" w:cs="Arial"/>
          <w:iCs/>
          <w:sz w:val="22"/>
          <w:szCs w:val="22"/>
        </w:rPr>
        <w:noBreakHyphen/>
        <w:t>25. These criteria require, among other things, that the Company has sufficient authorized and unissued shares available for settlement; settlement in unregistered shares is permitted; the contract contains a fixed or explicitly limited number of shares for settlement; there are no requirements for net cash settlement under any circumstances outside the Company’s control, including failure to make SEC filings; and there are no cash</w:t>
      </w:r>
      <w:r w:rsidR="00972960" w:rsidRPr="00972960">
        <w:rPr>
          <w:rFonts w:ascii="Arial" w:eastAsia="Arial" w:hAnsi="Arial" w:cs="Arial"/>
          <w:iCs/>
          <w:sz w:val="22"/>
          <w:szCs w:val="22"/>
        </w:rPr>
        <w:noBreakHyphen/>
        <w:t>settled top</w:t>
      </w:r>
      <w:r w:rsidR="00972960" w:rsidRPr="00972960">
        <w:rPr>
          <w:rFonts w:ascii="Arial" w:eastAsia="Arial" w:hAnsi="Arial" w:cs="Arial"/>
          <w:iCs/>
          <w:sz w:val="22"/>
          <w:szCs w:val="22"/>
        </w:rPr>
        <w:noBreakHyphen/>
        <w:t>off, penalty, or make</w:t>
      </w:r>
      <w:r w:rsidR="00972960" w:rsidRPr="00972960">
        <w:rPr>
          <w:rFonts w:ascii="Arial" w:eastAsia="Arial" w:hAnsi="Arial" w:cs="Arial"/>
          <w:iCs/>
          <w:sz w:val="22"/>
          <w:szCs w:val="22"/>
        </w:rPr>
        <w:noBreakHyphen/>
        <w:t>whole provisions. Instruments that meet both the indexation and equity classification conditions are classified in equity. Instruments that do not meet these criteria are classified as liabilities and are remeasured at fair value through earnings at each reporting date. In assessing warrants and pre</w:t>
      </w:r>
      <w:r w:rsidR="00972960" w:rsidRPr="00972960">
        <w:rPr>
          <w:rFonts w:ascii="Arial" w:eastAsia="Arial" w:hAnsi="Arial" w:cs="Arial"/>
          <w:iCs/>
          <w:sz w:val="22"/>
          <w:szCs w:val="22"/>
        </w:rPr>
        <w:noBreakHyphen/>
        <w:t>funded warrants, the Company also analyzes whether the instruments meet the definition of a derivative under ASC 815 and whether any embedded features would require bifurcation. If derivative accounting is not required and the criteria for equity classification are met, the warrant is accounted for as an equity</w:t>
      </w:r>
      <w:r w:rsidR="00972960" w:rsidRPr="00972960">
        <w:rPr>
          <w:rFonts w:ascii="Arial" w:eastAsia="Arial" w:hAnsi="Arial" w:cs="Arial"/>
          <w:iCs/>
          <w:sz w:val="22"/>
          <w:szCs w:val="22"/>
        </w:rPr>
        <w:noBreakHyphen/>
        <w:t>classified instrument, and no bifurcation of embedded features is performed. For warrants classified as liabilities, subsequent changes in fair value are recognized in earnings.</w:t>
      </w:r>
    </w:p>
    <w:bookmarkEnd w:id="456"/>
    <w:p w14:paraId="71F3F671" w14:textId="77777777" w:rsidR="00CE0138" w:rsidRPr="00972960" w:rsidRDefault="00CE0138" w:rsidP="00D01D20">
      <w:pPr>
        <w:pStyle w:val="CommentText"/>
        <w:pBdr>
          <w:top w:val="nil"/>
          <w:left w:val="nil"/>
          <w:bottom w:val="nil"/>
          <w:right w:val="nil"/>
          <w:between w:val="nil"/>
          <w:bar w:val="nil"/>
        </w:pBdr>
        <w:ind w:left="567" w:hanging="567"/>
        <w:jc w:val="both"/>
        <w:rPr>
          <w:rFonts w:ascii="Arial" w:eastAsia="Arial" w:hAnsi="Arial" w:cs="Arial"/>
          <w:iCs/>
          <w:sz w:val="22"/>
          <w:szCs w:val="22"/>
          <w:bdr w:val="nil"/>
        </w:rPr>
      </w:pPr>
    </w:p>
    <w:p w14:paraId="71F3F672" w14:textId="77777777" w:rsidR="000A005B" w:rsidRPr="00803606" w:rsidRDefault="003A4815" w:rsidP="00D01D20">
      <w:pPr>
        <w:pStyle w:val="CommentText"/>
        <w:numPr>
          <w:ilvl w:val="0"/>
          <w:numId w:val="24"/>
        </w:numPr>
        <w:pBdr>
          <w:top w:val="nil"/>
          <w:left w:val="nil"/>
          <w:bottom w:val="nil"/>
          <w:right w:val="nil"/>
          <w:between w:val="nil"/>
          <w:bar w:val="nil"/>
        </w:pBdr>
        <w:ind w:left="567" w:hanging="567"/>
        <w:jc w:val="both"/>
        <w:rPr>
          <w:rFonts w:ascii="Arial" w:eastAsia="Arial" w:hAnsi="Arial" w:cs="Arial"/>
          <w:iCs/>
          <w:sz w:val="22"/>
          <w:szCs w:val="22"/>
          <w:bdr w:val="nil"/>
        </w:rPr>
      </w:pPr>
      <w:bookmarkStart w:id="457" w:name="XBRL_TS_c5b4c4731ca34e3c8311d8a62b1f2588"/>
      <w:r w:rsidRPr="00803606">
        <w:rPr>
          <w:rFonts w:ascii="Arial" w:eastAsia="Arial" w:hAnsi="Arial" w:cs="Arial"/>
          <w:b/>
          <w:bCs/>
          <w:i/>
          <w:sz w:val="22"/>
          <w:szCs w:val="22"/>
        </w:rPr>
        <w:t>Guarantees:</w:t>
      </w:r>
      <w:r w:rsidR="00803606" w:rsidRPr="00803606">
        <w:rPr>
          <w:rFonts w:ascii="Arial" w:eastAsia="Arial" w:hAnsi="Arial" w:cs="Arial"/>
          <w:iCs/>
          <w:sz w:val="22"/>
          <w:szCs w:val="22"/>
        </w:rPr>
        <w:t xml:space="preserve"> Guarantees issued by the Company, other than those that guarantee the Company’s own performance, are recognized at fair value at the time the guarantee is issued, or upon the deconsolidation of a subsidiary. The initial fair value represents the obligation</w:t>
      </w:r>
      <w:r w:rsidR="009221D6">
        <w:rPr>
          <w:rFonts w:ascii="Arial" w:eastAsia="Arial" w:hAnsi="Arial" w:cs="Arial"/>
          <w:iCs/>
          <w:sz w:val="22"/>
          <w:szCs w:val="22"/>
        </w:rPr>
        <w:t xml:space="preserve"> undertaken</w:t>
      </w:r>
      <w:r w:rsidR="00803606" w:rsidRPr="00803606">
        <w:rPr>
          <w:rFonts w:ascii="Arial" w:eastAsia="Arial" w:hAnsi="Arial" w:cs="Arial"/>
          <w:iCs/>
          <w:sz w:val="22"/>
          <w:szCs w:val="22"/>
        </w:rPr>
        <w:t xml:space="preserve"> to perform under the guarantee. After initial recognition, the guarantee liability is subsequently amortized over the term of the guarantee or until it is extinguished. If, at any time, it becomes probable that the Company will be required to perform under a guarantee and the amount of the loss is reasonably estimable, the Company </w:t>
      </w:r>
      <w:r w:rsidR="005C38B4">
        <w:rPr>
          <w:rFonts w:ascii="Arial" w:eastAsia="Arial" w:hAnsi="Arial" w:cs="Arial"/>
          <w:iCs/>
          <w:sz w:val="22"/>
          <w:szCs w:val="22"/>
        </w:rPr>
        <w:t xml:space="preserve">will </w:t>
      </w:r>
      <w:r w:rsidR="00803606" w:rsidRPr="00803606">
        <w:rPr>
          <w:rFonts w:ascii="Arial" w:eastAsia="Arial" w:hAnsi="Arial" w:cs="Arial"/>
          <w:iCs/>
          <w:sz w:val="22"/>
          <w:szCs w:val="22"/>
        </w:rPr>
        <w:t>record an additional liability</w:t>
      </w:r>
      <w:r w:rsidR="005C38B4">
        <w:rPr>
          <w:rFonts w:ascii="Arial" w:eastAsia="Arial" w:hAnsi="Arial" w:cs="Arial"/>
          <w:iCs/>
          <w:sz w:val="22"/>
          <w:szCs w:val="22"/>
        </w:rPr>
        <w:t>,</w:t>
      </w:r>
      <w:r w:rsidR="00803606" w:rsidRPr="00803606">
        <w:rPr>
          <w:rFonts w:ascii="Arial" w:eastAsia="Arial" w:hAnsi="Arial" w:cs="Arial"/>
          <w:iCs/>
          <w:sz w:val="22"/>
          <w:szCs w:val="22"/>
        </w:rPr>
        <w:t xml:space="preserve"> recognized separately from the guarantee liability. </w:t>
      </w:r>
      <w:r w:rsidR="005C38B4">
        <w:rPr>
          <w:rFonts w:ascii="Arial" w:eastAsia="Arial" w:hAnsi="Arial" w:cs="Arial"/>
          <w:iCs/>
          <w:sz w:val="22"/>
          <w:szCs w:val="22"/>
        </w:rPr>
        <w:t>C</w:t>
      </w:r>
      <w:r w:rsidR="00803606" w:rsidRPr="00803606">
        <w:rPr>
          <w:rFonts w:ascii="Arial" w:eastAsia="Arial" w:hAnsi="Arial" w:cs="Arial"/>
          <w:iCs/>
          <w:sz w:val="22"/>
          <w:szCs w:val="22"/>
        </w:rPr>
        <w:t xml:space="preserve">ertain guarantees are excluded from the initial fair value recognition requirement, including a parent’s guarantee of a subsidiary’s debt to a third party when both entities are under common control. For such guarantees, no liability is recorded </w:t>
      </w:r>
      <w:r w:rsidR="009221D6">
        <w:rPr>
          <w:rFonts w:ascii="Arial" w:eastAsia="Arial" w:hAnsi="Arial" w:cs="Arial"/>
          <w:iCs/>
          <w:sz w:val="22"/>
          <w:szCs w:val="22"/>
        </w:rPr>
        <w:t>and</w:t>
      </w:r>
      <w:r w:rsidR="00803606" w:rsidRPr="00803606">
        <w:rPr>
          <w:rFonts w:ascii="Arial" w:eastAsia="Arial" w:hAnsi="Arial" w:cs="Arial"/>
          <w:iCs/>
          <w:sz w:val="22"/>
          <w:szCs w:val="22"/>
        </w:rPr>
        <w:t xml:space="preserve"> the Company provides disclosures regarding the nature and terms of the guarantee</w:t>
      </w:r>
      <w:r w:rsidRPr="00803606">
        <w:rPr>
          <w:rFonts w:ascii="Arial" w:eastAsia="Arial" w:hAnsi="Arial" w:cs="Arial"/>
          <w:iCs/>
          <w:sz w:val="22"/>
          <w:szCs w:val="22"/>
        </w:rPr>
        <w:t>.</w:t>
      </w:r>
      <w:bookmarkEnd w:id="457"/>
    </w:p>
    <w:p w14:paraId="71F3F673" w14:textId="77777777" w:rsidR="00795A31" w:rsidRDefault="00795A31" w:rsidP="00795A31">
      <w:pPr>
        <w:pStyle w:val="ListParagraph"/>
        <w:pBdr>
          <w:top w:val="nil"/>
          <w:left w:val="nil"/>
          <w:bottom w:val="nil"/>
          <w:right w:val="nil"/>
          <w:between w:val="nil"/>
          <w:bar w:val="nil"/>
        </w:pBdr>
        <w:rPr>
          <w:rFonts w:ascii="Arial" w:eastAsia="Arial" w:hAnsi="Arial" w:cs="Arial"/>
          <w:iCs/>
          <w:bdr w:val="nil"/>
          <w:lang w:val="en-US"/>
        </w:rPr>
      </w:pPr>
    </w:p>
    <w:p w14:paraId="71F3F674" w14:textId="77777777" w:rsidR="00795A31" w:rsidRPr="00803606" w:rsidRDefault="003A4815" w:rsidP="00803606">
      <w:pPr>
        <w:pStyle w:val="CommentText"/>
        <w:numPr>
          <w:ilvl w:val="0"/>
          <w:numId w:val="24"/>
        </w:numPr>
        <w:pBdr>
          <w:top w:val="nil"/>
          <w:left w:val="nil"/>
          <w:bottom w:val="nil"/>
          <w:right w:val="nil"/>
          <w:between w:val="nil"/>
          <w:bar w:val="nil"/>
        </w:pBdr>
        <w:ind w:left="567" w:hanging="567"/>
        <w:jc w:val="both"/>
        <w:rPr>
          <w:rFonts w:ascii="Arial" w:eastAsia="Arial" w:hAnsi="Arial" w:cs="Arial"/>
          <w:iCs/>
          <w:sz w:val="22"/>
          <w:szCs w:val="22"/>
          <w:bdr w:val="nil"/>
        </w:rPr>
      </w:pPr>
      <w:bookmarkStart w:id="458" w:name="XBRL_TS_9ea4ad5ea5ff45bf8c874814bab55cb0"/>
      <w:r w:rsidRPr="00803606">
        <w:rPr>
          <w:rFonts w:ascii="Arial" w:eastAsia="Arial" w:hAnsi="Arial" w:cs="Arial"/>
          <w:b/>
          <w:bCs/>
          <w:i/>
          <w:sz w:val="22"/>
          <w:szCs w:val="22"/>
        </w:rPr>
        <w:t xml:space="preserve">Derivative instruments:  </w:t>
      </w:r>
      <w:r w:rsidR="005C38B4">
        <w:rPr>
          <w:rFonts w:ascii="Arial" w:eastAsia="Arial" w:hAnsi="Arial" w:cs="Arial"/>
          <w:iCs/>
          <w:sz w:val="22"/>
          <w:szCs w:val="22"/>
        </w:rPr>
        <w:t>D</w:t>
      </w:r>
      <w:r w:rsidR="00803606" w:rsidRPr="00803606">
        <w:rPr>
          <w:rFonts w:ascii="Arial" w:eastAsia="Arial" w:hAnsi="Arial" w:cs="Arial"/>
          <w:iCs/>
          <w:sz w:val="22"/>
          <w:szCs w:val="22"/>
        </w:rPr>
        <w:t>erivative instruments are recognized on the consolidated balance sheets as either assets or liabilities measured at fair value. Changes in the fair value of a derivative are recognized either in other comprehensive income (“OCI”), to the extent the derivative is designated and qualifies as a hedging instrument, or in earnings if hedge accounting is not applied. The Company has not designated any derivative instruments as hedging instruments under ASC 815. Derivative assets and liabilities are not offset unless the requirements for offsetting under ASC 210</w:t>
      </w:r>
      <w:r w:rsidR="00803606" w:rsidRPr="00803606">
        <w:rPr>
          <w:rFonts w:ascii="Arial" w:eastAsia="Arial" w:hAnsi="Arial" w:cs="Arial"/>
          <w:iCs/>
          <w:sz w:val="22"/>
          <w:szCs w:val="22"/>
        </w:rPr>
        <w:noBreakHyphen/>
        <w:t>20 are met.</w:t>
      </w:r>
    </w:p>
    <w:bookmarkEnd w:id="458"/>
    <w:p w14:paraId="71F3F675" w14:textId="77777777" w:rsidR="00287E2A" w:rsidRDefault="00287E2A" w:rsidP="00287E2A">
      <w:pPr>
        <w:pStyle w:val="ListParagraph"/>
        <w:pBdr>
          <w:top w:val="nil"/>
          <w:left w:val="nil"/>
          <w:bottom w:val="nil"/>
          <w:right w:val="nil"/>
          <w:between w:val="nil"/>
          <w:bar w:val="nil"/>
        </w:pBdr>
        <w:rPr>
          <w:rFonts w:ascii="Arial" w:eastAsia="Arial" w:hAnsi="Arial" w:cs="Arial"/>
          <w:iCs/>
          <w:bdr w:val="nil"/>
          <w:lang w:val="en-US"/>
        </w:rPr>
      </w:pPr>
    </w:p>
    <w:p w14:paraId="71F3F676" w14:textId="77777777" w:rsidR="00287E2A" w:rsidRDefault="003A4815" w:rsidP="00287E2A">
      <w:pPr>
        <w:pStyle w:val="CommentText"/>
        <w:pBdr>
          <w:top w:val="nil"/>
          <w:left w:val="nil"/>
          <w:bottom w:val="nil"/>
          <w:right w:val="nil"/>
          <w:between w:val="nil"/>
          <w:bar w:val="nil"/>
        </w:pBdr>
        <w:jc w:val="both"/>
        <w:rPr>
          <w:rFonts w:ascii="Arial" w:eastAsia="Arial" w:hAnsi="Arial" w:cs="Arial"/>
          <w:b/>
          <w:bCs/>
          <w:iCs/>
          <w:sz w:val="22"/>
          <w:szCs w:val="22"/>
          <w:bdr w:val="nil"/>
        </w:rPr>
      </w:pPr>
      <w:bookmarkStart w:id="459" w:name="XBRL_TS_10eb600b7aca43bf993f6410f5324e42"/>
      <w:r w:rsidRPr="00287E2A">
        <w:rPr>
          <w:rFonts w:ascii="Arial" w:eastAsia="Arial" w:hAnsi="Arial" w:cs="Arial"/>
          <w:b/>
          <w:bCs/>
          <w:iCs/>
          <w:sz w:val="22"/>
          <w:szCs w:val="22"/>
        </w:rPr>
        <w:t>New Accounting Pronouncements</w:t>
      </w:r>
    </w:p>
    <w:p w14:paraId="71F3F677" w14:textId="77777777" w:rsidR="00287E2A" w:rsidRDefault="00287E2A" w:rsidP="00287E2A">
      <w:pPr>
        <w:pStyle w:val="CommentText"/>
        <w:pBdr>
          <w:top w:val="nil"/>
          <w:left w:val="nil"/>
          <w:bottom w:val="nil"/>
          <w:right w:val="nil"/>
          <w:between w:val="nil"/>
          <w:bar w:val="nil"/>
        </w:pBdr>
        <w:jc w:val="both"/>
        <w:rPr>
          <w:rFonts w:ascii="Arial" w:eastAsia="Arial" w:hAnsi="Arial" w:cs="Arial"/>
          <w:b/>
          <w:bCs/>
          <w:iCs/>
          <w:sz w:val="22"/>
          <w:szCs w:val="22"/>
          <w:bdr w:val="nil"/>
        </w:rPr>
      </w:pPr>
    </w:p>
    <w:p w14:paraId="71F3F678" w14:textId="77777777" w:rsidR="00287E2A" w:rsidRDefault="003A4815" w:rsidP="00287E2A">
      <w:pPr>
        <w:pStyle w:val="CommentText"/>
        <w:pBdr>
          <w:top w:val="nil"/>
          <w:left w:val="nil"/>
          <w:bottom w:val="nil"/>
          <w:right w:val="nil"/>
          <w:between w:val="nil"/>
          <w:bar w:val="nil"/>
        </w:pBdr>
        <w:jc w:val="both"/>
        <w:rPr>
          <w:rFonts w:ascii="Arial" w:eastAsia="Arial" w:hAnsi="Arial" w:cs="Arial"/>
          <w:iCs/>
          <w:sz w:val="22"/>
          <w:szCs w:val="22"/>
          <w:bdr w:val="nil"/>
        </w:rPr>
      </w:pPr>
      <w:r w:rsidRPr="00287E2A">
        <w:rPr>
          <w:rFonts w:ascii="Arial" w:eastAsia="Arial" w:hAnsi="Arial" w:cs="Arial"/>
          <w:iCs/>
          <w:sz w:val="22"/>
          <w:szCs w:val="22"/>
        </w:rPr>
        <w:t>In November 2024, the FASB issued ASU 2024-03, “Income Statement - Reporting Comprehensive Income - Expense Disaggregation Disclosures (Subtopic 220-40): Disaggregation of Income Statement Expenses”. The standard is intended to require more detailed disclosure about specified categories of expenses (including employee compensation, depreciation, and amortization) included in certain expense captions presented on the face of the income statement. This ASU is effective for fiscal years beginning after December 15, 2026, and for interim periods within fiscal years beginning after December 15, 2027. Early adoption is permitted. The amendments may be applied either prospectively to financial statements issued for reporting periods after the effective date of this ASU or retrospectively to all prior periods presented in the financial statements. The Company is currently assessing the impact this standard will have on its consolidated financial statements.</w:t>
      </w:r>
    </w:p>
    <w:p w14:paraId="71F3F679" w14:textId="77777777" w:rsidR="00D321C2" w:rsidRDefault="00D321C2" w:rsidP="00287E2A">
      <w:pPr>
        <w:pStyle w:val="CommentText"/>
        <w:pBdr>
          <w:top w:val="nil"/>
          <w:left w:val="nil"/>
          <w:bottom w:val="nil"/>
          <w:right w:val="nil"/>
          <w:between w:val="nil"/>
          <w:bar w:val="nil"/>
        </w:pBdr>
        <w:jc w:val="both"/>
        <w:rPr>
          <w:rFonts w:ascii="Arial" w:eastAsia="Arial" w:hAnsi="Arial" w:cs="Arial"/>
          <w:iCs/>
          <w:sz w:val="22"/>
          <w:szCs w:val="22"/>
          <w:bdr w:val="nil"/>
        </w:rPr>
      </w:pPr>
    </w:p>
    <w:p w14:paraId="71F3F67A" w14:textId="77777777" w:rsidR="00D321C2" w:rsidRDefault="003A4815" w:rsidP="00287E2A">
      <w:pPr>
        <w:pStyle w:val="CommentText"/>
        <w:pBdr>
          <w:top w:val="nil"/>
          <w:left w:val="nil"/>
          <w:bottom w:val="nil"/>
          <w:right w:val="nil"/>
          <w:between w:val="nil"/>
          <w:bar w:val="nil"/>
        </w:pBdr>
        <w:jc w:val="both"/>
        <w:rPr>
          <w:rFonts w:ascii="Arial" w:eastAsia="Arial" w:hAnsi="Arial" w:cs="Arial"/>
          <w:iCs/>
          <w:sz w:val="22"/>
          <w:szCs w:val="22"/>
          <w:bdr w:val="nil"/>
        </w:rPr>
      </w:pPr>
      <w:r w:rsidRPr="00D321C2">
        <w:rPr>
          <w:rFonts w:ascii="Arial" w:eastAsia="Arial" w:hAnsi="Arial" w:cs="Arial"/>
          <w:iCs/>
          <w:sz w:val="22"/>
          <w:szCs w:val="22"/>
        </w:rPr>
        <w:t>In July 2025, the FASB issued ASU No. 2025-05, “Financial Instruments—Credit Losses (Topic 326): Measurement of Credit Losses for Accounts Receivable and Contract Assets”. The ASU 2025-05 provides a practical expedient that all entities may elect to use when estimating expected credit losses for current accounts receivable and current contract assets arising from transactions accounted for under ASC 606, Revenue from Contracts with Customers, by allowing them to assume that current conditions as of the balance sheet date will not change for the remaining life of the asset. ASU 2025-05 is effective for annual reporting periods beginning after December 15, 2025, and interim reporting periods within those periods, with early adoption permitted. The Company is currently evaluating the impact that the adoption of ASU 2025-05 will have on its consolidated financial statements and related disclosures.</w:t>
      </w:r>
    </w:p>
    <w:p w14:paraId="71F3F67B" w14:textId="77777777" w:rsidR="000D7ECE" w:rsidRDefault="000D7ECE" w:rsidP="00287E2A">
      <w:pPr>
        <w:pStyle w:val="CommentText"/>
        <w:pBdr>
          <w:top w:val="nil"/>
          <w:left w:val="nil"/>
          <w:bottom w:val="nil"/>
          <w:right w:val="nil"/>
          <w:between w:val="nil"/>
          <w:bar w:val="nil"/>
        </w:pBdr>
        <w:jc w:val="both"/>
        <w:rPr>
          <w:rFonts w:ascii="Arial" w:eastAsia="Arial" w:hAnsi="Arial" w:cs="Arial"/>
          <w:iCs/>
          <w:sz w:val="22"/>
          <w:szCs w:val="22"/>
          <w:bdr w:val="nil"/>
        </w:rPr>
      </w:pPr>
    </w:p>
    <w:p w14:paraId="71F3F67C" w14:textId="77777777" w:rsidR="000D7ECE" w:rsidRDefault="003A4815" w:rsidP="00287E2A">
      <w:pPr>
        <w:pStyle w:val="CommentText"/>
        <w:pBdr>
          <w:top w:val="nil"/>
          <w:left w:val="nil"/>
          <w:bottom w:val="nil"/>
          <w:right w:val="nil"/>
          <w:between w:val="nil"/>
          <w:bar w:val="nil"/>
        </w:pBdr>
        <w:jc w:val="both"/>
        <w:rPr>
          <w:rFonts w:ascii="Arial" w:eastAsia="Arial" w:hAnsi="Arial" w:cs="Arial"/>
          <w:iCs/>
          <w:sz w:val="22"/>
          <w:szCs w:val="22"/>
          <w:bdr w:val="nil"/>
        </w:rPr>
      </w:pPr>
      <w:r w:rsidRPr="000D7ECE">
        <w:rPr>
          <w:rFonts w:ascii="Arial" w:eastAsia="Arial" w:hAnsi="Arial" w:cs="Arial"/>
          <w:iCs/>
          <w:sz w:val="22"/>
          <w:szCs w:val="22"/>
        </w:rPr>
        <w:t>In December 2025, the FASB issued ASU 2025-11, Interim Reporting (Topic 270): Narrow-Scope Improvements, which clarifies the navigability and applicability of interim reporting guidance under US GAAP and adds a new disclosure principle for interim periods. The amendments are not intended to change the fundamental nature of interim reporting or expand or reduce substantive interim disclosure requirements. The ASU is effective for interim reporting periods within annual reporting periods beginning after December 15, 2027 for public business entities and after December 15, 2028 for entities other than public business entities, with early adoption permitted. The Company is currently evaluating the impact that adopting this update may have on its consolidated financial statement disclosures.</w:t>
      </w:r>
    </w:p>
    <w:p w14:paraId="71F3F67D" w14:textId="77777777" w:rsidR="00185917" w:rsidRDefault="00185917" w:rsidP="00287E2A">
      <w:pPr>
        <w:pStyle w:val="CommentText"/>
        <w:pBdr>
          <w:top w:val="nil"/>
          <w:left w:val="nil"/>
          <w:bottom w:val="nil"/>
          <w:right w:val="nil"/>
          <w:between w:val="nil"/>
          <w:bar w:val="nil"/>
        </w:pBdr>
        <w:jc w:val="both"/>
        <w:rPr>
          <w:rFonts w:ascii="Arial" w:eastAsia="Arial" w:hAnsi="Arial" w:cs="Arial"/>
          <w:iCs/>
          <w:sz w:val="22"/>
          <w:szCs w:val="22"/>
          <w:bdr w:val="nil"/>
        </w:rPr>
      </w:pPr>
    </w:p>
    <w:p w14:paraId="71F3F67E" w14:textId="77777777" w:rsidR="00DA3BC8" w:rsidRPr="00A74246" w:rsidRDefault="003A4815" w:rsidP="00DA3BC8">
      <w:pPr>
        <w:pStyle w:val="CommentText"/>
        <w:pBdr>
          <w:top w:val="nil"/>
          <w:left w:val="nil"/>
          <w:bottom w:val="nil"/>
          <w:right w:val="nil"/>
          <w:between w:val="nil"/>
          <w:bar w:val="nil"/>
        </w:pBdr>
        <w:jc w:val="both"/>
        <w:rPr>
          <w:rFonts w:ascii="Arial" w:eastAsia="Arial" w:hAnsi="Arial" w:cs="Arial"/>
          <w:iCs/>
          <w:bdr w:val="nil"/>
        </w:rPr>
      </w:pPr>
      <w:r w:rsidRPr="00185917">
        <w:rPr>
          <w:rFonts w:ascii="Arial" w:eastAsia="Arial" w:hAnsi="Arial" w:cs="Arial"/>
          <w:iCs/>
          <w:sz w:val="22"/>
          <w:szCs w:val="22"/>
        </w:rPr>
        <w:t xml:space="preserve">In December 2025 the FASB issued ASU No. 2025-12 to clarify, correct errors in or make other improvements to a broad range of topics in the Accounting Standards Codification (“ASC”), including ASC 260, Earnings Per Share; ASC 325, Investments — Other; and ASC 958, Not-for-Profit Entities. The guidance is effective for all entities for annual reporting periods beginning after 15 December 2026, and interim periods within those annual periods. Early adoption is permitted. Entities are required to apply the amendments to ASC 260 retrospectively to each prior reporting period presented in the period of adoption. Entities can apply all other amendments in the period of adoption either (1) prospectively to all new transactions recognized on or after the date that the entity first applies the amendments or (2) retrospectively to the beginning of the earliest comparative period presented, with an adjustment to the opening balance of retained earnings (or other appropriate components of equity or net assets in the statement of financial position) as of the beginning of the earliest comparative period presented. An entity may elect the transition method on an issue-by-issue basis (except for the ASC 260 amendments). </w:t>
      </w:r>
      <w:r w:rsidR="00711362" w:rsidRPr="00711362">
        <w:rPr>
          <w:rFonts w:ascii="Arial" w:eastAsia="Arial" w:hAnsi="Arial" w:cs="Arial"/>
          <w:iCs/>
          <w:sz w:val="22"/>
          <w:szCs w:val="22"/>
        </w:rPr>
        <w:t>The Company is currently assessing the impact this standard will have on its consolidated financial statements</w:t>
      </w:r>
      <w:r w:rsidRPr="00DA3BC8">
        <w:rPr>
          <w:rFonts w:ascii="Arial" w:eastAsia="Arial" w:hAnsi="Arial" w:cs="Arial"/>
          <w:iCs/>
          <w:sz w:val="22"/>
          <w:szCs w:val="22"/>
        </w:rPr>
        <w:t>.</w:t>
      </w:r>
      <w:bookmarkEnd w:id="399"/>
      <w:bookmarkEnd w:id="459"/>
    </w:p>
    <w:p w14:paraId="71F3F67F"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680" w14:textId="77777777" w:rsidR="00E15988" w:rsidRPr="00346C09" w:rsidRDefault="003A4815" w:rsidP="00346C09">
      <w:pPr>
        <w:pStyle w:val="Heading1"/>
        <w:keepLines/>
        <w:pBdr>
          <w:top w:val="nil"/>
          <w:left w:val="nil"/>
          <w:bottom w:val="nil"/>
          <w:right w:val="nil"/>
          <w:between w:val="nil"/>
          <w:bar w:val="nil"/>
        </w:pBdr>
        <w:spacing w:before="0" w:after="0"/>
        <w:rPr>
          <w:rFonts w:eastAsia="Arial"/>
          <w:color w:val="auto"/>
          <w:kern w:val="0"/>
          <w:bdr w:val="nil"/>
        </w:rPr>
      </w:pPr>
      <w:bookmarkStart w:id="460" w:name="RG_MARKER_23103"/>
      <w:bookmarkStart w:id="461" w:name="RG_MARKER_23175"/>
      <w:bookmarkStart w:id="462" w:name="XBRL_TS_cfb54e6cbef949f7b7508a540f6491dc"/>
      <w:r w:rsidRPr="00346C09">
        <w:rPr>
          <w:rFonts w:ascii="Arial" w:eastAsia="Arial" w:hAnsi="Arial" w:cs="Arial"/>
          <w:color w:val="auto"/>
          <w:kern w:val="0"/>
          <w:sz w:val="24"/>
          <w:szCs w:val="24"/>
        </w:rPr>
        <w:t>3.</w:t>
      </w:r>
      <w:bookmarkEnd w:id="460"/>
      <w:bookmarkEnd w:id="461"/>
      <w:r w:rsidRPr="00346C09">
        <w:rPr>
          <w:rFonts w:ascii="Arial" w:eastAsia="Arial" w:hAnsi="Arial" w:cs="Arial"/>
          <w:color w:val="auto"/>
          <w:kern w:val="0"/>
          <w:sz w:val="24"/>
          <w:szCs w:val="24"/>
        </w:rPr>
        <w:tab/>
      </w:r>
      <w:r w:rsidR="008A7084" w:rsidRPr="00346C09">
        <w:rPr>
          <w:rFonts w:ascii="Arial" w:eastAsia="Arial" w:hAnsi="Arial" w:cs="Arial"/>
          <w:color w:val="auto"/>
          <w:kern w:val="0"/>
          <w:sz w:val="24"/>
          <w:szCs w:val="24"/>
        </w:rPr>
        <w:t>Transactions with related parties</w:t>
      </w:r>
    </w:p>
    <w:p w14:paraId="71F3F681" w14:textId="77777777" w:rsidR="00806B74" w:rsidRPr="00346C09" w:rsidRDefault="00806B74" w:rsidP="00346C09">
      <w:pPr>
        <w:keepNext/>
        <w:keepLines/>
        <w:pBdr>
          <w:top w:val="nil"/>
          <w:left w:val="nil"/>
          <w:bottom w:val="nil"/>
          <w:right w:val="nil"/>
          <w:between w:val="nil"/>
          <w:bar w:val="nil"/>
        </w:pBdr>
        <w:jc w:val="both"/>
        <w:rPr>
          <w:rFonts w:ascii="Arial" w:eastAsia="Arial" w:hAnsi="Arial" w:cs="Arial"/>
          <w:b/>
          <w:i/>
          <w:bdr w:val="nil"/>
          <w:lang w:val="en-US"/>
        </w:rPr>
      </w:pPr>
    </w:p>
    <w:p w14:paraId="71F3F682" w14:textId="77777777" w:rsidR="009436B2" w:rsidRPr="00346C09" w:rsidRDefault="003A4815" w:rsidP="00346C09">
      <w:pPr>
        <w:pBdr>
          <w:top w:val="nil"/>
          <w:left w:val="nil"/>
          <w:bottom w:val="nil"/>
          <w:right w:val="nil"/>
          <w:between w:val="nil"/>
          <w:bar w:val="nil"/>
        </w:pBdr>
        <w:jc w:val="both"/>
        <w:rPr>
          <w:rFonts w:ascii="Arial" w:eastAsia="Arial" w:hAnsi="Arial" w:cs="Arial"/>
          <w:bdr w:val="nil"/>
          <w:lang w:val="en-US"/>
        </w:rPr>
      </w:pPr>
      <w:r w:rsidRPr="00346C09">
        <w:rPr>
          <w:rStyle w:val="Heading2Char"/>
          <w:rFonts w:ascii="Arial" w:eastAsia="Arial" w:hAnsi="Arial" w:cs="Arial"/>
          <w:bCs w:val="0"/>
          <w:iCs w:val="0"/>
          <w:color w:val="auto"/>
          <w:sz w:val="22"/>
          <w:szCs w:val="22"/>
          <w:lang w:val="en-US"/>
        </w:rPr>
        <w:t>a)</w:t>
      </w:r>
      <w:r w:rsidRPr="00346C09">
        <w:rPr>
          <w:rStyle w:val="Heading2Char"/>
          <w:rFonts w:ascii="Arial" w:eastAsia="Arial" w:hAnsi="Arial" w:cs="Arial"/>
          <w:bCs w:val="0"/>
          <w:iCs w:val="0"/>
          <w:color w:val="auto"/>
          <w:sz w:val="22"/>
          <w:szCs w:val="22"/>
          <w:lang w:val="en-US"/>
        </w:rPr>
        <w:tab/>
        <w:t>Altair Travel Agency S.A. (“Altair”):</w:t>
      </w:r>
      <w:r w:rsidRPr="00346C09">
        <w:rPr>
          <w:rFonts w:ascii="Arial" w:eastAsia="Arial" w:hAnsi="Arial" w:cs="Arial"/>
          <w:lang w:val="en-US"/>
        </w:rPr>
        <w:t xml:space="preserve"> The Company uses the services of an affiliated travel agent, Altair, which is controlled by the Company’s </w:t>
      </w:r>
      <w:r>
        <w:rPr>
          <w:rFonts w:ascii="Arial" w:eastAsia="Arial" w:hAnsi="Arial" w:cs="Arial"/>
          <w:lang w:val="en-US"/>
        </w:rPr>
        <w:t>CEO Mrs. Semiramis Paliou</w:t>
      </w:r>
      <w:r w:rsidRPr="00346C09">
        <w:rPr>
          <w:rFonts w:ascii="Arial" w:eastAsia="Arial" w:hAnsi="Arial" w:cs="Arial"/>
          <w:lang w:val="en-US"/>
        </w:rPr>
        <w:t>. Travel expenses for 2025, 2024 and 2023 amounted to</w:t>
      </w:r>
      <w:r w:rsidR="00C93AB0" w:rsidRPr="00346C09">
        <w:rPr>
          <w:rFonts w:ascii="Arial" w:eastAsia="Arial" w:hAnsi="Arial" w:cs="Arial"/>
          <w:lang w:val="en-US"/>
        </w:rPr>
        <w:t xml:space="preserve"> $</w:t>
      </w:r>
      <w:bookmarkStart w:id="463" w:name="XBRL_CS_58715afd7dad403387c8d067466cb3eb"/>
      <w:r w:rsidRPr="00346C09">
        <w:rPr>
          <w:rFonts w:ascii="Arial" w:eastAsia="Arial" w:hAnsi="Arial" w:cs="Arial"/>
          <w:lang w:val="en-US"/>
        </w:rPr>
        <w:t>2,654</w:t>
      </w:r>
      <w:bookmarkEnd w:id="463"/>
      <w:r w:rsidR="008D563F" w:rsidRPr="00346C09">
        <w:rPr>
          <w:rFonts w:ascii="Arial" w:eastAsia="Arial" w:hAnsi="Arial" w:cs="Arial"/>
          <w:lang w:val="en-US"/>
        </w:rPr>
        <w:t>,</w:t>
      </w:r>
      <w:r w:rsidR="00C93AB0" w:rsidRPr="00346C09">
        <w:rPr>
          <w:rFonts w:ascii="Arial" w:eastAsia="Arial" w:hAnsi="Arial" w:cs="Arial"/>
          <w:lang w:val="en-US"/>
        </w:rPr>
        <w:t xml:space="preserve"> $</w:t>
      </w:r>
      <w:bookmarkStart w:id="464" w:name="XBRL_CS_a820e3fd7b024f69a629a76d2bc70737"/>
      <w:r w:rsidRPr="00346C09">
        <w:rPr>
          <w:rFonts w:ascii="Arial" w:eastAsia="Arial" w:hAnsi="Arial" w:cs="Arial"/>
          <w:lang w:val="en-US"/>
        </w:rPr>
        <w:t>2,569</w:t>
      </w:r>
      <w:bookmarkEnd w:id="464"/>
      <w:r w:rsidRPr="00346C09">
        <w:rPr>
          <w:rFonts w:ascii="Arial" w:eastAsia="Arial" w:hAnsi="Arial" w:cs="Arial"/>
          <w:lang w:val="en-US"/>
        </w:rPr>
        <w:t xml:space="preserve"> and</w:t>
      </w:r>
      <w:r w:rsidR="00C93AB0" w:rsidRPr="00346C09">
        <w:rPr>
          <w:rFonts w:ascii="Arial" w:eastAsia="Arial" w:hAnsi="Arial" w:cs="Arial"/>
          <w:lang w:val="en-US"/>
        </w:rPr>
        <w:t xml:space="preserve"> $</w:t>
      </w:r>
      <w:bookmarkStart w:id="465" w:name="XBRL_CS_5ae6852d73ed4a70adbf57e2f94b6bc0"/>
      <w:r w:rsidRPr="00346C09">
        <w:rPr>
          <w:rFonts w:ascii="Arial" w:eastAsia="Arial" w:hAnsi="Arial" w:cs="Arial"/>
          <w:lang w:val="en-US"/>
        </w:rPr>
        <w:t>2,525</w:t>
      </w:r>
      <w:bookmarkEnd w:id="465"/>
      <w:r w:rsidRPr="00346C09">
        <w:rPr>
          <w:rFonts w:ascii="Arial" w:eastAsia="Arial" w:hAnsi="Arial" w:cs="Arial"/>
          <w:lang w:val="en-US"/>
        </w:rPr>
        <w:t xml:space="preserve">, respectively, and are mainly included in </w:t>
      </w:r>
      <w:r>
        <w:rPr>
          <w:rFonts w:ascii="Arial" w:eastAsia="Arial" w:hAnsi="Arial" w:cs="Arial"/>
          <w:lang w:val="en-US"/>
        </w:rPr>
        <w:t>v</w:t>
      </w:r>
      <w:r w:rsidRPr="00346C09">
        <w:rPr>
          <w:rFonts w:ascii="Arial" w:eastAsia="Arial" w:hAnsi="Arial" w:cs="Arial"/>
          <w:lang w:val="en-US"/>
        </w:rPr>
        <w:t>essel operating expenses in the accompanying consolidated financial statements. As of December 31, 2025 and 2024, an amount of $</w:t>
      </w:r>
      <w:bookmarkStart w:id="466" w:name="XBRL_CS_d9813ab97fc04fe7aa1c3a4810ea6f33"/>
      <w:r w:rsidRPr="00346C09">
        <w:rPr>
          <w:rFonts w:ascii="Arial" w:eastAsia="Arial" w:hAnsi="Arial" w:cs="Arial"/>
          <w:lang w:val="en-US"/>
        </w:rPr>
        <w:t>89</w:t>
      </w:r>
      <w:bookmarkEnd w:id="466"/>
      <w:r w:rsidRPr="00346C09">
        <w:rPr>
          <w:rFonts w:ascii="Arial" w:eastAsia="Arial" w:hAnsi="Arial" w:cs="Arial"/>
          <w:lang w:val="en-US"/>
        </w:rPr>
        <w:t xml:space="preserve"> and $</w:t>
      </w:r>
      <w:bookmarkStart w:id="467" w:name="XBRL_CS_69af247948384b28b46500294ed19573"/>
      <w:r w:rsidRPr="00346C09">
        <w:rPr>
          <w:rFonts w:ascii="Arial" w:eastAsia="Arial" w:hAnsi="Arial" w:cs="Arial"/>
          <w:lang w:val="en-US"/>
        </w:rPr>
        <w:t>190</w:t>
      </w:r>
      <w:bookmarkEnd w:id="467"/>
      <w:r w:rsidRPr="00346C09">
        <w:rPr>
          <w:rFonts w:ascii="Arial" w:eastAsia="Arial" w:hAnsi="Arial" w:cs="Arial"/>
          <w:lang w:val="en-US"/>
        </w:rPr>
        <w:t>, respectively, was payable to Altair and is included in “Due to related parties” in the accompanying consolidated balance sheets.</w:t>
      </w:r>
      <w:bookmarkStart w:id="468" w:name="_Ref110137579"/>
      <w:r w:rsidRPr="00346C09">
        <w:rPr>
          <w:rFonts w:ascii="Arial" w:eastAsia="Arial" w:hAnsi="Arial" w:cs="Arial"/>
          <w:lang w:val="en-US"/>
        </w:rPr>
        <w:t xml:space="preserve"> </w:t>
      </w:r>
      <w:bookmarkStart w:id="469" w:name="_Ref156282581"/>
    </w:p>
    <w:p w14:paraId="71F3F683" w14:textId="77777777" w:rsidR="009436B2" w:rsidRPr="00346C09" w:rsidRDefault="009436B2" w:rsidP="00346C09">
      <w:pPr>
        <w:pBdr>
          <w:top w:val="nil"/>
          <w:left w:val="nil"/>
          <w:bottom w:val="nil"/>
          <w:right w:val="nil"/>
          <w:between w:val="nil"/>
          <w:bar w:val="nil"/>
        </w:pBdr>
        <w:jc w:val="both"/>
        <w:rPr>
          <w:rFonts w:ascii="Arial" w:eastAsia="Arial" w:hAnsi="Arial" w:cs="Arial"/>
          <w:bdr w:val="nil"/>
          <w:lang w:val="en-US"/>
        </w:rPr>
      </w:pPr>
    </w:p>
    <w:bookmarkEnd w:id="468"/>
    <w:bookmarkEnd w:id="469"/>
    <w:p w14:paraId="71F3F684" w14:textId="77777777" w:rsidR="002B2DD8" w:rsidRDefault="003A4815" w:rsidP="00346C09">
      <w:pPr>
        <w:pBdr>
          <w:top w:val="nil"/>
          <w:left w:val="nil"/>
          <w:bottom w:val="nil"/>
          <w:right w:val="nil"/>
          <w:between w:val="nil"/>
          <w:bar w:val="nil"/>
        </w:pBdr>
        <w:jc w:val="both"/>
        <w:rPr>
          <w:rFonts w:ascii="Arial" w:eastAsia="Arial" w:hAnsi="Arial" w:cs="Arial"/>
          <w:bdr w:val="nil"/>
          <w:lang w:val="en-US"/>
        </w:rPr>
      </w:pPr>
      <w:r w:rsidRPr="00346C09">
        <w:rPr>
          <w:rStyle w:val="Heading2Char"/>
          <w:rFonts w:ascii="Arial" w:eastAsia="Arial" w:hAnsi="Arial" w:cs="Arial"/>
          <w:bCs w:val="0"/>
          <w:iCs w:val="0"/>
          <w:color w:val="auto"/>
          <w:sz w:val="22"/>
          <w:szCs w:val="22"/>
          <w:lang w:val="en-US"/>
        </w:rPr>
        <w:t>b)</w:t>
      </w:r>
      <w:r w:rsidRPr="00346C09">
        <w:rPr>
          <w:rStyle w:val="Heading2Char"/>
          <w:rFonts w:ascii="Arial" w:eastAsia="Arial" w:hAnsi="Arial" w:cs="Arial"/>
          <w:bCs w:val="0"/>
          <w:iCs w:val="0"/>
          <w:color w:val="auto"/>
          <w:sz w:val="22"/>
          <w:szCs w:val="22"/>
          <w:lang w:val="en-US"/>
        </w:rPr>
        <w:tab/>
        <w:t>Steamship Shipbroking Enterprises Inc. or Steamship</w:t>
      </w:r>
      <w:r w:rsidRPr="00346C09">
        <w:rPr>
          <w:rFonts w:ascii="Arial" w:eastAsia="Arial" w:hAnsi="Arial" w:cs="Arial"/>
          <w:b/>
          <w:i/>
          <w:lang w:val="en-US"/>
        </w:rPr>
        <w:t>:</w:t>
      </w:r>
      <w:r w:rsidRPr="00346C09">
        <w:rPr>
          <w:rFonts w:ascii="Arial" w:eastAsia="Arial" w:hAnsi="Arial" w:cs="Arial"/>
          <w:lang w:val="en-US"/>
        </w:rPr>
        <w:t xml:space="preserve"> Steamship is a company controlled by the Company’s </w:t>
      </w:r>
      <w:r w:rsidR="00F61837">
        <w:rPr>
          <w:rFonts w:ascii="Arial" w:eastAsia="Arial" w:hAnsi="Arial" w:cs="Arial"/>
          <w:lang w:val="en-US"/>
        </w:rPr>
        <w:t xml:space="preserve">CEO Mrs. Semiramis Paliou </w:t>
      </w:r>
      <w:r>
        <w:rPr>
          <w:rFonts w:ascii="Arial" w:eastAsia="Arial" w:hAnsi="Arial" w:cs="Arial"/>
          <w:lang w:val="en-US"/>
        </w:rPr>
        <w:t>and</w:t>
      </w:r>
      <w:r w:rsidRPr="00346C09">
        <w:rPr>
          <w:rFonts w:ascii="Arial" w:eastAsia="Arial" w:hAnsi="Arial" w:cs="Arial"/>
          <w:lang w:val="en-US"/>
        </w:rPr>
        <w:t xml:space="preserve"> provides brokerage services to DSI for a fixed monthly fee plus commission on the sale of vessels, pursuant to a Brokerage Services Agreement</w:t>
      </w:r>
      <w:r w:rsidRPr="00346C09">
        <w:rPr>
          <w:rFonts w:ascii="Arial" w:eastAsia="Arial" w:hAnsi="Arial" w:cs="Arial"/>
          <w:bdr w:val="none" w:sz="0" w:space="0" w:color="auto" w:frame="1"/>
          <w:lang w:val="en-US"/>
        </w:rPr>
        <w:t xml:space="preserve">. </w:t>
      </w:r>
      <w:r w:rsidR="00900803">
        <w:rPr>
          <w:rFonts w:ascii="Arial" w:eastAsia="Arial" w:hAnsi="Arial" w:cs="Arial"/>
          <w:lang w:val="en-US"/>
        </w:rPr>
        <w:t>For</w:t>
      </w:r>
      <w:r w:rsidR="00F75F58" w:rsidRPr="00F75F58">
        <w:rPr>
          <w:rFonts w:ascii="Arial" w:eastAsia="Arial" w:hAnsi="Arial" w:cs="Arial"/>
          <w:lang w:val="en-US"/>
        </w:rPr>
        <w:t xml:space="preserve"> 2025</w:t>
      </w:r>
      <w:r w:rsidR="00927818">
        <w:rPr>
          <w:rFonts w:ascii="Arial" w:eastAsia="Arial" w:hAnsi="Arial" w:cs="Arial"/>
          <w:lang w:val="en-US"/>
        </w:rPr>
        <w:t xml:space="preserve">, </w:t>
      </w:r>
      <w:r w:rsidR="00927818" w:rsidRPr="00F75F58">
        <w:rPr>
          <w:rFonts w:ascii="Arial" w:eastAsia="Arial" w:hAnsi="Arial" w:cs="Arial"/>
          <w:lang w:val="en-US"/>
        </w:rPr>
        <w:t>2024</w:t>
      </w:r>
      <w:r w:rsidR="00F75F58" w:rsidRPr="00F75F58">
        <w:rPr>
          <w:rFonts w:ascii="Arial" w:eastAsia="Arial" w:hAnsi="Arial" w:cs="Arial"/>
          <w:lang w:val="en-US"/>
        </w:rPr>
        <w:t xml:space="preserve"> and 2023, brokerage fees amounted to $</w:t>
      </w:r>
      <w:bookmarkStart w:id="470" w:name="XBRL_CS_275a2174045f4430a32864a554084312"/>
      <w:r w:rsidR="00F75F58" w:rsidRPr="00F75F58">
        <w:rPr>
          <w:rFonts w:ascii="Arial" w:eastAsia="Arial" w:hAnsi="Arial" w:cs="Arial"/>
          <w:lang w:val="en-US"/>
        </w:rPr>
        <w:t>3,912</w:t>
      </w:r>
      <w:bookmarkEnd w:id="470"/>
      <w:r w:rsidR="00F75F58">
        <w:rPr>
          <w:rFonts w:ascii="Arial" w:eastAsia="Arial" w:hAnsi="Arial" w:cs="Arial"/>
          <w:lang w:val="en-US"/>
        </w:rPr>
        <w:t xml:space="preserve">, </w:t>
      </w:r>
      <w:r w:rsidR="00F75F58" w:rsidRPr="00F75F58">
        <w:rPr>
          <w:rFonts w:ascii="Arial" w:eastAsia="Arial" w:hAnsi="Arial" w:cs="Arial"/>
          <w:lang w:val="en-US"/>
        </w:rPr>
        <w:t>$</w:t>
      </w:r>
      <w:bookmarkStart w:id="471" w:name="XBRL_CS_d93e05bd47664b1d9b5d40ece3d67820"/>
      <w:r w:rsidR="00F75F58" w:rsidRPr="00F75F58">
        <w:rPr>
          <w:rFonts w:ascii="Arial" w:eastAsia="Arial" w:hAnsi="Arial" w:cs="Arial"/>
          <w:lang w:val="en-US"/>
        </w:rPr>
        <w:t>4,093</w:t>
      </w:r>
      <w:bookmarkEnd w:id="471"/>
      <w:r w:rsidR="00F75F58">
        <w:rPr>
          <w:rFonts w:ascii="Arial" w:eastAsia="Arial" w:hAnsi="Arial" w:cs="Arial"/>
          <w:lang w:val="en-US"/>
        </w:rPr>
        <w:t xml:space="preserve"> and </w:t>
      </w:r>
      <w:r w:rsidR="00F75F58" w:rsidRPr="00F75F58">
        <w:rPr>
          <w:rFonts w:ascii="Arial" w:eastAsia="Arial" w:hAnsi="Arial" w:cs="Arial"/>
          <w:lang w:val="en-US"/>
        </w:rPr>
        <w:t>$</w:t>
      </w:r>
      <w:bookmarkStart w:id="472" w:name="XBRL_CS_42f69025bfd242e8863d38c8eeee4e8d"/>
      <w:r w:rsidR="00F75F58" w:rsidRPr="00F75F58">
        <w:rPr>
          <w:rFonts w:ascii="Arial" w:eastAsia="Arial" w:hAnsi="Arial" w:cs="Arial"/>
          <w:lang w:val="en-US"/>
        </w:rPr>
        <w:t>3,900</w:t>
      </w:r>
      <w:bookmarkEnd w:id="472"/>
      <w:r w:rsidR="00F75F58" w:rsidRPr="00F75F58">
        <w:rPr>
          <w:rFonts w:ascii="Arial" w:eastAsia="Arial" w:hAnsi="Arial" w:cs="Arial"/>
          <w:lang w:val="en-US"/>
        </w:rPr>
        <w:t>, respectively, and are included mainly in general and administrative expenses</w:t>
      </w:r>
      <w:r w:rsidR="00DC5165">
        <w:rPr>
          <w:rFonts w:ascii="Arial" w:eastAsia="Arial" w:hAnsi="Arial" w:cs="Arial"/>
          <w:lang w:val="en-US"/>
        </w:rPr>
        <w:t xml:space="preserve"> </w:t>
      </w:r>
      <w:r w:rsidR="00DC5165" w:rsidRPr="00DC5165">
        <w:rPr>
          <w:rFonts w:ascii="Arial" w:eastAsia="Arial" w:hAnsi="Arial" w:cs="Arial"/>
          <w:lang w:val="en-US"/>
        </w:rPr>
        <w:t>in the accompanying consolidated statements of income</w:t>
      </w:r>
      <w:r>
        <w:rPr>
          <w:rFonts w:ascii="Arial" w:eastAsia="Arial" w:hAnsi="Arial" w:cs="Arial"/>
          <w:lang w:val="en-US"/>
        </w:rPr>
        <w:t>. For</w:t>
      </w:r>
      <w:r w:rsidRPr="00F75F58">
        <w:rPr>
          <w:rFonts w:ascii="Arial" w:eastAsia="Arial" w:hAnsi="Arial" w:cs="Arial"/>
          <w:lang w:val="en-US"/>
        </w:rPr>
        <w:t xml:space="preserve"> 2025</w:t>
      </w:r>
      <w:r>
        <w:rPr>
          <w:rFonts w:ascii="Arial" w:eastAsia="Arial" w:hAnsi="Arial" w:cs="Arial"/>
          <w:lang w:val="en-US"/>
        </w:rPr>
        <w:t xml:space="preserve">, </w:t>
      </w:r>
      <w:r w:rsidRPr="00F75F58">
        <w:rPr>
          <w:rFonts w:ascii="Arial" w:eastAsia="Arial" w:hAnsi="Arial" w:cs="Arial"/>
          <w:lang w:val="en-US"/>
        </w:rPr>
        <w:t>2024 and 2023,</w:t>
      </w:r>
      <w:r>
        <w:rPr>
          <w:rFonts w:ascii="Arial" w:eastAsia="Arial" w:hAnsi="Arial" w:cs="Arial"/>
          <w:lang w:val="en-US"/>
        </w:rPr>
        <w:t xml:space="preserve"> </w:t>
      </w:r>
      <w:r w:rsidRPr="00CF0A31">
        <w:rPr>
          <w:rFonts w:ascii="Arial" w:eastAsia="Arial" w:hAnsi="Arial" w:cs="Arial"/>
          <w:lang w:val="en-US"/>
        </w:rPr>
        <w:t>commissions related to Steamship amounted to</w:t>
      </w:r>
      <w:r>
        <w:rPr>
          <w:rFonts w:ascii="Arial" w:eastAsia="Arial" w:hAnsi="Arial" w:cs="Arial"/>
          <w:lang w:val="en-US"/>
        </w:rPr>
        <w:t xml:space="preserve"> $</w:t>
      </w:r>
      <w:bookmarkStart w:id="473" w:name="XBRL_CS_b89e0b1e50254c1fad2d4a65a8455d9a"/>
      <w:r w:rsidR="00986939">
        <w:rPr>
          <w:rFonts w:ascii="Arial" w:eastAsia="Arial" w:hAnsi="Arial" w:cs="Arial"/>
          <w:lang w:val="en-US"/>
        </w:rPr>
        <w:t>355</w:t>
      </w:r>
      <w:bookmarkEnd w:id="473"/>
      <w:r>
        <w:rPr>
          <w:rFonts w:ascii="Arial" w:eastAsia="Arial" w:hAnsi="Arial" w:cs="Arial"/>
          <w:lang w:val="en-US"/>
        </w:rPr>
        <w:t>, $</w:t>
      </w:r>
      <w:bookmarkStart w:id="474" w:name="XBRL_CS_e415482c107142d8843fb5a132e23a3f"/>
      <w:r w:rsidR="00986939">
        <w:rPr>
          <w:rFonts w:ascii="Arial" w:eastAsia="Arial" w:hAnsi="Arial" w:cs="Arial"/>
          <w:lang w:val="en-US"/>
        </w:rPr>
        <w:t>544</w:t>
      </w:r>
      <w:bookmarkEnd w:id="474"/>
      <w:r>
        <w:rPr>
          <w:rFonts w:ascii="Arial" w:eastAsia="Arial" w:hAnsi="Arial" w:cs="Arial"/>
          <w:lang w:val="en-US"/>
        </w:rPr>
        <w:t xml:space="preserve"> and $</w:t>
      </w:r>
      <w:bookmarkStart w:id="475" w:name="XBRL_CS_afae9383f2b44a85bb9ae6ce607fcd91"/>
      <w:r w:rsidR="00986939">
        <w:rPr>
          <w:rFonts w:ascii="Arial" w:eastAsia="Arial" w:hAnsi="Arial" w:cs="Arial"/>
          <w:lang w:val="en-US"/>
        </w:rPr>
        <w:t>906</w:t>
      </w:r>
      <w:bookmarkEnd w:id="475"/>
      <w:r w:rsidRPr="00CF0A31">
        <w:rPr>
          <w:rFonts w:ascii="Arial" w:eastAsia="Arial" w:hAnsi="Arial" w:cs="Arial"/>
          <w:lang w:val="en-US"/>
        </w:rPr>
        <w:t>, respectively and are</w:t>
      </w:r>
      <w:r w:rsidR="00962A73">
        <w:rPr>
          <w:rFonts w:ascii="Arial" w:eastAsia="Arial" w:hAnsi="Arial" w:cs="Arial"/>
          <w:lang w:val="en-US"/>
        </w:rPr>
        <w:t xml:space="preserve"> mainly</w:t>
      </w:r>
      <w:r w:rsidRPr="00CF0A31">
        <w:rPr>
          <w:rFonts w:ascii="Arial" w:eastAsia="Arial" w:hAnsi="Arial" w:cs="Arial"/>
          <w:lang w:val="en-US"/>
        </w:rPr>
        <w:t xml:space="preserve"> included in gain on the sale of vessels</w:t>
      </w:r>
      <w:r w:rsidR="00986939">
        <w:rPr>
          <w:rFonts w:ascii="Arial" w:eastAsia="Arial" w:hAnsi="Arial" w:cs="Arial"/>
          <w:lang w:val="en-US"/>
        </w:rPr>
        <w:t xml:space="preserve"> </w:t>
      </w:r>
      <w:r w:rsidRPr="00F75F58">
        <w:rPr>
          <w:rFonts w:ascii="Arial" w:eastAsia="Arial" w:hAnsi="Arial" w:cs="Arial"/>
          <w:lang w:val="en-US"/>
        </w:rPr>
        <w:t xml:space="preserve">in the accompanying consolidated statements of income. As of December 31, 2025 and 2024, </w:t>
      </w:r>
      <w:r w:rsidR="00281D62">
        <w:rPr>
          <w:rFonts w:ascii="Arial" w:eastAsia="Arial" w:hAnsi="Arial" w:cs="Arial"/>
          <w:lang w:val="en-US"/>
        </w:rPr>
        <w:t xml:space="preserve">there was </w:t>
      </w:r>
      <w:bookmarkStart w:id="476" w:name="XBRL_CS_009085c5fca34647bce3184c5c29c63d"/>
      <w:bookmarkStart w:id="477" w:name="XBRL_CS_171127b2ffd5478e89847d10aefb4dab"/>
      <w:r w:rsidR="00281D62">
        <w:rPr>
          <w:rFonts w:ascii="Arial" w:eastAsia="Arial" w:hAnsi="Arial" w:cs="Arial"/>
          <w:lang w:val="en-US"/>
        </w:rPr>
        <w:t>no</w:t>
      </w:r>
      <w:bookmarkEnd w:id="476"/>
      <w:bookmarkEnd w:id="477"/>
      <w:r w:rsidR="00281D62">
        <w:rPr>
          <w:rFonts w:ascii="Arial" w:eastAsia="Arial" w:hAnsi="Arial" w:cs="Arial"/>
          <w:lang w:val="en-US"/>
        </w:rPr>
        <w:t xml:space="preserve"> amount</w:t>
      </w:r>
      <w:r w:rsidRPr="00F75F58">
        <w:rPr>
          <w:rFonts w:ascii="Arial" w:eastAsia="Arial" w:hAnsi="Arial" w:cs="Arial"/>
          <w:lang w:val="en-US"/>
        </w:rPr>
        <w:t xml:space="preserve"> due to Steamship</w:t>
      </w:r>
      <w:r w:rsidR="00612EA4">
        <w:rPr>
          <w:rFonts w:ascii="Arial" w:eastAsia="Arial" w:hAnsi="Arial" w:cs="Arial"/>
          <w:lang w:val="en-US"/>
        </w:rPr>
        <w:t>.</w:t>
      </w:r>
    </w:p>
    <w:p w14:paraId="71F3F685" w14:textId="77777777" w:rsidR="00115ADD" w:rsidRDefault="00115ADD" w:rsidP="00346C09">
      <w:pPr>
        <w:pBdr>
          <w:top w:val="nil"/>
          <w:left w:val="nil"/>
          <w:bottom w:val="nil"/>
          <w:right w:val="nil"/>
          <w:between w:val="nil"/>
          <w:bar w:val="nil"/>
        </w:pBdr>
        <w:jc w:val="both"/>
        <w:rPr>
          <w:rFonts w:ascii="Arial" w:eastAsia="Arial" w:hAnsi="Arial" w:cs="Arial"/>
          <w:bdr w:val="nil"/>
          <w:lang w:val="en-US"/>
        </w:rPr>
      </w:pPr>
    </w:p>
    <w:p w14:paraId="71F3F686" w14:textId="77777777" w:rsidR="00115ADD" w:rsidRPr="00346C09" w:rsidRDefault="003A4815" w:rsidP="00346C09">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
          <w:i/>
          <w:lang w:val="en-US"/>
        </w:rPr>
        <w:t xml:space="preserve">c)       </w:t>
      </w:r>
      <w:r w:rsidR="0099734D" w:rsidRPr="00115ADD">
        <w:rPr>
          <w:rFonts w:ascii="Arial" w:eastAsia="Arial" w:hAnsi="Arial" w:cs="Arial"/>
          <w:b/>
          <w:i/>
          <w:lang w:val="en-US"/>
        </w:rPr>
        <w:t>Bond issuance:</w:t>
      </w:r>
      <w:r w:rsidR="0099734D" w:rsidRPr="00115ADD">
        <w:rPr>
          <w:rFonts w:ascii="Arial" w:eastAsia="Arial" w:hAnsi="Arial" w:cs="Arial"/>
          <w:lang w:val="en-US"/>
        </w:rPr>
        <w:t xml:space="preserve"> </w:t>
      </w:r>
      <w:r w:rsidR="0099734D">
        <w:rPr>
          <w:rFonts w:ascii="Arial" w:eastAsia="Arial" w:hAnsi="Arial" w:cs="Arial"/>
          <w:lang w:val="en-US"/>
        </w:rPr>
        <w:t>In 2024, o</w:t>
      </w:r>
      <w:r w:rsidR="0099734D" w:rsidRPr="00115ADD">
        <w:rPr>
          <w:rFonts w:ascii="Arial" w:eastAsia="Arial" w:hAnsi="Arial" w:cs="Arial"/>
          <w:lang w:val="en-US"/>
        </w:rPr>
        <w:t>fficers and directors of the Company and/or entities affiliated with them purchased an aggregate of $</w:t>
      </w:r>
      <w:bookmarkStart w:id="478" w:name="XBRL_CS_77d67ce4892e4643a946c39e4909b4b2"/>
      <w:r w:rsidR="0099734D" w:rsidRPr="00115ADD">
        <w:rPr>
          <w:rFonts w:ascii="Arial" w:eastAsia="Arial" w:hAnsi="Arial" w:cs="Arial"/>
          <w:lang w:val="en-US"/>
        </w:rPr>
        <w:t>47,300</w:t>
      </w:r>
      <w:bookmarkEnd w:id="478"/>
      <w:r w:rsidR="0099734D" w:rsidRPr="00115ADD">
        <w:rPr>
          <w:rFonts w:ascii="Arial" w:eastAsia="Arial" w:hAnsi="Arial" w:cs="Arial"/>
          <w:lang w:val="en-US"/>
        </w:rPr>
        <w:t xml:space="preserve"> principal amount of the </w:t>
      </w:r>
      <w:bookmarkStart w:id="479" w:name="_Hlk189497758"/>
      <w:r w:rsidR="0099734D" w:rsidRPr="00115ADD">
        <w:rPr>
          <w:rFonts w:ascii="Arial" w:eastAsia="Arial" w:hAnsi="Arial" w:cs="Arial"/>
          <w:lang w:val="en-US"/>
        </w:rPr>
        <w:t>senior unsecured bond issued on July 2, 2024</w:t>
      </w:r>
      <w:bookmarkEnd w:id="479"/>
      <w:r w:rsidR="0099734D" w:rsidRPr="00115ADD">
        <w:rPr>
          <w:rFonts w:ascii="Arial" w:eastAsia="Arial" w:hAnsi="Arial" w:cs="Arial"/>
          <w:lang w:val="en-US"/>
        </w:rPr>
        <w:t xml:space="preserve"> (Note </w:t>
      </w:r>
      <w:r w:rsidR="0099734D">
        <w:rPr>
          <w:rFonts w:ascii="Arial" w:eastAsia="Arial" w:hAnsi="Arial" w:cs="Arial"/>
          <w:lang w:val="en-US"/>
        </w:rPr>
        <w:t>8</w:t>
      </w:r>
      <w:r w:rsidR="0099734D" w:rsidRPr="00115ADD">
        <w:rPr>
          <w:rFonts w:ascii="Arial" w:eastAsia="Arial" w:hAnsi="Arial" w:cs="Arial"/>
          <w:lang w:val="en-US"/>
        </w:rPr>
        <w:t>).</w:t>
      </w:r>
      <w:bookmarkEnd w:id="462"/>
    </w:p>
    <w:p w14:paraId="71F3F687"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688" w14:textId="77777777" w:rsidR="00E15988" w:rsidRPr="00346C09" w:rsidRDefault="003A4815" w:rsidP="00346C09">
      <w:pPr>
        <w:pStyle w:val="Heading1"/>
        <w:keepLines/>
        <w:pBdr>
          <w:top w:val="nil"/>
          <w:left w:val="nil"/>
          <w:bottom w:val="nil"/>
          <w:right w:val="nil"/>
          <w:between w:val="nil"/>
          <w:bar w:val="nil"/>
        </w:pBdr>
        <w:spacing w:before="0" w:after="0"/>
        <w:rPr>
          <w:rFonts w:eastAsia="Arial"/>
          <w:color w:val="auto"/>
          <w:kern w:val="0"/>
          <w:bdr w:val="nil"/>
        </w:rPr>
      </w:pPr>
      <w:bookmarkStart w:id="480" w:name="RG_MARKER_23148"/>
      <w:bookmarkStart w:id="481" w:name="RG_MARKER_23147"/>
      <w:bookmarkStart w:id="482" w:name="XBRL_TS_265b5c07aee641c58391a4a5baa908f2"/>
      <w:bookmarkEnd w:id="480"/>
      <w:bookmarkEnd w:id="481"/>
      <w:r w:rsidRPr="00346C09">
        <w:rPr>
          <w:rFonts w:ascii="Arial" w:eastAsia="Arial" w:hAnsi="Arial" w:cs="Arial"/>
          <w:color w:val="auto"/>
          <w:kern w:val="0"/>
          <w:sz w:val="24"/>
          <w:szCs w:val="24"/>
        </w:rPr>
        <w:t>4.</w:t>
      </w:r>
      <w:r w:rsidRPr="00346C09">
        <w:rPr>
          <w:rFonts w:ascii="Arial" w:eastAsia="Arial" w:hAnsi="Arial" w:cs="Arial"/>
          <w:color w:val="auto"/>
          <w:kern w:val="0"/>
          <w:sz w:val="24"/>
          <w:szCs w:val="24"/>
        </w:rPr>
        <w:tab/>
      </w:r>
      <w:r>
        <w:rPr>
          <w:rFonts w:ascii="Arial" w:eastAsia="Arial" w:hAnsi="Arial" w:cs="Arial"/>
          <w:color w:val="auto"/>
          <w:kern w:val="0"/>
          <w:sz w:val="24"/>
          <w:szCs w:val="24"/>
        </w:rPr>
        <w:t>Equity Method Investments</w:t>
      </w:r>
    </w:p>
    <w:p w14:paraId="71F3F689" w14:textId="77777777" w:rsidR="00806B74" w:rsidRPr="00346C09" w:rsidRDefault="00806B74" w:rsidP="00346C09">
      <w:pPr>
        <w:keepNext/>
        <w:keepLines/>
        <w:pBdr>
          <w:top w:val="nil"/>
          <w:left w:val="nil"/>
          <w:bottom w:val="nil"/>
          <w:right w:val="nil"/>
          <w:between w:val="nil"/>
          <w:bar w:val="nil"/>
        </w:pBdr>
        <w:jc w:val="both"/>
        <w:rPr>
          <w:rFonts w:ascii="Arial" w:eastAsia="Arial" w:hAnsi="Arial" w:cs="Arial"/>
          <w:b/>
          <w:i/>
          <w:bdr w:val="nil"/>
          <w:lang w:val="en-US"/>
        </w:rPr>
      </w:pPr>
    </w:p>
    <w:p w14:paraId="71F3F68A" w14:textId="77777777" w:rsidR="00062226" w:rsidRPr="00346C09" w:rsidRDefault="003A4815" w:rsidP="00346C09">
      <w:pPr>
        <w:pBdr>
          <w:top w:val="nil"/>
          <w:left w:val="nil"/>
          <w:bottom w:val="nil"/>
          <w:right w:val="nil"/>
          <w:between w:val="nil"/>
          <w:bar w:val="nil"/>
        </w:pBdr>
        <w:jc w:val="both"/>
        <w:rPr>
          <w:rFonts w:ascii="Arial" w:eastAsia="Arial" w:hAnsi="Arial" w:cs="Arial"/>
          <w:bdr w:val="nil"/>
          <w:lang w:val="en-US"/>
        </w:rPr>
      </w:pPr>
      <w:r>
        <w:rPr>
          <w:rStyle w:val="Heading2Char"/>
          <w:rFonts w:ascii="Arial" w:eastAsia="Arial" w:hAnsi="Arial" w:cs="Arial"/>
          <w:bCs w:val="0"/>
          <w:iCs w:val="0"/>
          <w:color w:val="auto"/>
          <w:sz w:val="22"/>
          <w:szCs w:val="22"/>
          <w:lang w:val="en-US"/>
        </w:rPr>
        <w:t>a</w:t>
      </w:r>
      <w:r w:rsidR="001730B3" w:rsidRPr="00346C09">
        <w:rPr>
          <w:rStyle w:val="Heading2Char"/>
          <w:rFonts w:ascii="Arial" w:eastAsia="Arial" w:hAnsi="Arial" w:cs="Arial"/>
          <w:bCs w:val="0"/>
          <w:iCs w:val="0"/>
          <w:color w:val="auto"/>
          <w:sz w:val="22"/>
          <w:szCs w:val="22"/>
          <w:lang w:val="en-US"/>
        </w:rPr>
        <w:t>)</w:t>
      </w:r>
      <w:r w:rsidR="001730B3" w:rsidRPr="00346C09">
        <w:rPr>
          <w:rStyle w:val="Heading2Char"/>
          <w:rFonts w:ascii="Arial" w:eastAsia="Arial" w:hAnsi="Arial" w:cs="Arial"/>
          <w:bCs w:val="0"/>
          <w:iCs w:val="0"/>
          <w:color w:val="auto"/>
          <w:sz w:val="22"/>
          <w:szCs w:val="22"/>
          <w:lang w:val="en-US"/>
        </w:rPr>
        <w:tab/>
        <w:t>Diana Wilhelmsen Management Limited, or DWM:</w:t>
      </w:r>
      <w:r w:rsidR="001730B3" w:rsidRPr="00346C09">
        <w:rPr>
          <w:rFonts w:ascii="Arial" w:eastAsia="Arial" w:hAnsi="Arial" w:cs="Arial"/>
          <w:lang w:val="en-US"/>
        </w:rPr>
        <w:t xml:space="preserve"> DWM is a joint venture </w:t>
      </w:r>
      <w:r w:rsidR="001730B3" w:rsidRPr="00346C09">
        <w:rPr>
          <w:rFonts w:ascii="Arial" w:eastAsia="Arial" w:hAnsi="Arial" w:cs="Arial"/>
          <w:bdr w:val="none" w:sz="0" w:space="0" w:color="auto" w:frame="1"/>
          <w:lang w:val="en-US"/>
        </w:rPr>
        <w:t xml:space="preserve">between Diana Ship Management Inc., a wholly owned subsidiary of DSI, and Wilhelmsen Ship Management Holding AS, an unaffiliated third party, each holding </w:t>
      </w:r>
      <w:bookmarkStart w:id="483" w:name="XBRL_CS_9fec26b43c4f49de9c613052358c094e"/>
      <w:r w:rsidR="001730B3" w:rsidRPr="00346C09">
        <w:rPr>
          <w:rFonts w:ascii="Arial" w:eastAsia="Arial" w:hAnsi="Arial" w:cs="Arial"/>
          <w:bdr w:val="none" w:sz="0" w:space="0" w:color="auto" w:frame="1"/>
          <w:lang w:val="en-US"/>
        </w:rPr>
        <w:t>50</w:t>
      </w:r>
      <w:bookmarkEnd w:id="483"/>
      <w:r w:rsidR="001730B3" w:rsidRPr="00346C09">
        <w:rPr>
          <w:rFonts w:ascii="Arial" w:eastAsia="Arial" w:hAnsi="Arial" w:cs="Arial"/>
          <w:bdr w:val="none" w:sz="0" w:space="0" w:color="auto" w:frame="1"/>
          <w:lang w:val="en-US"/>
        </w:rPr>
        <w:t>% of DWM. A</w:t>
      </w:r>
      <w:r w:rsidR="001730B3" w:rsidRPr="00346C09">
        <w:rPr>
          <w:rFonts w:ascii="Arial" w:eastAsia="Arial" w:hAnsi="Arial" w:cs="Arial"/>
          <w:lang w:val="en-US"/>
        </w:rPr>
        <w:t>s of December 31, 2025</w:t>
      </w:r>
      <w:r w:rsidR="006E1310">
        <w:rPr>
          <w:rFonts w:ascii="Arial" w:eastAsia="Arial" w:hAnsi="Arial" w:cs="Arial"/>
          <w:lang w:val="en-US"/>
        </w:rPr>
        <w:t xml:space="preserve"> and 2024</w:t>
      </w:r>
      <w:r w:rsidR="00957CA5" w:rsidRPr="00346C09">
        <w:rPr>
          <w:rFonts w:ascii="Arial" w:eastAsia="Arial" w:hAnsi="Arial" w:cs="Arial"/>
          <w:lang w:val="en-US"/>
        </w:rPr>
        <w:t>,</w:t>
      </w:r>
      <w:r w:rsidR="001730B3" w:rsidRPr="00346C09">
        <w:rPr>
          <w:rFonts w:ascii="Arial" w:eastAsia="Arial" w:hAnsi="Arial" w:cs="Arial"/>
          <w:lang w:val="en-US"/>
        </w:rPr>
        <w:t xml:space="preserve"> the investment in DWM amounted to $</w:t>
      </w:r>
      <w:bookmarkStart w:id="484" w:name="XBRL_CS_158d54de32c948de82e7a5b72adad779"/>
      <w:r w:rsidR="001730B3" w:rsidRPr="00346C09">
        <w:rPr>
          <w:rFonts w:ascii="Arial" w:eastAsia="Arial" w:hAnsi="Arial" w:cs="Arial"/>
          <w:lang w:val="en-US"/>
        </w:rPr>
        <w:t>244</w:t>
      </w:r>
      <w:bookmarkEnd w:id="484"/>
      <w:r w:rsidR="001730B3" w:rsidRPr="00346C09">
        <w:rPr>
          <w:rFonts w:ascii="Arial" w:eastAsia="Arial" w:hAnsi="Arial" w:cs="Arial"/>
          <w:lang w:val="en-US"/>
        </w:rPr>
        <w:t xml:space="preserve"> </w:t>
      </w:r>
      <w:r w:rsidR="006E1310">
        <w:rPr>
          <w:rFonts w:ascii="Arial" w:eastAsia="Arial" w:hAnsi="Arial" w:cs="Arial"/>
          <w:lang w:val="en-US"/>
        </w:rPr>
        <w:t xml:space="preserve">and </w:t>
      </w:r>
      <w:r w:rsidR="006E1310" w:rsidRPr="00346C09">
        <w:rPr>
          <w:rFonts w:ascii="Arial" w:eastAsia="Arial" w:hAnsi="Arial" w:cs="Arial"/>
          <w:lang w:val="en-US"/>
        </w:rPr>
        <w:t>$</w:t>
      </w:r>
      <w:bookmarkStart w:id="485" w:name="XBRL_CS_595f0a566d3943be91693050eeb5aae6"/>
      <w:r w:rsidR="006E1310" w:rsidRPr="00346C09">
        <w:rPr>
          <w:rFonts w:ascii="Arial" w:eastAsia="Arial" w:hAnsi="Arial" w:cs="Arial"/>
          <w:lang w:val="en-US"/>
        </w:rPr>
        <w:t>794</w:t>
      </w:r>
      <w:bookmarkEnd w:id="485"/>
      <w:r w:rsidR="006E1310" w:rsidRPr="00346C09">
        <w:rPr>
          <w:rFonts w:ascii="Arial" w:eastAsia="Arial" w:hAnsi="Arial" w:cs="Arial"/>
          <w:lang w:val="en-US"/>
        </w:rPr>
        <w:t xml:space="preserve"> </w:t>
      </w:r>
      <w:r w:rsidR="00957CA5" w:rsidRPr="00346C09">
        <w:rPr>
          <w:rFonts w:ascii="Arial" w:eastAsia="Arial" w:hAnsi="Arial" w:cs="Arial"/>
          <w:lang w:val="en-US"/>
        </w:rPr>
        <w:t xml:space="preserve">and is </w:t>
      </w:r>
      <w:r w:rsidR="006E1310">
        <w:rPr>
          <w:rFonts w:ascii="Arial" w:eastAsia="Arial" w:hAnsi="Arial" w:cs="Arial"/>
          <w:lang w:val="en-US"/>
        </w:rPr>
        <w:t>included</w:t>
      </w:r>
      <w:r w:rsidR="004614AF">
        <w:rPr>
          <w:rFonts w:ascii="Arial" w:eastAsia="Arial" w:hAnsi="Arial" w:cs="Arial"/>
          <w:lang w:val="en-US"/>
        </w:rPr>
        <w:t xml:space="preserve"> </w:t>
      </w:r>
      <w:r w:rsidR="00957CA5" w:rsidRPr="00346C09">
        <w:rPr>
          <w:rFonts w:ascii="Arial" w:eastAsia="Arial" w:hAnsi="Arial" w:cs="Arial"/>
          <w:lang w:val="en-US"/>
        </w:rPr>
        <w:t xml:space="preserve">in </w:t>
      </w:r>
      <w:r w:rsidR="001730B3">
        <w:rPr>
          <w:rFonts w:ascii="Arial" w:eastAsia="Arial" w:hAnsi="Arial" w:cs="Arial"/>
          <w:lang w:val="en-US"/>
        </w:rPr>
        <w:t>e</w:t>
      </w:r>
      <w:r w:rsidR="00957CA5" w:rsidRPr="00346C09">
        <w:rPr>
          <w:rFonts w:ascii="Arial" w:eastAsia="Arial" w:hAnsi="Arial" w:cs="Arial"/>
          <w:lang w:val="en-US"/>
        </w:rPr>
        <w:t xml:space="preserve">quity method </w:t>
      </w:r>
      <w:r w:rsidR="00957CA5" w:rsidRPr="00FD21A7">
        <w:rPr>
          <w:rFonts w:ascii="Arial" w:eastAsia="Arial" w:hAnsi="Arial" w:cs="Arial"/>
          <w:bdr w:val="none" w:sz="0" w:space="0" w:color="auto" w:frame="1"/>
          <w:lang w:val="en-US"/>
        </w:rPr>
        <w:t>investments in the accompanying consolidated balance sheet</w:t>
      </w:r>
      <w:r w:rsidR="004614AF" w:rsidRPr="00FD21A7">
        <w:rPr>
          <w:rFonts w:ascii="Arial" w:eastAsia="Arial" w:hAnsi="Arial" w:cs="Arial"/>
          <w:bdr w:val="none" w:sz="0" w:space="0" w:color="auto" w:frame="1"/>
          <w:lang w:val="en-US"/>
        </w:rPr>
        <w:t>s</w:t>
      </w:r>
      <w:r w:rsidR="001730B3" w:rsidRPr="00FD21A7">
        <w:rPr>
          <w:rFonts w:ascii="Arial" w:eastAsia="Arial" w:hAnsi="Arial" w:cs="Arial"/>
          <w:bdr w:val="none" w:sz="0" w:space="0" w:color="auto" w:frame="1"/>
          <w:lang w:val="en-US"/>
        </w:rPr>
        <w:t>. In 2025</w:t>
      </w:r>
      <w:r w:rsidRPr="00FD21A7">
        <w:rPr>
          <w:rFonts w:ascii="Arial" w:eastAsia="Arial" w:hAnsi="Arial" w:cs="Arial"/>
          <w:bdr w:val="none" w:sz="0" w:space="0" w:color="auto" w:frame="1"/>
          <w:lang w:val="en-US"/>
        </w:rPr>
        <w:t>,</w:t>
      </w:r>
      <w:r w:rsidR="004614AF" w:rsidRPr="00FD21A7">
        <w:rPr>
          <w:rFonts w:ascii="Arial" w:eastAsia="Arial" w:hAnsi="Arial" w:cs="Arial"/>
          <w:bdr w:val="none" w:sz="0" w:space="0" w:color="auto" w:frame="1"/>
          <w:lang w:val="en-US"/>
        </w:rPr>
        <w:t xml:space="preserve"> 2024</w:t>
      </w:r>
      <w:r w:rsidRPr="00FD21A7">
        <w:rPr>
          <w:rFonts w:ascii="Arial" w:eastAsia="Arial" w:hAnsi="Arial" w:cs="Arial"/>
          <w:bdr w:val="none" w:sz="0" w:space="0" w:color="auto" w:frame="1"/>
          <w:lang w:val="en-US"/>
        </w:rPr>
        <w:t xml:space="preserve"> and 2023</w:t>
      </w:r>
      <w:r w:rsidR="004614AF" w:rsidRPr="00FD21A7">
        <w:rPr>
          <w:rFonts w:ascii="Arial" w:eastAsia="Arial" w:hAnsi="Arial" w:cs="Arial"/>
          <w:bdr w:val="none" w:sz="0" w:space="0" w:color="auto" w:frame="1"/>
          <w:lang w:val="en-US"/>
        </w:rPr>
        <w:t>,</w:t>
      </w:r>
      <w:r w:rsidR="001730B3" w:rsidRPr="00FD21A7">
        <w:rPr>
          <w:rFonts w:ascii="Arial" w:eastAsia="Arial" w:hAnsi="Arial" w:cs="Arial"/>
          <w:bdr w:val="none" w:sz="0" w:space="0" w:color="auto" w:frame="1"/>
          <w:lang w:val="en-US"/>
        </w:rPr>
        <w:t xml:space="preserve"> the investment in DWM resulted in a </w:t>
      </w:r>
      <w:r w:rsidR="003415D5">
        <w:rPr>
          <w:rFonts w:ascii="Arial" w:eastAsia="Arial" w:hAnsi="Arial" w:cs="Arial"/>
          <w:bdr w:val="none" w:sz="0" w:space="0" w:color="auto" w:frame="1"/>
          <w:lang w:val="en-US"/>
        </w:rPr>
        <w:t>loss</w:t>
      </w:r>
      <w:r w:rsidR="001730B3" w:rsidRPr="00FD21A7">
        <w:rPr>
          <w:rFonts w:ascii="Arial" w:eastAsia="Arial" w:hAnsi="Arial" w:cs="Arial"/>
          <w:bdr w:val="none" w:sz="0" w:space="0" w:color="auto" w:frame="1"/>
          <w:lang w:val="en-US"/>
        </w:rPr>
        <w:t xml:space="preserve"> of $</w:t>
      </w:r>
      <w:bookmarkStart w:id="486" w:name="XBRL_CS_e6a0fe7cfcb2469f878ffc869729a12a"/>
      <w:r w:rsidR="001730B3" w:rsidRPr="00FD21A7">
        <w:rPr>
          <w:rFonts w:ascii="Arial" w:eastAsia="Arial" w:hAnsi="Arial" w:cs="Arial"/>
          <w:bdr w:val="none" w:sz="0" w:space="0" w:color="auto" w:frame="1"/>
          <w:lang w:val="en-US"/>
        </w:rPr>
        <w:t>550</w:t>
      </w:r>
      <w:bookmarkEnd w:id="486"/>
      <w:r w:rsidR="001730B3" w:rsidRPr="00FD21A7">
        <w:rPr>
          <w:rFonts w:ascii="Arial" w:eastAsia="Arial" w:hAnsi="Arial" w:cs="Arial"/>
          <w:bdr w:val="none" w:sz="0" w:space="0" w:color="auto" w:frame="1"/>
          <w:lang w:val="en-US"/>
        </w:rPr>
        <w:t>,</w:t>
      </w:r>
      <w:r w:rsidR="003415D5">
        <w:rPr>
          <w:rFonts w:ascii="Arial" w:eastAsia="Arial" w:hAnsi="Arial" w:cs="Arial"/>
          <w:bdr w:val="none" w:sz="0" w:space="0" w:color="auto" w:frame="1"/>
          <w:lang w:val="en-US"/>
        </w:rPr>
        <w:t xml:space="preserve"> a gain of</w:t>
      </w:r>
      <w:r w:rsidRPr="00FD21A7">
        <w:rPr>
          <w:rFonts w:ascii="Arial" w:eastAsia="Arial" w:hAnsi="Arial" w:cs="Arial"/>
          <w:bdr w:val="none" w:sz="0" w:space="0" w:color="auto" w:frame="1"/>
          <w:lang w:val="en-US"/>
        </w:rPr>
        <w:t xml:space="preserve"> </w:t>
      </w:r>
      <w:r w:rsidR="002F341E" w:rsidRPr="00FD21A7">
        <w:rPr>
          <w:rFonts w:ascii="Arial" w:eastAsia="Arial" w:hAnsi="Arial" w:cs="Arial"/>
          <w:bdr w:val="none" w:sz="0" w:space="0" w:color="auto" w:frame="1"/>
          <w:lang w:val="en-US"/>
        </w:rPr>
        <w:t>$</w:t>
      </w:r>
      <w:bookmarkStart w:id="487" w:name="XBRL_CS_36ced20b168c46d39ded753299386c50"/>
      <w:r w:rsidR="002F341E" w:rsidRPr="00FD21A7">
        <w:rPr>
          <w:rFonts w:ascii="Arial" w:eastAsia="Arial" w:hAnsi="Arial" w:cs="Arial"/>
          <w:bdr w:val="none" w:sz="0" w:space="0" w:color="auto" w:frame="1"/>
          <w:lang w:val="en-US"/>
        </w:rPr>
        <w:t>60</w:t>
      </w:r>
      <w:bookmarkEnd w:id="487"/>
      <w:r w:rsidRPr="00FD21A7">
        <w:rPr>
          <w:rFonts w:ascii="Arial" w:eastAsia="Arial" w:hAnsi="Arial" w:cs="Arial"/>
          <w:bdr w:val="none" w:sz="0" w:space="0" w:color="auto" w:frame="1"/>
          <w:lang w:val="en-US"/>
        </w:rPr>
        <w:t xml:space="preserve"> and</w:t>
      </w:r>
      <w:r w:rsidR="003415D5">
        <w:rPr>
          <w:rFonts w:ascii="Arial" w:eastAsia="Arial" w:hAnsi="Arial" w:cs="Arial"/>
          <w:bdr w:val="none" w:sz="0" w:space="0" w:color="auto" w:frame="1"/>
          <w:lang w:val="en-US"/>
        </w:rPr>
        <w:t xml:space="preserve"> a gain of</w:t>
      </w:r>
      <w:r w:rsidRPr="00FD21A7">
        <w:rPr>
          <w:rFonts w:ascii="Arial" w:eastAsia="Arial" w:hAnsi="Arial" w:cs="Arial"/>
          <w:bdr w:val="none" w:sz="0" w:space="0" w:color="auto" w:frame="1"/>
          <w:lang w:val="en-US"/>
        </w:rPr>
        <w:t xml:space="preserve"> $</w:t>
      </w:r>
      <w:bookmarkStart w:id="488" w:name="XBRL_CS_387066929c8d4a6db5c7e253fa3ba069"/>
      <w:r w:rsidRPr="00FD21A7">
        <w:rPr>
          <w:rFonts w:ascii="Arial" w:eastAsia="Arial" w:hAnsi="Arial" w:cs="Arial"/>
          <w:bdr w:val="none" w:sz="0" w:space="0" w:color="auto" w:frame="1"/>
          <w:lang w:val="en-US"/>
        </w:rPr>
        <w:t>228</w:t>
      </w:r>
      <w:bookmarkEnd w:id="488"/>
      <w:r w:rsidR="002F341E" w:rsidRPr="00FD21A7">
        <w:rPr>
          <w:rFonts w:ascii="Arial" w:eastAsia="Arial" w:hAnsi="Arial" w:cs="Arial"/>
          <w:bdr w:val="none" w:sz="0" w:space="0" w:color="auto" w:frame="1"/>
          <w:lang w:val="en-US"/>
        </w:rPr>
        <w:t>, respectively</w:t>
      </w:r>
      <w:r w:rsidRPr="00FD21A7">
        <w:rPr>
          <w:rFonts w:ascii="Arial" w:eastAsia="Arial" w:hAnsi="Arial" w:cs="Arial"/>
          <w:bdr w:val="none" w:sz="0" w:space="0" w:color="auto" w:frame="1"/>
          <w:lang w:val="en-US"/>
        </w:rPr>
        <w:t>,</w:t>
      </w:r>
      <w:r w:rsidR="001730B3" w:rsidRPr="00FD21A7">
        <w:rPr>
          <w:rFonts w:ascii="Arial" w:eastAsia="Arial" w:hAnsi="Arial" w:cs="Arial"/>
          <w:bdr w:val="none" w:sz="0" w:space="0" w:color="auto" w:frame="1"/>
          <w:lang w:val="en-US"/>
        </w:rPr>
        <w:t xml:space="preserve"> included</w:t>
      </w:r>
      <w:r w:rsidR="001730B3" w:rsidRPr="00346C09">
        <w:rPr>
          <w:rFonts w:ascii="Arial" w:eastAsia="Arial" w:hAnsi="Arial" w:cs="Arial"/>
          <w:lang w:val="en-US"/>
        </w:rPr>
        <w:t xml:space="preserve"> in </w:t>
      </w:r>
      <w:r w:rsidR="009364AD">
        <w:rPr>
          <w:rFonts w:ascii="Arial" w:eastAsia="Arial" w:hAnsi="Arial" w:cs="Arial"/>
          <w:lang w:val="en-US"/>
        </w:rPr>
        <w:t xml:space="preserve">loss </w:t>
      </w:r>
      <w:r w:rsidR="001730B3" w:rsidRPr="00346C09">
        <w:rPr>
          <w:rFonts w:ascii="Arial" w:eastAsia="Arial" w:hAnsi="Arial" w:cs="Arial"/>
          <w:bdr w:val="none" w:sz="0" w:space="0" w:color="auto" w:frame="1"/>
          <w:lang w:val="en-US"/>
        </w:rPr>
        <w:t>from equity method investments</w:t>
      </w:r>
      <w:r w:rsidR="001730B3" w:rsidRPr="00346C09">
        <w:rPr>
          <w:rFonts w:ascii="Arial" w:eastAsia="Arial" w:hAnsi="Arial" w:cs="Arial"/>
          <w:lang w:val="en-US"/>
        </w:rPr>
        <w:t xml:space="preserve"> in the accompanying consolidated statements of </w:t>
      </w:r>
      <w:r w:rsidR="002F341E">
        <w:rPr>
          <w:rFonts w:ascii="Arial" w:eastAsia="Arial" w:hAnsi="Arial" w:cs="Arial"/>
          <w:lang w:val="en-US"/>
        </w:rPr>
        <w:t>income</w:t>
      </w:r>
      <w:r w:rsidR="001730B3" w:rsidRPr="00346C09">
        <w:rPr>
          <w:rFonts w:ascii="Arial" w:eastAsia="Arial" w:hAnsi="Arial" w:cs="Arial"/>
          <w:lang w:val="en-US"/>
        </w:rPr>
        <w:t>.</w:t>
      </w:r>
    </w:p>
    <w:p w14:paraId="71F3F68B" w14:textId="77777777" w:rsidR="00062226" w:rsidRPr="00346C09" w:rsidRDefault="00062226" w:rsidP="00346C09">
      <w:pPr>
        <w:pBdr>
          <w:top w:val="nil"/>
          <w:left w:val="nil"/>
          <w:bottom w:val="nil"/>
          <w:right w:val="nil"/>
          <w:between w:val="nil"/>
          <w:bar w:val="nil"/>
        </w:pBdr>
        <w:jc w:val="both"/>
        <w:rPr>
          <w:rFonts w:ascii="Arial" w:eastAsia="Arial" w:hAnsi="Arial" w:cs="Arial"/>
          <w:bdr w:val="nil"/>
          <w:lang w:val="en-US"/>
        </w:rPr>
      </w:pPr>
    </w:p>
    <w:p w14:paraId="71F3F68C" w14:textId="77777777" w:rsidR="009436B2" w:rsidRPr="00346C09" w:rsidRDefault="003A4815" w:rsidP="00346C09">
      <w:pPr>
        <w:pBdr>
          <w:top w:val="nil"/>
          <w:left w:val="nil"/>
          <w:bottom w:val="nil"/>
          <w:right w:val="nil"/>
          <w:between w:val="nil"/>
          <w:bar w:val="nil"/>
        </w:pBdr>
        <w:jc w:val="both"/>
        <w:rPr>
          <w:rFonts w:ascii="Arial" w:eastAsia="Arial" w:hAnsi="Arial" w:cs="Arial"/>
          <w:bdr w:val="nil"/>
          <w:lang w:val="en-US"/>
        </w:rPr>
      </w:pPr>
      <w:r w:rsidRPr="00346C09">
        <w:rPr>
          <w:rFonts w:ascii="Arial" w:eastAsia="Arial" w:hAnsi="Arial" w:cs="Arial"/>
          <w:lang w:val="en-US"/>
        </w:rPr>
        <w:t xml:space="preserve">DWM </w:t>
      </w:r>
      <w:r>
        <w:rPr>
          <w:rFonts w:ascii="Arial" w:eastAsia="Arial" w:hAnsi="Arial" w:cs="Arial"/>
          <w:lang w:val="en-US"/>
        </w:rPr>
        <w:t xml:space="preserve">performs </w:t>
      </w:r>
      <w:r w:rsidRPr="00346C09">
        <w:rPr>
          <w:rFonts w:ascii="Arial" w:eastAsia="Arial" w:hAnsi="Arial" w:cs="Arial"/>
          <w:bdr w:val="none" w:sz="0" w:space="0" w:color="auto" w:frame="1"/>
          <w:lang w:val="en-US"/>
        </w:rPr>
        <w:t xml:space="preserve">the </w:t>
      </w:r>
      <w:r>
        <w:rPr>
          <w:rFonts w:ascii="Arial" w:eastAsia="Arial" w:hAnsi="Arial" w:cs="Arial"/>
          <w:bdr w:val="none" w:sz="0" w:space="0" w:color="auto" w:frame="1"/>
          <w:lang w:val="en-US"/>
        </w:rPr>
        <w:t xml:space="preserve">technical and commercial </w:t>
      </w:r>
      <w:r w:rsidRPr="00346C09">
        <w:rPr>
          <w:rFonts w:ascii="Arial" w:eastAsia="Arial" w:hAnsi="Arial" w:cs="Arial"/>
          <w:bdr w:val="none" w:sz="0" w:space="0" w:color="auto" w:frame="1"/>
          <w:lang w:val="en-US"/>
        </w:rPr>
        <w:t xml:space="preserve">management </w:t>
      </w:r>
      <w:r>
        <w:rPr>
          <w:rFonts w:ascii="Arial" w:eastAsia="Arial" w:hAnsi="Arial" w:cs="Arial"/>
          <w:bdr w:val="none" w:sz="0" w:space="0" w:color="auto" w:frame="1"/>
          <w:lang w:val="en-US"/>
        </w:rPr>
        <w:t>of</w:t>
      </w:r>
      <w:r w:rsidRPr="00346C09">
        <w:rPr>
          <w:rFonts w:ascii="Arial" w:eastAsia="Arial" w:hAnsi="Arial" w:cs="Arial"/>
          <w:bdr w:val="none" w:sz="0" w:space="0" w:color="auto" w:frame="1"/>
          <w:lang w:val="en-US"/>
        </w:rPr>
        <w:t xml:space="preserve"> </w:t>
      </w:r>
      <w:bookmarkStart w:id="489" w:name="XBRL_CS_85662a01ce1c4fe38ae564cf40cc944a"/>
      <w:r w:rsidR="009364AD">
        <w:rPr>
          <w:rFonts w:ascii="Arial" w:eastAsia="Arial" w:hAnsi="Arial" w:cs="Arial"/>
          <w:bdr w:val="none" w:sz="0" w:space="0" w:color="auto" w:frame="1"/>
          <w:lang w:val="en-US"/>
        </w:rPr>
        <w:t>five</w:t>
      </w:r>
      <w:bookmarkEnd w:id="489"/>
      <w:r>
        <w:rPr>
          <w:rFonts w:ascii="Arial" w:eastAsia="Arial" w:hAnsi="Arial" w:cs="Arial"/>
          <w:bdr w:val="none" w:sz="0" w:space="0" w:color="auto" w:frame="1"/>
          <w:lang w:val="en-US"/>
        </w:rPr>
        <w:t xml:space="preserve"> </w:t>
      </w:r>
      <w:r w:rsidRPr="00346C09">
        <w:rPr>
          <w:rFonts w:ascii="Arial" w:eastAsia="Arial" w:hAnsi="Arial" w:cs="Arial"/>
          <w:bdr w:val="none" w:sz="0" w:space="0" w:color="auto" w:frame="1"/>
          <w:lang w:val="en-US"/>
        </w:rPr>
        <w:t xml:space="preserve">vessels </w:t>
      </w:r>
      <w:r>
        <w:rPr>
          <w:rFonts w:ascii="Arial" w:eastAsia="Arial" w:hAnsi="Arial" w:cs="Arial"/>
          <w:bdr w:val="none" w:sz="0" w:space="0" w:color="auto" w:frame="1"/>
          <w:lang w:val="en-US"/>
        </w:rPr>
        <w:t xml:space="preserve">of the Company’s fleet for </w:t>
      </w:r>
      <w:r w:rsidRPr="00346C09">
        <w:rPr>
          <w:rFonts w:ascii="Arial" w:eastAsia="Arial" w:hAnsi="Arial" w:cs="Arial"/>
          <w:bdr w:val="none" w:sz="0" w:space="0" w:color="auto" w:frame="1"/>
          <w:lang w:val="en-US"/>
        </w:rPr>
        <w:t>a fixed monthly fee</w:t>
      </w:r>
      <w:r w:rsidRPr="00310EE3">
        <w:rPr>
          <w:rFonts w:ascii="Arial" w:eastAsia="Arial" w:hAnsi="Arial" w:cs="Arial"/>
          <w:lang w:val="en-US"/>
        </w:rPr>
        <w:t xml:space="preserve"> </w:t>
      </w:r>
      <w:r w:rsidRPr="00346C09">
        <w:rPr>
          <w:rFonts w:ascii="Arial" w:eastAsia="Arial" w:hAnsi="Arial" w:cs="Arial"/>
          <w:lang w:val="en-US"/>
        </w:rPr>
        <w:t xml:space="preserve">separately presented as </w:t>
      </w:r>
      <w:r>
        <w:rPr>
          <w:rFonts w:ascii="Arial" w:eastAsia="Arial" w:hAnsi="Arial" w:cs="Arial"/>
          <w:lang w:val="en-US"/>
        </w:rPr>
        <w:t>m</w:t>
      </w:r>
      <w:r w:rsidRPr="00346C09">
        <w:rPr>
          <w:rFonts w:ascii="Arial" w:eastAsia="Arial" w:hAnsi="Arial" w:cs="Arial"/>
          <w:lang w:val="en-US"/>
        </w:rPr>
        <w:t xml:space="preserve">anagement fees to </w:t>
      </w:r>
      <w:r>
        <w:rPr>
          <w:rFonts w:ascii="Arial" w:eastAsia="Arial" w:hAnsi="Arial" w:cs="Arial"/>
          <w:lang w:val="en-US"/>
        </w:rPr>
        <w:t xml:space="preserve">a </w:t>
      </w:r>
      <w:r w:rsidRPr="00346C09">
        <w:rPr>
          <w:rFonts w:ascii="Arial" w:eastAsia="Arial" w:hAnsi="Arial" w:cs="Arial"/>
          <w:lang w:val="en-US"/>
        </w:rPr>
        <w:t>related party</w:t>
      </w:r>
      <w:r w:rsidRPr="00346C09">
        <w:rPr>
          <w:rFonts w:ascii="Arial" w:eastAsia="Arial" w:hAnsi="Arial" w:cs="Arial"/>
          <w:bdr w:val="none" w:sz="0" w:space="0" w:color="auto" w:frame="1"/>
          <w:lang w:val="en-US"/>
        </w:rPr>
        <w:t xml:space="preserve"> and a percentage of their gross revenues</w:t>
      </w:r>
      <w:r w:rsidRPr="00310EE3">
        <w:rPr>
          <w:rFonts w:ascii="Arial" w:eastAsia="Arial" w:hAnsi="Arial" w:cs="Arial"/>
          <w:bdr w:val="none" w:sz="0" w:space="0" w:color="auto" w:frame="1"/>
          <w:lang w:val="en-US"/>
        </w:rPr>
        <w:t xml:space="preserve"> </w:t>
      </w:r>
      <w:r w:rsidRPr="00346C09">
        <w:rPr>
          <w:rFonts w:ascii="Arial" w:eastAsia="Arial" w:hAnsi="Arial" w:cs="Arial"/>
          <w:bdr w:val="none" w:sz="0" w:space="0" w:color="auto" w:frame="1"/>
          <w:lang w:val="en-US"/>
        </w:rPr>
        <w:t xml:space="preserve">included in </w:t>
      </w:r>
      <w:r>
        <w:rPr>
          <w:rFonts w:ascii="Arial" w:eastAsia="Arial" w:hAnsi="Arial" w:cs="Arial"/>
          <w:bdr w:val="none" w:sz="0" w:space="0" w:color="auto" w:frame="1"/>
          <w:lang w:val="en-US"/>
        </w:rPr>
        <w:t>v</w:t>
      </w:r>
      <w:r w:rsidRPr="00346C09">
        <w:rPr>
          <w:rFonts w:ascii="Arial" w:eastAsia="Arial" w:hAnsi="Arial" w:cs="Arial"/>
          <w:bdr w:val="none" w:sz="0" w:space="0" w:color="auto" w:frame="1"/>
          <w:lang w:val="en-US"/>
        </w:rPr>
        <w:t xml:space="preserve">oyage expenses. </w:t>
      </w:r>
      <w:r w:rsidRPr="00346C09">
        <w:rPr>
          <w:rFonts w:ascii="Arial" w:eastAsia="Arial" w:hAnsi="Arial" w:cs="Arial"/>
          <w:lang w:val="en-US"/>
        </w:rPr>
        <w:t>Management fees to DWM in 2025, 2024 and 2023 amounted to $</w:t>
      </w:r>
      <w:bookmarkStart w:id="490" w:name="XBRL_CS_e74b2b1de44f4e6daa3c50b22f000023"/>
      <w:r w:rsidRPr="00346C09">
        <w:rPr>
          <w:rFonts w:ascii="Arial" w:eastAsia="Arial" w:hAnsi="Arial" w:cs="Arial"/>
          <w:lang w:val="en-US"/>
        </w:rPr>
        <w:t>1,191</w:t>
      </w:r>
      <w:bookmarkEnd w:id="490"/>
      <w:r w:rsidRPr="00346C09">
        <w:rPr>
          <w:rFonts w:ascii="Arial" w:eastAsia="Arial" w:hAnsi="Arial" w:cs="Arial"/>
          <w:lang w:val="en-US"/>
        </w:rPr>
        <w:t>, $</w:t>
      </w:r>
      <w:bookmarkStart w:id="491" w:name="XBRL_CS_448d0ee4b22d4cdc87bfc685e3575a94"/>
      <w:r w:rsidRPr="00346C09">
        <w:rPr>
          <w:rFonts w:ascii="Arial" w:eastAsia="Arial" w:hAnsi="Arial" w:cs="Arial"/>
          <w:lang w:val="en-US"/>
        </w:rPr>
        <w:t>1,332</w:t>
      </w:r>
      <w:bookmarkEnd w:id="491"/>
      <w:r w:rsidRPr="00346C09">
        <w:rPr>
          <w:rFonts w:ascii="Arial" w:eastAsia="Arial" w:hAnsi="Arial" w:cs="Arial"/>
          <w:lang w:val="en-US"/>
        </w:rPr>
        <w:t xml:space="preserve"> and $</w:t>
      </w:r>
      <w:bookmarkStart w:id="492" w:name="XBRL_CS_9193cb0f1be14984ab4611c19669cbf7"/>
      <w:r w:rsidRPr="00346C09">
        <w:rPr>
          <w:rFonts w:ascii="Arial" w:eastAsia="Arial" w:hAnsi="Arial" w:cs="Arial"/>
          <w:lang w:val="en-US"/>
        </w:rPr>
        <w:t>1,313</w:t>
      </w:r>
      <w:bookmarkEnd w:id="492"/>
      <w:r w:rsidRPr="00346C09">
        <w:rPr>
          <w:rFonts w:ascii="Arial" w:eastAsia="Arial" w:hAnsi="Arial" w:cs="Arial"/>
          <w:lang w:val="en-US"/>
        </w:rPr>
        <w:t>, respectively.</w:t>
      </w:r>
      <w:r w:rsidR="00957CA5" w:rsidRPr="00346C09">
        <w:rPr>
          <w:rFonts w:ascii="Arial" w:eastAsia="Arial" w:hAnsi="Arial" w:cs="Arial"/>
          <w:lang w:val="en-US"/>
        </w:rPr>
        <w:t xml:space="preserve"> </w:t>
      </w:r>
      <w:r>
        <w:rPr>
          <w:rFonts w:ascii="Arial" w:eastAsia="Arial" w:hAnsi="Arial" w:cs="Arial"/>
          <w:lang w:val="en-US"/>
        </w:rPr>
        <w:t>Voyage expenses (commissions)</w:t>
      </w:r>
      <w:r w:rsidRPr="00346C09">
        <w:rPr>
          <w:rFonts w:ascii="Arial" w:eastAsia="Arial" w:hAnsi="Arial" w:cs="Arial"/>
          <w:bdr w:val="none" w:sz="0" w:space="0" w:color="auto" w:frame="1"/>
          <w:lang w:val="en-US"/>
        </w:rPr>
        <w:t xml:space="preserve"> </w:t>
      </w:r>
      <w:r>
        <w:rPr>
          <w:rFonts w:ascii="Arial" w:eastAsia="Arial" w:hAnsi="Arial" w:cs="Arial"/>
          <w:bdr w:val="none" w:sz="0" w:space="0" w:color="auto" w:frame="1"/>
          <w:lang w:val="en-US"/>
        </w:rPr>
        <w:t>incurred by DWM under the management agreements during</w:t>
      </w:r>
      <w:r w:rsidRPr="00346C09">
        <w:rPr>
          <w:rFonts w:ascii="Arial" w:eastAsia="Arial" w:hAnsi="Arial" w:cs="Arial"/>
          <w:bdr w:val="none" w:sz="0" w:space="0" w:color="auto" w:frame="1"/>
          <w:lang w:val="en-US"/>
        </w:rPr>
        <w:t xml:space="preserve"> 2025, 2024 and 2023</w:t>
      </w:r>
      <w:r>
        <w:rPr>
          <w:rFonts w:ascii="Arial" w:eastAsia="Arial" w:hAnsi="Arial" w:cs="Arial"/>
          <w:bdr w:val="none" w:sz="0" w:space="0" w:color="auto" w:frame="1"/>
          <w:lang w:val="en-US"/>
        </w:rPr>
        <w:t>,</w:t>
      </w:r>
      <w:r w:rsidRPr="00346C09">
        <w:rPr>
          <w:rFonts w:ascii="Arial" w:eastAsia="Arial" w:hAnsi="Arial" w:cs="Arial"/>
          <w:bdr w:val="none" w:sz="0" w:space="0" w:color="auto" w:frame="1"/>
          <w:lang w:val="en-US"/>
        </w:rPr>
        <w:t xml:space="preserve"> amounted to </w:t>
      </w:r>
      <w:r w:rsidRPr="001061A7">
        <w:rPr>
          <w:rFonts w:ascii="Arial" w:eastAsia="Arial" w:hAnsi="Arial" w:cs="Arial"/>
          <w:bdr w:val="none" w:sz="0" w:space="0" w:color="auto" w:frame="1"/>
          <w:lang w:val="en-US"/>
        </w:rPr>
        <w:t>$</w:t>
      </w:r>
      <w:bookmarkStart w:id="493" w:name="XBRL_CS_ff0095ce80de48eba70a75434328051c"/>
      <w:r w:rsidR="001061A7">
        <w:rPr>
          <w:rFonts w:ascii="Arial" w:eastAsia="Arial" w:hAnsi="Arial" w:cs="Arial"/>
          <w:bdr w:val="none" w:sz="0" w:space="0" w:color="auto" w:frame="1"/>
          <w:lang w:val="en-US"/>
        </w:rPr>
        <w:t>314</w:t>
      </w:r>
      <w:bookmarkEnd w:id="493"/>
      <w:r w:rsidRPr="00346C09">
        <w:rPr>
          <w:rFonts w:ascii="Arial" w:eastAsia="Arial" w:hAnsi="Arial" w:cs="Arial"/>
          <w:bdr w:val="none" w:sz="0" w:space="0" w:color="auto" w:frame="1"/>
          <w:lang w:val="en-US"/>
        </w:rPr>
        <w:t>, $</w:t>
      </w:r>
      <w:bookmarkStart w:id="494" w:name="XBRL_CS_d1a3a05a8aa546168a9868727318524a"/>
      <w:r w:rsidR="00020F96">
        <w:rPr>
          <w:rFonts w:ascii="Arial" w:eastAsia="Arial" w:hAnsi="Arial" w:cs="Arial"/>
          <w:bdr w:val="none" w:sz="0" w:space="0" w:color="auto" w:frame="1"/>
          <w:lang w:val="en-US"/>
        </w:rPr>
        <w:t>3</w:t>
      </w:r>
      <w:r w:rsidR="00232293">
        <w:rPr>
          <w:rFonts w:ascii="Arial" w:eastAsia="Arial" w:hAnsi="Arial" w:cs="Arial"/>
          <w:bdr w:val="none" w:sz="0" w:space="0" w:color="auto" w:frame="1"/>
          <w:lang w:val="en-US"/>
        </w:rPr>
        <w:t>68</w:t>
      </w:r>
      <w:bookmarkEnd w:id="494"/>
      <w:r w:rsidRPr="00346C09">
        <w:rPr>
          <w:rFonts w:ascii="Arial" w:eastAsia="Arial" w:hAnsi="Arial" w:cs="Arial"/>
          <w:bdr w:val="none" w:sz="0" w:space="0" w:color="auto" w:frame="1"/>
          <w:lang w:val="en-US"/>
        </w:rPr>
        <w:t xml:space="preserve"> and $</w:t>
      </w:r>
      <w:bookmarkStart w:id="495" w:name="XBRL_CS_7fefc40097e54b69a1588350cdd4c81e"/>
      <w:r w:rsidR="00232293">
        <w:rPr>
          <w:rFonts w:ascii="Arial" w:eastAsia="Arial" w:hAnsi="Arial" w:cs="Arial"/>
          <w:bdr w:val="none" w:sz="0" w:space="0" w:color="auto" w:frame="1"/>
          <w:lang w:val="en-US"/>
        </w:rPr>
        <w:t>390</w:t>
      </w:r>
      <w:bookmarkEnd w:id="495"/>
      <w:r w:rsidRPr="00346C09">
        <w:rPr>
          <w:rFonts w:ascii="Arial" w:eastAsia="Arial" w:hAnsi="Arial" w:cs="Arial"/>
          <w:bdr w:val="none" w:sz="0" w:space="0" w:color="auto" w:frame="1"/>
          <w:lang w:val="en-US"/>
        </w:rPr>
        <w:t>, respectively</w:t>
      </w:r>
      <w:r w:rsidRPr="00346C09">
        <w:rPr>
          <w:rFonts w:ascii="Arial" w:eastAsia="Arial" w:hAnsi="Arial" w:cs="Arial"/>
          <w:lang w:val="en-US"/>
        </w:rPr>
        <w:t xml:space="preserve">. As </w:t>
      </w:r>
      <w:r w:rsidR="00C948BE" w:rsidRPr="00346C09">
        <w:rPr>
          <w:rFonts w:ascii="Arial" w:eastAsia="Arial" w:hAnsi="Arial" w:cs="Arial"/>
          <w:lang w:val="en-US"/>
        </w:rPr>
        <w:t>of</w:t>
      </w:r>
      <w:r w:rsidRPr="00346C09">
        <w:rPr>
          <w:rFonts w:ascii="Arial" w:eastAsia="Arial" w:hAnsi="Arial" w:cs="Arial"/>
          <w:lang w:val="en-US"/>
        </w:rPr>
        <w:t xml:space="preserve"> </w:t>
      </w:r>
      <w:r w:rsidR="00C948BE" w:rsidRPr="00346C09">
        <w:rPr>
          <w:rFonts w:ascii="Arial" w:eastAsia="Arial" w:hAnsi="Arial" w:cs="Arial"/>
          <w:lang w:val="en-US"/>
        </w:rPr>
        <w:t>December 31</w:t>
      </w:r>
      <w:r w:rsidRPr="00346C09">
        <w:rPr>
          <w:rFonts w:ascii="Arial" w:eastAsia="Arial" w:hAnsi="Arial" w:cs="Arial"/>
          <w:lang w:val="en-US"/>
        </w:rPr>
        <w:t>, 2025 and 2024, there was an amount of $</w:t>
      </w:r>
      <w:bookmarkStart w:id="496" w:name="XBRL_CS_2046d7485ece4f97bf576891d52cb47b"/>
      <w:r w:rsidRPr="00346C09">
        <w:rPr>
          <w:rFonts w:ascii="Arial" w:eastAsia="Arial" w:hAnsi="Arial" w:cs="Arial"/>
          <w:lang w:val="en-US"/>
        </w:rPr>
        <w:t>239</w:t>
      </w:r>
      <w:bookmarkEnd w:id="496"/>
      <w:r w:rsidRPr="00346C09">
        <w:rPr>
          <w:rFonts w:ascii="Arial" w:eastAsia="Arial" w:hAnsi="Arial" w:cs="Arial"/>
          <w:lang w:val="en-US"/>
        </w:rPr>
        <w:t xml:space="preserve"> and $</w:t>
      </w:r>
      <w:bookmarkStart w:id="497" w:name="XBRL_CS_516813fd43ad46098328b3f344cf0443"/>
      <w:r w:rsidRPr="00346C09">
        <w:rPr>
          <w:rFonts w:ascii="Arial" w:eastAsia="Arial" w:hAnsi="Arial" w:cs="Arial"/>
          <w:lang w:val="en-US"/>
        </w:rPr>
        <w:t>3</w:t>
      </w:r>
      <w:bookmarkEnd w:id="497"/>
      <w:r w:rsidRPr="00346C09">
        <w:rPr>
          <w:rFonts w:ascii="Arial" w:eastAsia="Arial" w:hAnsi="Arial" w:cs="Arial"/>
          <w:lang w:val="en-US"/>
        </w:rPr>
        <w:t xml:space="preserve"> due from DWM, included in </w:t>
      </w:r>
      <w:r>
        <w:rPr>
          <w:rFonts w:ascii="Arial" w:eastAsia="Arial" w:hAnsi="Arial" w:cs="Arial"/>
          <w:lang w:val="en-US"/>
        </w:rPr>
        <w:t>d</w:t>
      </w:r>
      <w:r w:rsidRPr="00346C09">
        <w:rPr>
          <w:rFonts w:ascii="Arial" w:eastAsia="Arial" w:hAnsi="Arial" w:cs="Arial"/>
          <w:lang w:val="en-US"/>
        </w:rPr>
        <w:t xml:space="preserve">ue from related parties in the accompanying consolidated balance sheets. </w:t>
      </w:r>
    </w:p>
    <w:p w14:paraId="71F3F68D" w14:textId="77777777" w:rsidR="00062226" w:rsidRPr="00346C09" w:rsidRDefault="00062226" w:rsidP="00346C09">
      <w:pPr>
        <w:pBdr>
          <w:top w:val="nil"/>
          <w:left w:val="nil"/>
          <w:bottom w:val="nil"/>
          <w:right w:val="nil"/>
          <w:between w:val="nil"/>
          <w:bar w:val="nil"/>
        </w:pBdr>
        <w:jc w:val="both"/>
        <w:rPr>
          <w:rFonts w:ascii="Arial" w:eastAsia="Arial" w:hAnsi="Arial" w:cs="Arial"/>
          <w:bdr w:val="nil"/>
          <w:lang w:val="en-US"/>
        </w:rPr>
      </w:pPr>
    </w:p>
    <w:p w14:paraId="71F3F68E" w14:textId="77777777" w:rsidR="00B51B7F" w:rsidRDefault="003A4815" w:rsidP="00B51B7F">
      <w:pPr>
        <w:pStyle w:val="pf0"/>
        <w:pBdr>
          <w:top w:val="nil"/>
          <w:left w:val="nil"/>
          <w:bottom w:val="nil"/>
          <w:right w:val="nil"/>
          <w:between w:val="nil"/>
          <w:bar w:val="nil"/>
        </w:pBdr>
        <w:spacing w:before="0" w:beforeAutospacing="0" w:after="0" w:afterAutospacing="0"/>
        <w:jc w:val="both"/>
        <w:rPr>
          <w:rFonts w:ascii="Arial" w:eastAsia="Arial" w:hAnsi="Arial" w:cs="Arial"/>
          <w:sz w:val="22"/>
          <w:szCs w:val="22"/>
          <w:bdr w:val="nil"/>
        </w:rPr>
      </w:pPr>
      <w:r>
        <w:rPr>
          <w:rFonts w:ascii="Arial" w:eastAsia="Arial" w:hAnsi="Arial" w:cs="Arial"/>
          <w:b/>
          <w:i/>
          <w:sz w:val="22"/>
          <w:szCs w:val="22"/>
        </w:rPr>
        <w:t>b</w:t>
      </w:r>
      <w:r w:rsidR="001730B3">
        <w:rPr>
          <w:rFonts w:ascii="Arial" w:eastAsia="Arial" w:hAnsi="Arial" w:cs="Arial"/>
          <w:b/>
          <w:i/>
          <w:sz w:val="22"/>
          <w:szCs w:val="22"/>
        </w:rPr>
        <w:t>)</w:t>
      </w:r>
      <w:r w:rsidR="001730B3">
        <w:rPr>
          <w:rFonts w:ascii="Arial" w:eastAsia="Arial" w:hAnsi="Arial" w:cs="Arial"/>
          <w:b/>
          <w:i/>
          <w:sz w:val="22"/>
          <w:szCs w:val="22"/>
        </w:rPr>
        <w:tab/>
        <w:t>Bergen Ultra LP, or Bergen:</w:t>
      </w:r>
      <w:r w:rsidR="001730B3">
        <w:rPr>
          <w:rFonts w:ascii="Arial" w:eastAsia="Arial" w:hAnsi="Arial" w:cs="Arial"/>
          <w:sz w:val="22"/>
          <w:szCs w:val="22"/>
        </w:rPr>
        <w:t xml:space="preserve"> Bergen is a limited partnership </w:t>
      </w:r>
      <w:r>
        <w:rPr>
          <w:rFonts w:ascii="Arial" w:eastAsia="Arial" w:hAnsi="Arial" w:cs="Arial"/>
          <w:sz w:val="22"/>
          <w:szCs w:val="22"/>
        </w:rPr>
        <w:t xml:space="preserve">established </w:t>
      </w:r>
      <w:r w:rsidR="00FA69F6">
        <w:rPr>
          <w:rFonts w:ascii="Arial" w:eastAsia="Arial" w:hAnsi="Arial" w:cs="Arial"/>
          <w:sz w:val="22"/>
          <w:szCs w:val="22"/>
        </w:rPr>
        <w:t xml:space="preserve">as a wholly owned subsidiary of the Company, </w:t>
      </w:r>
      <w:r w:rsidR="001730B3">
        <w:rPr>
          <w:rFonts w:ascii="Arial" w:eastAsia="Arial" w:hAnsi="Arial" w:cs="Arial"/>
          <w:sz w:val="22"/>
          <w:szCs w:val="22"/>
        </w:rPr>
        <w:t xml:space="preserve">for the purpose of acquiring, owning, and operating a vessel. </w:t>
      </w:r>
      <w:r w:rsidR="00FA69F6">
        <w:rPr>
          <w:rFonts w:ascii="Arial" w:eastAsia="Arial" w:hAnsi="Arial" w:cs="Arial"/>
          <w:sz w:val="22"/>
          <w:szCs w:val="22"/>
        </w:rPr>
        <w:t>O</w:t>
      </w:r>
      <w:r w:rsidR="001730B3">
        <w:rPr>
          <w:rFonts w:ascii="Arial" w:eastAsia="Arial" w:hAnsi="Arial" w:cs="Arial"/>
          <w:sz w:val="22"/>
          <w:szCs w:val="22"/>
        </w:rPr>
        <w:t xml:space="preserve">n February 14, 2023, </w:t>
      </w:r>
      <w:r w:rsidR="00FA69F6">
        <w:rPr>
          <w:rFonts w:ascii="Arial" w:eastAsia="Arial" w:hAnsi="Arial" w:cs="Arial"/>
          <w:sz w:val="22"/>
          <w:szCs w:val="22"/>
        </w:rPr>
        <w:t xml:space="preserve">Bergen </w:t>
      </w:r>
      <w:r w:rsidR="001730B3">
        <w:rPr>
          <w:rFonts w:ascii="Arial" w:eastAsia="Arial" w:hAnsi="Arial" w:cs="Arial"/>
          <w:sz w:val="22"/>
          <w:szCs w:val="22"/>
        </w:rPr>
        <w:t>signed a Memorandum of Agreement to acquire</w:t>
      </w:r>
      <w:r>
        <w:rPr>
          <w:rFonts w:ascii="Arial" w:eastAsia="Arial" w:hAnsi="Arial" w:cs="Arial"/>
          <w:sz w:val="22"/>
          <w:szCs w:val="22"/>
        </w:rPr>
        <w:t xml:space="preserve"> </w:t>
      </w:r>
      <w:r w:rsidR="001730B3">
        <w:rPr>
          <w:rFonts w:ascii="Arial" w:eastAsia="Arial" w:hAnsi="Arial" w:cs="Arial"/>
          <w:sz w:val="22"/>
          <w:szCs w:val="22"/>
        </w:rPr>
        <w:t xml:space="preserve">from an </w:t>
      </w:r>
      <w:r>
        <w:rPr>
          <w:rFonts w:ascii="Arial" w:eastAsia="Arial" w:hAnsi="Arial" w:cs="Arial"/>
          <w:sz w:val="22"/>
          <w:szCs w:val="22"/>
        </w:rPr>
        <w:t>unrelated</w:t>
      </w:r>
      <w:r w:rsidR="001730B3">
        <w:rPr>
          <w:rFonts w:ascii="Arial" w:eastAsia="Arial" w:hAnsi="Arial" w:cs="Arial"/>
          <w:sz w:val="22"/>
          <w:szCs w:val="22"/>
        </w:rPr>
        <w:t xml:space="preserve"> third-party a</w:t>
      </w:r>
      <w:r>
        <w:rPr>
          <w:rFonts w:ascii="Arial" w:eastAsia="Arial" w:hAnsi="Arial" w:cs="Arial"/>
          <w:sz w:val="22"/>
          <w:szCs w:val="22"/>
        </w:rPr>
        <w:t>n</w:t>
      </w:r>
      <w:r w:rsidR="001730B3">
        <w:rPr>
          <w:rFonts w:ascii="Arial" w:eastAsia="Arial" w:hAnsi="Arial" w:cs="Arial"/>
          <w:sz w:val="22"/>
          <w:szCs w:val="22"/>
        </w:rPr>
        <w:t xml:space="preserve"> Ultramax dry bulk vessel</w:t>
      </w:r>
      <w:r w:rsidR="00356989">
        <w:rPr>
          <w:rFonts w:ascii="Arial" w:eastAsia="Arial" w:hAnsi="Arial" w:cs="Arial"/>
          <w:sz w:val="22"/>
          <w:szCs w:val="22"/>
        </w:rPr>
        <w:t xml:space="preserve"> which was</w:t>
      </w:r>
      <w:r w:rsidR="001730B3">
        <w:rPr>
          <w:rFonts w:ascii="Arial" w:eastAsia="Arial" w:hAnsi="Arial" w:cs="Arial"/>
          <w:sz w:val="22"/>
          <w:szCs w:val="22"/>
        </w:rPr>
        <w:t xml:space="preserve"> delivered on April 10, 2023. On March 30, 2023, Bergen entered into a loan agreement with Nordea for a $</w:t>
      </w:r>
      <w:bookmarkStart w:id="498" w:name="XBRL_CS_9d92509c690940d2aa2a20547a5750b8"/>
      <w:r w:rsidR="001730B3">
        <w:rPr>
          <w:rFonts w:ascii="Arial" w:eastAsia="Arial" w:hAnsi="Arial" w:cs="Arial"/>
          <w:sz w:val="22"/>
          <w:szCs w:val="22"/>
        </w:rPr>
        <w:t>15,400</w:t>
      </w:r>
      <w:bookmarkEnd w:id="498"/>
      <w:r w:rsidR="001730B3">
        <w:rPr>
          <w:rFonts w:ascii="Arial" w:eastAsia="Arial" w:hAnsi="Arial" w:cs="Arial"/>
          <w:sz w:val="22"/>
          <w:szCs w:val="22"/>
        </w:rPr>
        <w:t xml:space="preserve"> loan to finance part of the purchase price of the vessel</w:t>
      </w:r>
      <w:r w:rsidR="00356989">
        <w:rPr>
          <w:rFonts w:ascii="Arial" w:eastAsia="Arial" w:hAnsi="Arial" w:cs="Arial"/>
          <w:sz w:val="22"/>
          <w:szCs w:val="22"/>
        </w:rPr>
        <w:t xml:space="preserve"> and </w:t>
      </w:r>
      <w:r w:rsidR="001730B3">
        <w:rPr>
          <w:rFonts w:ascii="Arial" w:eastAsia="Arial" w:hAnsi="Arial" w:cs="Arial"/>
          <w:sz w:val="22"/>
          <w:szCs w:val="22"/>
        </w:rPr>
        <w:t xml:space="preserve">the Company </w:t>
      </w:r>
      <w:r w:rsidR="00356989">
        <w:rPr>
          <w:rFonts w:ascii="Arial" w:eastAsia="Arial" w:hAnsi="Arial" w:cs="Arial"/>
          <w:sz w:val="22"/>
          <w:szCs w:val="22"/>
        </w:rPr>
        <w:t>provided</w:t>
      </w:r>
      <w:r w:rsidR="001730B3">
        <w:rPr>
          <w:rFonts w:ascii="Arial" w:eastAsia="Arial" w:hAnsi="Arial" w:cs="Arial"/>
          <w:sz w:val="22"/>
          <w:szCs w:val="22"/>
        </w:rPr>
        <w:t xml:space="preserve"> a corporate guarantee to secure Bergen’s obligations under the loan</w:t>
      </w:r>
      <w:r w:rsidR="00BC458B">
        <w:rPr>
          <w:rFonts w:ascii="Arial" w:eastAsia="Arial" w:hAnsi="Arial" w:cs="Arial"/>
          <w:sz w:val="22"/>
          <w:szCs w:val="22"/>
        </w:rPr>
        <w:t xml:space="preserve"> (Note 10)</w:t>
      </w:r>
      <w:r>
        <w:rPr>
          <w:rFonts w:ascii="Arial" w:eastAsia="Arial" w:hAnsi="Arial" w:cs="Arial"/>
          <w:sz w:val="22"/>
          <w:szCs w:val="22"/>
        </w:rPr>
        <w:t>.</w:t>
      </w:r>
      <w:r w:rsidR="001730B3">
        <w:rPr>
          <w:rFonts w:ascii="Arial" w:eastAsia="Arial" w:hAnsi="Arial" w:cs="Arial"/>
          <w:sz w:val="22"/>
          <w:szCs w:val="22"/>
        </w:rPr>
        <w:t xml:space="preserve"> On April 28, 2023, the Company entered into (i) an investment agreement with </w:t>
      </w:r>
      <w:r>
        <w:rPr>
          <w:rFonts w:ascii="Arial" w:eastAsia="Arial" w:hAnsi="Arial" w:cs="Arial"/>
          <w:sz w:val="22"/>
          <w:szCs w:val="22"/>
        </w:rPr>
        <w:t xml:space="preserve">an unrelated third party to </w:t>
      </w:r>
      <w:r w:rsidR="001730B3">
        <w:rPr>
          <w:rFonts w:ascii="Arial" w:eastAsia="Arial" w:hAnsi="Arial" w:cs="Arial"/>
          <w:sz w:val="22"/>
          <w:szCs w:val="22"/>
        </w:rPr>
        <w:t xml:space="preserve">acquire </w:t>
      </w:r>
      <w:bookmarkStart w:id="499" w:name="XBRL_CS_ed99247779024c8893f6fae3610729fd"/>
      <w:r w:rsidR="001730B3">
        <w:rPr>
          <w:rFonts w:ascii="Arial" w:eastAsia="Arial" w:hAnsi="Arial" w:cs="Arial"/>
          <w:sz w:val="22"/>
          <w:szCs w:val="22"/>
        </w:rPr>
        <w:t>75</w:t>
      </w:r>
      <w:bookmarkEnd w:id="499"/>
      <w:r w:rsidR="001730B3">
        <w:rPr>
          <w:rFonts w:ascii="Arial" w:eastAsia="Arial" w:hAnsi="Arial" w:cs="Arial"/>
          <w:sz w:val="22"/>
          <w:szCs w:val="22"/>
        </w:rPr>
        <w:t>% of the limited partnership interests</w:t>
      </w:r>
      <w:r>
        <w:rPr>
          <w:rFonts w:ascii="Arial" w:eastAsia="Arial" w:hAnsi="Arial" w:cs="Arial"/>
          <w:sz w:val="22"/>
          <w:szCs w:val="22"/>
        </w:rPr>
        <w:t xml:space="preserve">; </w:t>
      </w:r>
      <w:r w:rsidR="001730B3">
        <w:rPr>
          <w:rFonts w:ascii="Arial" w:eastAsia="Arial" w:hAnsi="Arial" w:cs="Arial"/>
          <w:sz w:val="22"/>
          <w:szCs w:val="22"/>
        </w:rPr>
        <w:t>(ii) an amended limited partnership agreement under which the Company acts as the General Partner of the partnership through its wholly owned subsidiary Diana General Partner Inc.; (iii) an administrative service agreement under which DSS provides administrative services to Bergen; (iv) a commission agreement under which the Company is paid a commission on the outstanding balance of the loan, as compensation for the guarantee it provided to Nordea and (v) a convertible loan with Bergen under which Bergen would have to repay all expenditures made by the Company for the acquisition of the vessel. Pursuant to the</w:t>
      </w:r>
      <w:r>
        <w:rPr>
          <w:rFonts w:ascii="Arial" w:eastAsia="Arial" w:hAnsi="Arial" w:cs="Arial"/>
          <w:sz w:val="22"/>
          <w:szCs w:val="22"/>
        </w:rPr>
        <w:t xml:space="preserve"> terms of the</w:t>
      </w:r>
      <w:r w:rsidR="001730B3">
        <w:rPr>
          <w:rFonts w:ascii="Arial" w:eastAsia="Arial" w:hAnsi="Arial" w:cs="Arial"/>
          <w:sz w:val="22"/>
          <w:szCs w:val="22"/>
        </w:rPr>
        <w:t xml:space="preserve"> convertible loan, on April 28, 2023, the Company received from Bergen $</w:t>
      </w:r>
      <w:bookmarkStart w:id="500" w:name="XBRL_CS_ed2f27ed5c5a464880456b5d3e687409"/>
      <w:r w:rsidR="001730B3">
        <w:rPr>
          <w:rFonts w:ascii="Arial" w:eastAsia="Arial" w:hAnsi="Arial" w:cs="Arial"/>
          <w:sz w:val="22"/>
          <w:szCs w:val="22"/>
        </w:rPr>
        <w:t>25,189</w:t>
      </w:r>
      <w:bookmarkEnd w:id="500"/>
      <w:r w:rsidR="001730B3">
        <w:rPr>
          <w:rFonts w:ascii="Arial" w:eastAsia="Arial" w:hAnsi="Arial" w:cs="Arial"/>
          <w:sz w:val="22"/>
          <w:szCs w:val="22"/>
        </w:rPr>
        <w:t xml:space="preserve"> in cash while an amount of $</w:t>
      </w:r>
      <w:bookmarkStart w:id="501" w:name="XBRL_CS_075e43c0e6f047da9807ea02ece0fb35"/>
      <w:r w:rsidR="001730B3">
        <w:rPr>
          <w:rFonts w:ascii="Arial" w:eastAsia="Arial" w:hAnsi="Arial" w:cs="Arial"/>
          <w:sz w:val="22"/>
          <w:szCs w:val="22"/>
        </w:rPr>
        <w:t>3,675</w:t>
      </w:r>
      <w:bookmarkEnd w:id="501"/>
      <w:r w:rsidR="001730B3">
        <w:rPr>
          <w:rFonts w:ascii="Arial" w:eastAsia="Arial" w:hAnsi="Arial" w:cs="Arial"/>
          <w:sz w:val="22"/>
          <w:szCs w:val="22"/>
        </w:rPr>
        <w:t xml:space="preserve"> was converted into partnership interests in Bergen, representing </w:t>
      </w:r>
      <w:bookmarkStart w:id="502" w:name="XBRL_CS_b6a77abdf6e64fa1892220b95a7491e0"/>
      <w:r w:rsidR="001730B3">
        <w:rPr>
          <w:rFonts w:ascii="Arial" w:eastAsia="Arial" w:hAnsi="Arial" w:cs="Arial"/>
          <w:sz w:val="22"/>
          <w:szCs w:val="22"/>
        </w:rPr>
        <w:t>25</w:t>
      </w:r>
      <w:bookmarkEnd w:id="502"/>
      <w:r w:rsidR="001730B3">
        <w:rPr>
          <w:rFonts w:ascii="Arial" w:eastAsia="Arial" w:hAnsi="Arial" w:cs="Arial"/>
          <w:sz w:val="22"/>
          <w:szCs w:val="22"/>
        </w:rPr>
        <w:t>% of the total partnership interests.</w:t>
      </w:r>
    </w:p>
    <w:p w14:paraId="71F3F68F" w14:textId="77777777" w:rsidR="00B51B7F" w:rsidRDefault="00B51B7F" w:rsidP="00B51B7F">
      <w:pPr>
        <w:pStyle w:val="pf0"/>
        <w:pBdr>
          <w:top w:val="nil"/>
          <w:left w:val="nil"/>
          <w:bottom w:val="nil"/>
          <w:right w:val="nil"/>
          <w:between w:val="nil"/>
          <w:bar w:val="nil"/>
        </w:pBdr>
        <w:spacing w:before="0" w:beforeAutospacing="0" w:after="0" w:afterAutospacing="0"/>
        <w:jc w:val="both"/>
        <w:rPr>
          <w:rFonts w:ascii="Arial" w:eastAsia="Arial" w:hAnsi="Arial" w:cs="Arial"/>
          <w:sz w:val="22"/>
          <w:szCs w:val="22"/>
          <w:bdr w:val="nil"/>
        </w:rPr>
      </w:pPr>
    </w:p>
    <w:p w14:paraId="71F3F690" w14:textId="77777777" w:rsidR="00B51B7F" w:rsidRDefault="003A4815" w:rsidP="00B51B7F">
      <w:pPr>
        <w:pStyle w:val="pf0"/>
        <w:pBdr>
          <w:top w:val="nil"/>
          <w:left w:val="nil"/>
          <w:bottom w:val="nil"/>
          <w:right w:val="nil"/>
          <w:between w:val="nil"/>
          <w:bar w:val="nil"/>
        </w:pBdr>
        <w:spacing w:before="0" w:beforeAutospacing="0" w:after="0" w:afterAutospacing="0"/>
        <w:jc w:val="both"/>
        <w:rPr>
          <w:rFonts w:ascii="Arial" w:eastAsia="Arial" w:hAnsi="Arial" w:cs="Arial"/>
          <w:sz w:val="22"/>
          <w:szCs w:val="22"/>
          <w:bdr w:val="nil"/>
        </w:rPr>
      </w:pPr>
      <w:r>
        <w:rPr>
          <w:rFonts w:ascii="Arial" w:eastAsia="Arial" w:hAnsi="Arial" w:cs="Arial"/>
          <w:sz w:val="22"/>
          <w:szCs w:val="22"/>
        </w:rPr>
        <w:t>Following the admission of the new investor, t</w:t>
      </w:r>
      <w:r w:rsidR="001F7165">
        <w:rPr>
          <w:rFonts w:ascii="Arial" w:eastAsia="Arial" w:hAnsi="Arial" w:cs="Arial"/>
          <w:sz w:val="22"/>
          <w:szCs w:val="22"/>
        </w:rPr>
        <w:t>he Company evaluated its interests in Bergen under ASC 810 and concluded that Bergen is a VIE and that the Company does not individually have the power to direct the activities of the VIE that most significantly affect the partnership’s performance. From April 28, 2023 the Company no longer retain</w:t>
      </w:r>
      <w:r w:rsidR="00356989">
        <w:rPr>
          <w:rFonts w:ascii="Arial" w:eastAsia="Arial" w:hAnsi="Arial" w:cs="Arial"/>
          <w:sz w:val="22"/>
          <w:szCs w:val="22"/>
        </w:rPr>
        <w:t>ed</w:t>
      </w:r>
      <w:r w:rsidR="001F7165">
        <w:rPr>
          <w:rFonts w:ascii="Arial" w:eastAsia="Arial" w:hAnsi="Arial" w:cs="Arial"/>
          <w:sz w:val="22"/>
          <w:szCs w:val="22"/>
        </w:rPr>
        <w:t xml:space="preserve"> control</w:t>
      </w:r>
      <w:r w:rsidR="00356989">
        <w:rPr>
          <w:rFonts w:ascii="Arial" w:eastAsia="Arial" w:hAnsi="Arial" w:cs="Arial"/>
          <w:sz w:val="22"/>
          <w:szCs w:val="22"/>
        </w:rPr>
        <w:t xml:space="preserve"> over Bergen’s</w:t>
      </w:r>
      <w:r w:rsidR="001F7165">
        <w:rPr>
          <w:rFonts w:ascii="Arial" w:eastAsia="Arial" w:hAnsi="Arial" w:cs="Arial"/>
          <w:sz w:val="22"/>
          <w:szCs w:val="22"/>
        </w:rPr>
        <w:t xml:space="preserve"> board of directors. </w:t>
      </w:r>
      <w:r w:rsidR="00356989">
        <w:rPr>
          <w:rFonts w:ascii="Arial" w:eastAsia="Arial" w:hAnsi="Arial" w:cs="Arial"/>
          <w:sz w:val="22"/>
          <w:szCs w:val="22"/>
        </w:rPr>
        <w:t>Consequently, t</w:t>
      </w:r>
      <w:r w:rsidR="001F7165">
        <w:rPr>
          <w:rFonts w:ascii="Arial" w:eastAsia="Arial" w:hAnsi="Arial" w:cs="Arial"/>
          <w:sz w:val="22"/>
          <w:szCs w:val="22"/>
        </w:rPr>
        <w:t>he Company deconsolidat</w:t>
      </w:r>
      <w:r w:rsidR="00356989">
        <w:rPr>
          <w:rFonts w:ascii="Arial" w:eastAsia="Arial" w:hAnsi="Arial" w:cs="Arial"/>
          <w:sz w:val="22"/>
          <w:szCs w:val="22"/>
        </w:rPr>
        <w:t>ed</w:t>
      </w:r>
      <w:r w:rsidR="001F7165">
        <w:rPr>
          <w:rFonts w:ascii="Arial" w:eastAsia="Arial" w:hAnsi="Arial" w:cs="Arial"/>
          <w:sz w:val="22"/>
          <w:szCs w:val="22"/>
        </w:rPr>
        <w:t xml:space="preserve"> Bergen in accordance with ASC 610 and the retained noncontrolling interest was accounted for under the equity method due to the Company’s significant influence over Bergen.</w:t>
      </w:r>
    </w:p>
    <w:p w14:paraId="71F3F691" w14:textId="77777777" w:rsidR="00B51B7F" w:rsidRDefault="00B51B7F" w:rsidP="00B51B7F">
      <w:pPr>
        <w:pStyle w:val="pf0"/>
        <w:pBdr>
          <w:top w:val="nil"/>
          <w:left w:val="nil"/>
          <w:bottom w:val="nil"/>
          <w:right w:val="nil"/>
          <w:between w:val="nil"/>
          <w:bar w:val="nil"/>
        </w:pBdr>
        <w:spacing w:before="0" w:beforeAutospacing="0" w:after="0" w:afterAutospacing="0"/>
        <w:jc w:val="both"/>
        <w:rPr>
          <w:rFonts w:ascii="Arial" w:eastAsia="Arial" w:hAnsi="Arial" w:cs="Arial"/>
          <w:sz w:val="22"/>
          <w:szCs w:val="22"/>
          <w:bdr w:val="nil"/>
        </w:rPr>
      </w:pPr>
    </w:p>
    <w:p w14:paraId="71F3F692" w14:textId="77777777" w:rsidR="00B51B7F" w:rsidRPr="00FF4696" w:rsidRDefault="003A4815" w:rsidP="00B51B7F">
      <w:pPr>
        <w:pStyle w:val="pf0"/>
        <w:pBdr>
          <w:top w:val="nil"/>
          <w:left w:val="nil"/>
          <w:bottom w:val="nil"/>
          <w:right w:val="nil"/>
          <w:between w:val="nil"/>
          <w:bar w:val="nil"/>
        </w:pBdr>
        <w:spacing w:before="0" w:beforeAutospacing="0" w:after="0" w:afterAutospacing="0"/>
        <w:jc w:val="both"/>
        <w:rPr>
          <w:rFonts w:ascii="Arial" w:eastAsia="Arial" w:hAnsi="Arial" w:cs="Arial"/>
          <w:sz w:val="22"/>
          <w:szCs w:val="22"/>
          <w:bdr w:val="nil"/>
        </w:rPr>
      </w:pPr>
      <w:r>
        <w:rPr>
          <w:rFonts w:ascii="Arial" w:eastAsia="Arial" w:hAnsi="Arial" w:cs="Arial"/>
          <w:sz w:val="22"/>
          <w:szCs w:val="22"/>
        </w:rPr>
        <w:t xml:space="preserve">On the date of deconsolidation, the fair value of the Company’s interest </w:t>
      </w:r>
      <w:r w:rsidR="00055D3E">
        <w:rPr>
          <w:rFonts w:ascii="Arial" w:eastAsia="Arial" w:hAnsi="Arial" w:cs="Arial"/>
          <w:sz w:val="22"/>
          <w:szCs w:val="22"/>
        </w:rPr>
        <w:t>amounted to $</w:t>
      </w:r>
      <w:bookmarkStart w:id="503" w:name="XBRL_CS_21a2df6a15344254bfa119005e2a424e"/>
      <w:r w:rsidR="00055D3E">
        <w:rPr>
          <w:rFonts w:ascii="Arial" w:eastAsia="Arial" w:hAnsi="Arial" w:cs="Arial"/>
          <w:sz w:val="22"/>
          <w:szCs w:val="22"/>
        </w:rPr>
        <w:t>4,519</w:t>
      </w:r>
      <w:bookmarkEnd w:id="503"/>
      <w:r w:rsidR="00E84A95">
        <w:rPr>
          <w:rFonts w:ascii="Arial" w:eastAsia="Arial" w:hAnsi="Arial" w:cs="Arial"/>
          <w:sz w:val="22"/>
          <w:szCs w:val="22"/>
        </w:rPr>
        <w:t>,</w:t>
      </w:r>
      <w:r w:rsidR="00055D3E">
        <w:rPr>
          <w:rFonts w:ascii="Arial" w:eastAsia="Arial" w:hAnsi="Arial" w:cs="Arial"/>
          <w:sz w:val="22"/>
          <w:szCs w:val="22"/>
        </w:rPr>
        <w:t xml:space="preserve"> </w:t>
      </w:r>
      <w:r w:rsidR="00356989">
        <w:rPr>
          <w:rFonts w:ascii="Arial" w:eastAsia="Arial" w:hAnsi="Arial" w:cs="Arial"/>
          <w:sz w:val="22"/>
          <w:szCs w:val="22"/>
        </w:rPr>
        <w:t xml:space="preserve">determined </w:t>
      </w:r>
      <w:r>
        <w:rPr>
          <w:rFonts w:ascii="Arial" w:eastAsia="Arial" w:hAnsi="Arial" w:cs="Arial"/>
          <w:sz w:val="22"/>
          <w:szCs w:val="22"/>
        </w:rPr>
        <w:t>through Level 2 inputs of the fair value hierarchy</w:t>
      </w:r>
      <w:r w:rsidR="00356989">
        <w:rPr>
          <w:rFonts w:ascii="Arial" w:eastAsia="Arial" w:hAnsi="Arial" w:cs="Arial"/>
          <w:sz w:val="22"/>
          <w:szCs w:val="22"/>
        </w:rPr>
        <w:t>,</w:t>
      </w:r>
      <w:r>
        <w:rPr>
          <w:rFonts w:ascii="Arial" w:eastAsia="Arial" w:hAnsi="Arial" w:cs="Arial"/>
          <w:sz w:val="22"/>
          <w:szCs w:val="22"/>
        </w:rPr>
        <w:t xml:space="preserve"> </w:t>
      </w:r>
      <w:r w:rsidR="00055D3E">
        <w:rPr>
          <w:rFonts w:ascii="Arial" w:eastAsia="Arial" w:hAnsi="Arial" w:cs="Arial"/>
          <w:sz w:val="22"/>
          <w:szCs w:val="22"/>
        </w:rPr>
        <w:t xml:space="preserve">by taking </w:t>
      </w:r>
      <w:r>
        <w:rPr>
          <w:rFonts w:ascii="Arial" w:eastAsia="Arial" w:hAnsi="Arial" w:cs="Arial"/>
          <w:sz w:val="22"/>
          <w:szCs w:val="22"/>
        </w:rPr>
        <w:t>into consideration the fair value of the distinct assets and liabilities of Bergen on the date of the deconsolidation. This resulted in</w:t>
      </w:r>
      <w:r w:rsidR="00055D3E">
        <w:rPr>
          <w:rFonts w:ascii="Arial" w:eastAsia="Arial" w:hAnsi="Arial" w:cs="Arial"/>
          <w:sz w:val="22"/>
          <w:szCs w:val="22"/>
        </w:rPr>
        <w:t xml:space="preserve"> a </w:t>
      </w:r>
      <w:r>
        <w:rPr>
          <w:rFonts w:ascii="Arial" w:eastAsia="Arial" w:hAnsi="Arial" w:cs="Arial"/>
          <w:sz w:val="22"/>
          <w:szCs w:val="22"/>
        </w:rPr>
        <w:t>gain on deconsolidation amounting to $</w:t>
      </w:r>
      <w:bookmarkStart w:id="504" w:name="XBRL_CS_b6eb0940479e4abd9b7c1d5600e4a80d"/>
      <w:r>
        <w:rPr>
          <w:rFonts w:ascii="Arial" w:eastAsia="Arial" w:hAnsi="Arial" w:cs="Arial"/>
          <w:sz w:val="22"/>
          <w:szCs w:val="22"/>
        </w:rPr>
        <w:t>844</w:t>
      </w:r>
      <w:bookmarkEnd w:id="504"/>
      <w:r>
        <w:rPr>
          <w:rFonts w:ascii="Arial" w:eastAsia="Arial" w:hAnsi="Arial" w:cs="Arial"/>
          <w:sz w:val="22"/>
          <w:szCs w:val="22"/>
        </w:rPr>
        <w:t>, separately presented in the accompanying consolidated statement of income, being the difference between the fair value of the retained noncontrolling interest</w:t>
      </w:r>
      <w:r w:rsidR="00055D3E">
        <w:rPr>
          <w:rFonts w:ascii="Arial" w:eastAsia="Arial" w:hAnsi="Arial" w:cs="Arial"/>
          <w:sz w:val="22"/>
          <w:szCs w:val="22"/>
        </w:rPr>
        <w:t xml:space="preserve"> </w:t>
      </w:r>
      <w:r>
        <w:rPr>
          <w:rFonts w:ascii="Arial" w:eastAsia="Arial" w:hAnsi="Arial" w:cs="Arial"/>
          <w:sz w:val="22"/>
          <w:szCs w:val="22"/>
        </w:rPr>
        <w:t>plus the carrying value of the liabilities assumed by Bergen and the carrying value of the assets derecognized.</w:t>
      </w:r>
    </w:p>
    <w:p w14:paraId="71F3F693" w14:textId="77777777" w:rsidR="00786509" w:rsidRDefault="003A4815" w:rsidP="000E6C37">
      <w:pPr>
        <w:pStyle w:val="pf0"/>
        <w:pBdr>
          <w:top w:val="nil"/>
          <w:left w:val="nil"/>
          <w:bottom w:val="nil"/>
          <w:right w:val="nil"/>
          <w:between w:val="nil"/>
          <w:bar w:val="nil"/>
        </w:pBdr>
        <w:jc w:val="both"/>
        <w:rPr>
          <w:rFonts w:ascii="Arial" w:eastAsia="Arial" w:hAnsi="Arial" w:cs="Arial"/>
          <w:sz w:val="22"/>
          <w:szCs w:val="22"/>
          <w:bdr w:val="nil"/>
        </w:rPr>
      </w:pPr>
      <w:r w:rsidRPr="00455BBF">
        <w:rPr>
          <w:rFonts w:ascii="Arial" w:eastAsia="Arial" w:hAnsi="Arial" w:cs="Arial"/>
          <w:sz w:val="22"/>
          <w:szCs w:val="22"/>
        </w:rPr>
        <w:t xml:space="preserve">As of </w:t>
      </w:r>
      <w:r>
        <w:rPr>
          <w:rFonts w:ascii="Arial" w:eastAsia="Arial" w:hAnsi="Arial" w:cs="Arial"/>
          <w:color w:val="000000"/>
          <w:sz w:val="22"/>
          <w:szCs w:val="22"/>
          <w:shd w:val="clear" w:color="auto" w:fill="FFFFFF"/>
        </w:rPr>
        <w:t>December 31, 2025</w:t>
      </w:r>
      <w:r w:rsidRPr="00455BBF">
        <w:rPr>
          <w:rFonts w:ascii="Arial" w:eastAsia="Arial" w:hAnsi="Arial" w:cs="Arial"/>
          <w:sz w:val="22"/>
          <w:szCs w:val="22"/>
        </w:rPr>
        <w:t xml:space="preserve"> and</w:t>
      </w:r>
      <w:r>
        <w:rPr>
          <w:rFonts w:ascii="Arial" w:eastAsia="Arial" w:hAnsi="Arial" w:cs="Arial"/>
          <w:color w:val="000000"/>
          <w:sz w:val="22"/>
          <w:szCs w:val="22"/>
          <w:shd w:val="clear" w:color="auto" w:fill="FFFFFF"/>
        </w:rPr>
        <w:t xml:space="preserve"> 2024</w:t>
      </w:r>
      <w:r w:rsidRPr="00455BBF">
        <w:rPr>
          <w:rFonts w:ascii="Arial" w:eastAsia="Arial" w:hAnsi="Arial" w:cs="Arial"/>
          <w:sz w:val="22"/>
          <w:szCs w:val="22"/>
        </w:rPr>
        <w:t xml:space="preserve">, the </w:t>
      </w:r>
      <w:r w:rsidR="00E84A95">
        <w:rPr>
          <w:rFonts w:ascii="Arial" w:eastAsia="Arial" w:hAnsi="Arial" w:cs="Arial"/>
          <w:sz w:val="22"/>
          <w:szCs w:val="22"/>
        </w:rPr>
        <w:t xml:space="preserve">Company’s equity </w:t>
      </w:r>
      <w:r w:rsidRPr="00455BBF">
        <w:rPr>
          <w:rFonts w:ascii="Arial" w:eastAsia="Arial" w:hAnsi="Arial" w:cs="Arial"/>
          <w:sz w:val="22"/>
          <w:szCs w:val="22"/>
        </w:rPr>
        <w:t xml:space="preserve">investment in Bergen amounted to </w:t>
      </w:r>
      <w:r>
        <w:rPr>
          <w:rFonts w:ascii="Arial" w:eastAsia="Arial" w:hAnsi="Arial" w:cs="Arial"/>
          <w:color w:val="000000"/>
          <w:sz w:val="22"/>
          <w:szCs w:val="22"/>
          <w:shd w:val="clear" w:color="auto" w:fill="FFFFFF"/>
        </w:rPr>
        <w:t>$</w:t>
      </w:r>
      <w:bookmarkStart w:id="505" w:name="XBRL_CS_4302da40042b4c3db820ebe711441f9c"/>
      <w:r>
        <w:rPr>
          <w:rFonts w:ascii="Arial" w:eastAsia="Arial" w:hAnsi="Arial" w:cs="Arial"/>
          <w:color w:val="000000"/>
          <w:sz w:val="22"/>
          <w:szCs w:val="22"/>
          <w:shd w:val="clear" w:color="auto" w:fill="FFFFFF"/>
        </w:rPr>
        <w:t>4,227</w:t>
      </w:r>
      <w:bookmarkEnd w:id="505"/>
      <w:r w:rsidRPr="00455BBF">
        <w:rPr>
          <w:rFonts w:ascii="Arial" w:eastAsia="Arial" w:hAnsi="Arial" w:cs="Arial"/>
          <w:sz w:val="22"/>
          <w:szCs w:val="22"/>
        </w:rPr>
        <w:t xml:space="preserve"> and </w:t>
      </w:r>
      <w:r>
        <w:rPr>
          <w:rFonts w:ascii="Arial" w:eastAsia="Arial" w:hAnsi="Arial" w:cs="Arial"/>
          <w:color w:val="000000"/>
          <w:sz w:val="22"/>
          <w:szCs w:val="22"/>
          <w:shd w:val="clear" w:color="auto" w:fill="FFFFFF"/>
        </w:rPr>
        <w:t>$</w:t>
      </w:r>
      <w:bookmarkStart w:id="506" w:name="XBRL_CS_bfe68e60046b444a933fe0fdd82f5545"/>
      <w:r>
        <w:rPr>
          <w:rFonts w:ascii="Arial" w:eastAsia="Arial" w:hAnsi="Arial" w:cs="Arial"/>
          <w:color w:val="000000"/>
          <w:sz w:val="22"/>
          <w:szCs w:val="22"/>
          <w:shd w:val="clear" w:color="auto" w:fill="FFFFFF"/>
        </w:rPr>
        <w:t>5,012</w:t>
      </w:r>
      <w:bookmarkEnd w:id="506"/>
      <w:r w:rsidRPr="00455BBF">
        <w:rPr>
          <w:rFonts w:ascii="Arial" w:eastAsia="Arial" w:hAnsi="Arial" w:cs="Arial"/>
          <w:sz w:val="22"/>
          <w:szCs w:val="22"/>
        </w:rPr>
        <w:t>, respectively, and is included in</w:t>
      </w:r>
      <w:r w:rsidR="00D14494">
        <w:rPr>
          <w:rFonts w:ascii="Arial" w:eastAsia="Arial" w:hAnsi="Arial" w:cs="Arial"/>
          <w:sz w:val="22"/>
          <w:szCs w:val="22"/>
        </w:rPr>
        <w:t xml:space="preserve"> </w:t>
      </w:r>
      <w:r w:rsidR="00C50D40">
        <w:rPr>
          <w:rFonts w:ascii="Arial" w:eastAsia="Arial" w:hAnsi="Arial" w:cs="Arial"/>
          <w:sz w:val="22"/>
          <w:szCs w:val="22"/>
        </w:rPr>
        <w:t>e</w:t>
      </w:r>
      <w:r w:rsidR="00C50D40" w:rsidRPr="00C50D40">
        <w:rPr>
          <w:rFonts w:ascii="Arial" w:eastAsia="Arial" w:hAnsi="Arial" w:cs="Arial"/>
          <w:sz w:val="22"/>
          <w:szCs w:val="22"/>
        </w:rPr>
        <w:t>quity method investment, current</w:t>
      </w:r>
      <w:r w:rsidR="00833949" w:rsidRPr="00833949">
        <w:rPr>
          <w:rFonts w:ascii="Arial" w:eastAsia="Arial" w:hAnsi="Arial" w:cs="Arial"/>
          <w:sz w:val="22"/>
          <w:szCs w:val="22"/>
        </w:rPr>
        <w:t xml:space="preserve"> and </w:t>
      </w:r>
      <w:r w:rsidR="00C50D40">
        <w:rPr>
          <w:rFonts w:ascii="Arial" w:eastAsia="Arial" w:hAnsi="Arial" w:cs="Arial"/>
          <w:sz w:val="22"/>
          <w:szCs w:val="22"/>
        </w:rPr>
        <w:t>equity metho</w:t>
      </w:r>
      <w:r w:rsidR="005853BA">
        <w:rPr>
          <w:rFonts w:ascii="Arial" w:eastAsia="Arial" w:hAnsi="Arial" w:cs="Arial"/>
          <w:sz w:val="22"/>
          <w:szCs w:val="22"/>
        </w:rPr>
        <w:t>d</w:t>
      </w:r>
      <w:r w:rsidR="00C50D40">
        <w:rPr>
          <w:rFonts w:ascii="Arial" w:eastAsia="Arial" w:hAnsi="Arial" w:cs="Arial"/>
          <w:sz w:val="22"/>
          <w:szCs w:val="22"/>
        </w:rPr>
        <w:t xml:space="preserve"> investments</w:t>
      </w:r>
      <w:r w:rsidR="00833949" w:rsidRPr="00833949">
        <w:rPr>
          <w:rFonts w:ascii="Arial" w:eastAsia="Arial" w:hAnsi="Arial" w:cs="Arial"/>
          <w:sz w:val="22"/>
          <w:szCs w:val="22"/>
        </w:rPr>
        <w:t>, non-current, respectively</w:t>
      </w:r>
      <w:r w:rsidR="00D14494">
        <w:rPr>
          <w:rFonts w:ascii="Arial" w:eastAsia="Arial" w:hAnsi="Arial" w:cs="Arial"/>
          <w:sz w:val="22"/>
          <w:szCs w:val="22"/>
        </w:rPr>
        <w:t>,</w:t>
      </w:r>
      <w:r w:rsidRPr="00455BBF">
        <w:rPr>
          <w:rFonts w:ascii="Arial" w:eastAsia="Arial" w:hAnsi="Arial" w:cs="Arial"/>
          <w:sz w:val="22"/>
          <w:szCs w:val="22"/>
        </w:rPr>
        <w:t xml:space="preserve"> in the accompanying consolidated balance sheets.</w:t>
      </w:r>
      <w:r>
        <w:rPr>
          <w:rFonts w:ascii="Arial" w:eastAsia="Arial" w:hAnsi="Arial" w:cs="Arial"/>
          <w:sz w:val="22"/>
          <w:szCs w:val="22"/>
        </w:rPr>
        <w:t xml:space="preserve"> </w:t>
      </w:r>
      <w:r w:rsidR="002C2573">
        <w:rPr>
          <w:rFonts w:ascii="Arial" w:eastAsia="Arial" w:hAnsi="Arial" w:cs="Arial"/>
          <w:sz w:val="22"/>
          <w:szCs w:val="22"/>
        </w:rPr>
        <w:t xml:space="preserve">In </w:t>
      </w:r>
      <w:r w:rsidR="009D0918">
        <w:rPr>
          <w:rFonts w:ascii="Arial" w:eastAsia="Arial" w:hAnsi="Arial" w:cs="Arial"/>
          <w:sz w:val="22"/>
          <w:szCs w:val="22"/>
        </w:rPr>
        <w:t>2025</w:t>
      </w:r>
      <w:r w:rsidR="00DF19FD">
        <w:rPr>
          <w:rFonts w:ascii="Arial" w:eastAsia="Arial" w:hAnsi="Arial" w:cs="Arial"/>
          <w:sz w:val="22"/>
          <w:szCs w:val="22"/>
        </w:rPr>
        <w:t>,</w:t>
      </w:r>
      <w:r w:rsidR="009D0918">
        <w:rPr>
          <w:rFonts w:ascii="Arial" w:eastAsia="Arial" w:hAnsi="Arial" w:cs="Arial"/>
          <w:sz w:val="22"/>
          <w:szCs w:val="22"/>
        </w:rPr>
        <w:t xml:space="preserve"> 2024</w:t>
      </w:r>
      <w:r w:rsidR="00DF19FD">
        <w:rPr>
          <w:rFonts w:ascii="Arial" w:eastAsia="Arial" w:hAnsi="Arial" w:cs="Arial"/>
          <w:sz w:val="22"/>
          <w:szCs w:val="22"/>
        </w:rPr>
        <w:t xml:space="preserve"> and 2023</w:t>
      </w:r>
      <w:r w:rsidR="009D0918">
        <w:rPr>
          <w:rFonts w:ascii="Arial" w:eastAsia="Arial" w:hAnsi="Arial" w:cs="Arial"/>
          <w:sz w:val="22"/>
          <w:szCs w:val="22"/>
        </w:rPr>
        <w:t xml:space="preserve">, the investment in Bergen resulted in </w:t>
      </w:r>
      <w:r>
        <w:rPr>
          <w:rFonts w:ascii="Arial" w:eastAsia="Arial" w:hAnsi="Arial" w:cs="Arial"/>
          <w:sz w:val="22"/>
          <w:szCs w:val="22"/>
        </w:rPr>
        <w:t xml:space="preserve">a </w:t>
      </w:r>
      <w:r w:rsidR="009F45F6">
        <w:rPr>
          <w:rFonts w:ascii="Arial" w:eastAsia="Arial" w:hAnsi="Arial" w:cs="Arial"/>
          <w:sz w:val="22"/>
          <w:szCs w:val="22"/>
        </w:rPr>
        <w:t>loss</w:t>
      </w:r>
      <w:r w:rsidR="009D0918">
        <w:rPr>
          <w:rFonts w:ascii="Arial" w:eastAsia="Arial" w:hAnsi="Arial" w:cs="Arial"/>
          <w:sz w:val="22"/>
          <w:szCs w:val="22"/>
        </w:rPr>
        <w:t xml:space="preserve"> of $</w:t>
      </w:r>
      <w:bookmarkStart w:id="507" w:name="XBRL_CS_650d88b11ee2488b975fc5b1080c92b6"/>
      <w:r w:rsidR="009D0918">
        <w:rPr>
          <w:rFonts w:ascii="Arial" w:eastAsia="Arial" w:hAnsi="Arial" w:cs="Arial"/>
          <w:sz w:val="22"/>
          <w:szCs w:val="22"/>
        </w:rPr>
        <w:t>765</w:t>
      </w:r>
      <w:bookmarkEnd w:id="507"/>
      <w:r w:rsidR="00DF19FD">
        <w:rPr>
          <w:rFonts w:ascii="Arial" w:eastAsia="Arial" w:hAnsi="Arial" w:cs="Arial"/>
          <w:sz w:val="22"/>
          <w:szCs w:val="22"/>
        </w:rPr>
        <w:t>,</w:t>
      </w:r>
      <w:r w:rsidR="009F45F6">
        <w:rPr>
          <w:rFonts w:ascii="Arial" w:eastAsia="Arial" w:hAnsi="Arial" w:cs="Arial"/>
          <w:sz w:val="22"/>
          <w:szCs w:val="22"/>
        </w:rPr>
        <w:t xml:space="preserve"> a gain of</w:t>
      </w:r>
      <w:r w:rsidR="009D0918">
        <w:rPr>
          <w:rFonts w:ascii="Arial" w:eastAsia="Arial" w:hAnsi="Arial" w:cs="Arial"/>
          <w:sz w:val="22"/>
          <w:szCs w:val="22"/>
        </w:rPr>
        <w:t xml:space="preserve"> $</w:t>
      </w:r>
      <w:bookmarkStart w:id="508" w:name="XBRL_CS_b914080ef45e4013964e001ead4b0139"/>
      <w:r w:rsidR="009D0918">
        <w:rPr>
          <w:rFonts w:ascii="Arial" w:eastAsia="Arial" w:hAnsi="Arial" w:cs="Arial"/>
          <w:sz w:val="22"/>
          <w:szCs w:val="22"/>
        </w:rPr>
        <w:t>312</w:t>
      </w:r>
      <w:bookmarkEnd w:id="508"/>
      <w:r w:rsidR="00DF19FD">
        <w:rPr>
          <w:rFonts w:ascii="Arial" w:eastAsia="Arial" w:hAnsi="Arial" w:cs="Arial"/>
          <w:sz w:val="22"/>
          <w:szCs w:val="22"/>
        </w:rPr>
        <w:t xml:space="preserve"> </w:t>
      </w:r>
      <w:r w:rsidR="00DF19FD" w:rsidRPr="00DF19FD">
        <w:rPr>
          <w:rFonts w:ascii="Arial" w:eastAsia="Arial" w:hAnsi="Arial" w:cs="Arial"/>
          <w:sz w:val="22"/>
          <w:szCs w:val="22"/>
        </w:rPr>
        <w:t>and</w:t>
      </w:r>
      <w:r w:rsidR="00DF19FD">
        <w:rPr>
          <w:rFonts w:ascii="Arial" w:eastAsia="Arial" w:hAnsi="Arial" w:cs="Arial"/>
          <w:sz w:val="22"/>
          <w:szCs w:val="22"/>
        </w:rPr>
        <w:t xml:space="preserve"> a gain of</w:t>
      </w:r>
      <w:r w:rsidR="00DF19FD" w:rsidRPr="00DF19FD">
        <w:rPr>
          <w:rFonts w:ascii="Arial" w:eastAsia="Arial" w:hAnsi="Arial" w:cs="Arial"/>
          <w:sz w:val="22"/>
          <w:szCs w:val="22"/>
        </w:rPr>
        <w:t xml:space="preserve"> $</w:t>
      </w:r>
      <w:bookmarkStart w:id="509" w:name="XBRL_CS_2e0d46b7e5a94b2b8663c72648823ca0"/>
      <w:r w:rsidR="00DF19FD" w:rsidRPr="00DF19FD">
        <w:rPr>
          <w:rFonts w:ascii="Arial" w:eastAsia="Arial" w:hAnsi="Arial" w:cs="Arial"/>
          <w:sz w:val="22"/>
          <w:szCs w:val="22"/>
        </w:rPr>
        <w:t>181</w:t>
      </w:r>
      <w:bookmarkEnd w:id="509"/>
      <w:r w:rsidR="009D0918">
        <w:rPr>
          <w:rFonts w:ascii="Arial" w:eastAsia="Arial" w:hAnsi="Arial" w:cs="Arial"/>
          <w:sz w:val="22"/>
          <w:szCs w:val="22"/>
        </w:rPr>
        <w:t xml:space="preserve">, respectively and is included in </w:t>
      </w:r>
      <w:r w:rsidR="009364AD">
        <w:rPr>
          <w:rFonts w:ascii="Arial" w:eastAsia="Arial" w:hAnsi="Arial" w:cs="Arial"/>
          <w:sz w:val="22"/>
          <w:szCs w:val="22"/>
        </w:rPr>
        <w:t>loss</w:t>
      </w:r>
      <w:r w:rsidR="009D0918">
        <w:rPr>
          <w:rFonts w:ascii="Arial" w:eastAsia="Arial" w:hAnsi="Arial" w:cs="Arial"/>
          <w:sz w:val="22"/>
          <w:szCs w:val="22"/>
          <w:bdr w:val="none" w:sz="0" w:space="0" w:color="auto" w:frame="1"/>
        </w:rPr>
        <w:t xml:space="preserve"> from equity method investments</w:t>
      </w:r>
      <w:r w:rsidR="009D0918">
        <w:rPr>
          <w:rFonts w:ascii="Arial" w:eastAsia="Arial" w:hAnsi="Arial" w:cs="Arial"/>
          <w:sz w:val="22"/>
          <w:szCs w:val="22"/>
        </w:rPr>
        <w:t xml:space="preserve"> in the accompanying consolidated statement</w:t>
      </w:r>
      <w:r w:rsidR="002C2573">
        <w:rPr>
          <w:rFonts w:ascii="Arial" w:eastAsia="Arial" w:hAnsi="Arial" w:cs="Arial"/>
          <w:sz w:val="22"/>
          <w:szCs w:val="22"/>
        </w:rPr>
        <w:t>s</w:t>
      </w:r>
      <w:r w:rsidR="009D0918">
        <w:rPr>
          <w:rFonts w:ascii="Arial" w:eastAsia="Arial" w:hAnsi="Arial" w:cs="Arial"/>
          <w:sz w:val="22"/>
          <w:szCs w:val="22"/>
        </w:rPr>
        <w:t xml:space="preserve"> of income. Also, </w:t>
      </w:r>
      <w:r w:rsidR="002C2573">
        <w:rPr>
          <w:rFonts w:ascii="Arial" w:eastAsia="Arial" w:hAnsi="Arial" w:cs="Arial"/>
          <w:sz w:val="22"/>
          <w:szCs w:val="22"/>
        </w:rPr>
        <w:t>in</w:t>
      </w:r>
      <w:r w:rsidR="009D0918">
        <w:rPr>
          <w:rFonts w:ascii="Arial" w:eastAsia="Arial" w:hAnsi="Arial" w:cs="Arial"/>
          <w:sz w:val="22"/>
          <w:szCs w:val="22"/>
        </w:rPr>
        <w:t xml:space="preserve"> 2025</w:t>
      </w:r>
      <w:r w:rsidR="00DF19FD">
        <w:rPr>
          <w:rFonts w:ascii="Arial" w:eastAsia="Arial" w:hAnsi="Arial" w:cs="Arial"/>
          <w:sz w:val="22"/>
          <w:szCs w:val="22"/>
        </w:rPr>
        <w:t>,</w:t>
      </w:r>
      <w:r w:rsidR="00555A70">
        <w:rPr>
          <w:rFonts w:ascii="Arial" w:eastAsia="Arial" w:hAnsi="Arial" w:cs="Arial"/>
          <w:sz w:val="22"/>
          <w:szCs w:val="22"/>
        </w:rPr>
        <w:t xml:space="preserve"> 2024</w:t>
      </w:r>
      <w:r w:rsidR="00DF19FD" w:rsidRPr="00DF19FD">
        <w:rPr>
          <w:rFonts w:ascii="Arial" w:eastAsia="Arial" w:hAnsi="Arial" w:cs="Arial"/>
          <w:sz w:val="22"/>
          <w:szCs w:val="22"/>
        </w:rPr>
        <w:t xml:space="preserve"> </w:t>
      </w:r>
      <w:r w:rsidR="00DF19FD">
        <w:rPr>
          <w:rFonts w:ascii="Arial" w:eastAsia="Arial" w:hAnsi="Arial" w:cs="Arial"/>
          <w:sz w:val="22"/>
          <w:szCs w:val="22"/>
        </w:rPr>
        <w:t>and 2023</w:t>
      </w:r>
      <w:r w:rsidR="009D0918">
        <w:rPr>
          <w:rFonts w:ascii="Arial" w:eastAsia="Arial" w:hAnsi="Arial" w:cs="Arial"/>
          <w:sz w:val="22"/>
          <w:szCs w:val="22"/>
        </w:rPr>
        <w:t>, income from management fees from Bergen amounted to $</w:t>
      </w:r>
      <w:bookmarkStart w:id="510" w:name="XBRL_CS_dfd2ba25905441dcb2c8f3b40e215070"/>
      <w:r w:rsidR="009D0918">
        <w:rPr>
          <w:rFonts w:ascii="Arial" w:eastAsia="Arial" w:hAnsi="Arial" w:cs="Arial"/>
          <w:sz w:val="22"/>
          <w:szCs w:val="22"/>
        </w:rPr>
        <w:t>15</w:t>
      </w:r>
      <w:bookmarkEnd w:id="510"/>
      <w:r w:rsidR="00DF19FD">
        <w:rPr>
          <w:rFonts w:ascii="Arial" w:eastAsia="Arial" w:hAnsi="Arial" w:cs="Arial"/>
          <w:sz w:val="22"/>
          <w:szCs w:val="22"/>
        </w:rPr>
        <w:t>,</w:t>
      </w:r>
      <w:r w:rsidR="00555A70">
        <w:rPr>
          <w:rFonts w:ascii="Arial" w:eastAsia="Arial" w:hAnsi="Arial" w:cs="Arial"/>
          <w:sz w:val="22"/>
          <w:szCs w:val="22"/>
        </w:rPr>
        <w:t xml:space="preserve"> $</w:t>
      </w:r>
      <w:bookmarkStart w:id="511" w:name="XBRL_CS_c56dfe1563a64f5b8b840c3ca6bf0fd1"/>
      <w:r w:rsidR="00555A70">
        <w:rPr>
          <w:rFonts w:ascii="Arial" w:eastAsia="Arial" w:hAnsi="Arial" w:cs="Arial"/>
          <w:sz w:val="22"/>
          <w:szCs w:val="22"/>
        </w:rPr>
        <w:t>1</w:t>
      </w:r>
      <w:r w:rsidR="000F1B57">
        <w:rPr>
          <w:rFonts w:ascii="Arial" w:eastAsia="Arial" w:hAnsi="Arial" w:cs="Arial"/>
          <w:sz w:val="22"/>
          <w:szCs w:val="22"/>
        </w:rPr>
        <w:t>5</w:t>
      </w:r>
      <w:bookmarkEnd w:id="511"/>
      <w:r w:rsidR="00DF19FD">
        <w:rPr>
          <w:rFonts w:ascii="Arial" w:eastAsia="Arial" w:hAnsi="Arial" w:cs="Arial"/>
          <w:sz w:val="22"/>
          <w:szCs w:val="22"/>
        </w:rPr>
        <w:t xml:space="preserve"> and $</w:t>
      </w:r>
      <w:bookmarkStart w:id="512" w:name="XBRL_CS_d7ca4ec40bed44c993b639d75b8d3bba"/>
      <w:r w:rsidR="00DF19FD">
        <w:rPr>
          <w:rFonts w:ascii="Arial" w:eastAsia="Arial" w:hAnsi="Arial" w:cs="Arial"/>
          <w:sz w:val="22"/>
          <w:szCs w:val="22"/>
        </w:rPr>
        <w:t>10</w:t>
      </w:r>
      <w:bookmarkEnd w:id="512"/>
      <w:r w:rsidR="00555A70">
        <w:rPr>
          <w:rFonts w:ascii="Arial" w:eastAsia="Arial" w:hAnsi="Arial" w:cs="Arial"/>
          <w:sz w:val="22"/>
          <w:szCs w:val="22"/>
        </w:rPr>
        <w:t>, respectively</w:t>
      </w:r>
      <w:r w:rsidR="009D0918">
        <w:rPr>
          <w:rFonts w:ascii="Arial" w:eastAsia="Arial" w:hAnsi="Arial" w:cs="Arial"/>
          <w:sz w:val="22"/>
          <w:szCs w:val="22"/>
        </w:rPr>
        <w:t>, included in time charter revenues and income from the commission paid on the loan guarantee amounted to $</w:t>
      </w:r>
      <w:bookmarkStart w:id="513" w:name="XBRL_CS_a1b47cc79ede40838e427575f569625f"/>
      <w:r w:rsidR="009D0918">
        <w:rPr>
          <w:rFonts w:ascii="Arial" w:eastAsia="Arial" w:hAnsi="Arial" w:cs="Arial"/>
          <w:sz w:val="22"/>
          <w:szCs w:val="22"/>
        </w:rPr>
        <w:t>52</w:t>
      </w:r>
      <w:bookmarkEnd w:id="513"/>
      <w:r w:rsidR="00DF19FD">
        <w:rPr>
          <w:rFonts w:ascii="Arial" w:eastAsia="Arial" w:hAnsi="Arial" w:cs="Arial"/>
          <w:sz w:val="22"/>
          <w:szCs w:val="22"/>
        </w:rPr>
        <w:t>,</w:t>
      </w:r>
      <w:r w:rsidR="009D0918">
        <w:rPr>
          <w:rFonts w:ascii="Arial" w:eastAsia="Arial" w:hAnsi="Arial" w:cs="Arial"/>
          <w:sz w:val="22"/>
          <w:szCs w:val="22"/>
        </w:rPr>
        <w:t xml:space="preserve"> $</w:t>
      </w:r>
      <w:bookmarkStart w:id="514" w:name="XBRL_CS_b5c40e8b4e4a40e98112e57eb348ea56"/>
      <w:r w:rsidR="00571250">
        <w:rPr>
          <w:rFonts w:ascii="Arial" w:eastAsia="Arial" w:hAnsi="Arial" w:cs="Arial"/>
          <w:sz w:val="22"/>
          <w:szCs w:val="22"/>
        </w:rPr>
        <w:t>40</w:t>
      </w:r>
      <w:bookmarkEnd w:id="514"/>
      <w:r w:rsidR="00DF19FD">
        <w:rPr>
          <w:rFonts w:ascii="Arial" w:eastAsia="Arial" w:hAnsi="Arial" w:cs="Arial"/>
          <w:sz w:val="22"/>
          <w:szCs w:val="22"/>
        </w:rPr>
        <w:t xml:space="preserve"> and $</w:t>
      </w:r>
      <w:bookmarkStart w:id="515" w:name="XBRL_CS_c39847402ab8404b921b20fdd8efd4ca"/>
      <w:r w:rsidR="00DF19FD">
        <w:rPr>
          <w:rFonts w:ascii="Arial" w:eastAsia="Arial" w:hAnsi="Arial" w:cs="Arial"/>
          <w:sz w:val="22"/>
          <w:szCs w:val="22"/>
        </w:rPr>
        <w:t>28</w:t>
      </w:r>
      <w:bookmarkEnd w:id="515"/>
      <w:r w:rsidR="009D0918">
        <w:rPr>
          <w:rFonts w:ascii="Arial" w:eastAsia="Arial" w:hAnsi="Arial" w:cs="Arial"/>
          <w:sz w:val="22"/>
          <w:szCs w:val="22"/>
        </w:rPr>
        <w:t>, included in interest and other income in the accompanying consolidated statement</w:t>
      </w:r>
      <w:r w:rsidR="000A2D48">
        <w:rPr>
          <w:rFonts w:ascii="Arial" w:eastAsia="Arial" w:hAnsi="Arial" w:cs="Arial"/>
          <w:sz w:val="22"/>
          <w:szCs w:val="22"/>
        </w:rPr>
        <w:t>s</w:t>
      </w:r>
      <w:r w:rsidR="009D0918">
        <w:rPr>
          <w:rFonts w:ascii="Arial" w:eastAsia="Arial" w:hAnsi="Arial" w:cs="Arial"/>
          <w:sz w:val="22"/>
          <w:szCs w:val="22"/>
        </w:rPr>
        <w:t xml:space="preserve"> of income. </w:t>
      </w:r>
      <w:r w:rsidR="00676A5A" w:rsidRPr="00676A5A">
        <w:rPr>
          <w:rFonts w:ascii="Arial" w:eastAsia="Arial" w:hAnsi="Arial" w:cs="Arial"/>
          <w:sz w:val="22"/>
          <w:szCs w:val="22"/>
        </w:rPr>
        <w:t>As of December 31, 2025 and 2024, there was an amount of $</w:t>
      </w:r>
      <w:bookmarkStart w:id="516" w:name="XBRL_CS_91200a71e1d149f0a26708ccd9c1e3cf"/>
      <w:r w:rsidR="00676A5A" w:rsidRPr="00676A5A">
        <w:rPr>
          <w:rFonts w:ascii="Arial" w:eastAsia="Arial" w:hAnsi="Arial" w:cs="Arial"/>
          <w:sz w:val="22"/>
          <w:szCs w:val="22"/>
        </w:rPr>
        <w:t>158</w:t>
      </w:r>
      <w:bookmarkEnd w:id="516"/>
      <w:r w:rsidR="00676A5A" w:rsidRPr="00676A5A">
        <w:rPr>
          <w:rFonts w:ascii="Arial" w:eastAsia="Arial" w:hAnsi="Arial" w:cs="Arial"/>
          <w:sz w:val="22"/>
          <w:szCs w:val="22"/>
        </w:rPr>
        <w:t xml:space="preserve"> and $</w:t>
      </w:r>
      <w:bookmarkStart w:id="517" w:name="XBRL_CS_9db7eb362cd7423480d021796a4678a7"/>
      <w:r w:rsidR="00BB4D92" w:rsidRPr="00676A5A">
        <w:rPr>
          <w:rFonts w:ascii="Arial" w:eastAsia="Arial" w:hAnsi="Arial" w:cs="Arial"/>
          <w:sz w:val="22"/>
          <w:szCs w:val="22"/>
        </w:rPr>
        <w:t>246</w:t>
      </w:r>
      <w:bookmarkEnd w:id="517"/>
      <w:r w:rsidR="00676A5A" w:rsidRPr="00676A5A">
        <w:rPr>
          <w:rFonts w:ascii="Arial" w:eastAsia="Arial" w:hAnsi="Arial" w:cs="Arial"/>
          <w:sz w:val="22"/>
          <w:szCs w:val="22"/>
        </w:rPr>
        <w:t>, respectively, due from Bergen included in due from related parties, current and non-current.</w:t>
      </w:r>
    </w:p>
    <w:p w14:paraId="71F3F694" w14:textId="77777777" w:rsidR="00672065" w:rsidRDefault="003A4815" w:rsidP="00346C09">
      <w:pPr>
        <w:pBdr>
          <w:top w:val="nil"/>
          <w:left w:val="nil"/>
          <w:bottom w:val="nil"/>
          <w:right w:val="nil"/>
          <w:between w:val="nil"/>
          <w:bar w:val="nil"/>
        </w:pBdr>
        <w:jc w:val="both"/>
        <w:rPr>
          <w:rFonts w:ascii="Arial" w:eastAsia="Arial" w:hAnsi="Arial" w:cs="Arial"/>
          <w:bdr w:val="nil"/>
          <w:lang w:val="en-GB"/>
        </w:rPr>
      </w:pPr>
      <w:r w:rsidRPr="00672065">
        <w:rPr>
          <w:rFonts w:ascii="Arial" w:eastAsia="Arial" w:hAnsi="Arial" w:cs="Arial"/>
          <w:lang w:val="en-GB"/>
        </w:rPr>
        <w:t xml:space="preserve">On November 19, 2025, </w:t>
      </w:r>
      <w:r w:rsidR="00347EF1">
        <w:rPr>
          <w:rFonts w:ascii="Arial" w:eastAsia="Arial" w:hAnsi="Arial" w:cs="Arial"/>
          <w:lang w:val="en-GB"/>
        </w:rPr>
        <w:t>Bergen</w:t>
      </w:r>
      <w:r w:rsidRPr="00672065">
        <w:rPr>
          <w:rFonts w:ascii="Arial" w:eastAsia="Arial" w:hAnsi="Arial" w:cs="Arial"/>
          <w:lang w:val="en-GB"/>
        </w:rPr>
        <w:t xml:space="preserve"> entered into an agreement with an unrelated third party to sell the vessel</w:t>
      </w:r>
      <w:r>
        <w:rPr>
          <w:rFonts w:ascii="Arial" w:eastAsia="Arial" w:hAnsi="Arial" w:cs="Arial"/>
          <w:lang w:val="en-GB"/>
        </w:rPr>
        <w:t xml:space="preserve"> </w:t>
      </w:r>
      <w:r w:rsidRPr="00672065">
        <w:rPr>
          <w:rFonts w:ascii="Arial" w:eastAsia="Arial" w:hAnsi="Arial" w:cs="Arial"/>
          <w:lang w:val="en-GB"/>
        </w:rPr>
        <w:t>for the sale price of $</w:t>
      </w:r>
      <w:bookmarkStart w:id="518" w:name="XBRL_CS_34cfd57ec55e4030848795ce5d137d78"/>
      <w:r>
        <w:rPr>
          <w:rFonts w:ascii="Arial" w:eastAsia="Arial" w:hAnsi="Arial" w:cs="Arial"/>
          <w:lang w:val="en-GB"/>
        </w:rPr>
        <w:t>2</w:t>
      </w:r>
      <w:r w:rsidR="00C20D1C">
        <w:rPr>
          <w:rFonts w:ascii="Arial" w:eastAsia="Arial" w:hAnsi="Arial" w:cs="Arial"/>
          <w:lang w:val="en-GB"/>
        </w:rPr>
        <w:t>6</w:t>
      </w:r>
      <w:r w:rsidRPr="00672065">
        <w:rPr>
          <w:rFonts w:ascii="Arial" w:eastAsia="Arial" w:hAnsi="Arial" w:cs="Arial"/>
          <w:lang w:val="en-GB"/>
        </w:rPr>
        <w:t>,</w:t>
      </w:r>
      <w:r w:rsidR="00C20D1C">
        <w:rPr>
          <w:rFonts w:ascii="Arial" w:eastAsia="Arial" w:hAnsi="Arial" w:cs="Arial"/>
          <w:lang w:val="en-GB"/>
        </w:rPr>
        <w:t>4</w:t>
      </w:r>
      <w:r w:rsidRPr="00672065">
        <w:rPr>
          <w:rFonts w:ascii="Arial" w:eastAsia="Arial" w:hAnsi="Arial" w:cs="Arial"/>
          <w:lang w:val="en-GB"/>
        </w:rPr>
        <w:t>00</w:t>
      </w:r>
      <w:bookmarkEnd w:id="518"/>
      <w:r>
        <w:rPr>
          <w:rFonts w:ascii="Arial" w:eastAsia="Arial" w:hAnsi="Arial" w:cs="Arial"/>
          <w:lang w:val="en-GB"/>
        </w:rPr>
        <w:t>.</w:t>
      </w:r>
      <w:r w:rsidR="00824A61" w:rsidRPr="00824A61">
        <w:rPr>
          <w:rFonts w:ascii="Arial" w:eastAsia="Arial" w:hAnsi="Arial" w:cs="Arial"/>
          <w:lang w:val="en-US"/>
        </w:rPr>
        <w:t xml:space="preserve"> </w:t>
      </w:r>
      <w:r w:rsidR="00824A61" w:rsidRPr="00824A61">
        <w:rPr>
          <w:rFonts w:ascii="Arial" w:eastAsia="Arial" w:hAnsi="Arial" w:cs="Arial"/>
          <w:lang w:val="en-GB"/>
        </w:rPr>
        <w:t>As a result, the Company reclassified its</w:t>
      </w:r>
      <w:r w:rsidR="00564C79">
        <w:rPr>
          <w:rFonts w:ascii="Arial" w:eastAsia="Arial" w:hAnsi="Arial" w:cs="Arial"/>
          <w:lang w:val="en-GB"/>
        </w:rPr>
        <w:t xml:space="preserve"> equity method</w:t>
      </w:r>
      <w:r w:rsidR="00824A61" w:rsidRPr="00824A61">
        <w:rPr>
          <w:rFonts w:ascii="Arial" w:eastAsia="Arial" w:hAnsi="Arial" w:cs="Arial"/>
          <w:lang w:val="en-GB"/>
        </w:rPr>
        <w:t xml:space="preserve"> investment</w:t>
      </w:r>
      <w:r w:rsidR="00564C79">
        <w:rPr>
          <w:rFonts w:ascii="Arial" w:eastAsia="Arial" w:hAnsi="Arial" w:cs="Arial"/>
          <w:lang w:val="en-GB"/>
        </w:rPr>
        <w:t xml:space="preserve"> </w:t>
      </w:r>
      <w:r w:rsidR="00824A61" w:rsidRPr="00824A61">
        <w:rPr>
          <w:rFonts w:ascii="Arial" w:eastAsia="Arial" w:hAnsi="Arial" w:cs="Arial"/>
          <w:lang w:val="en-GB"/>
        </w:rPr>
        <w:t>from non-current to current assets</w:t>
      </w:r>
      <w:r w:rsidR="00D14494">
        <w:rPr>
          <w:rFonts w:ascii="Arial" w:eastAsia="Arial" w:hAnsi="Arial" w:cs="Arial"/>
          <w:lang w:val="en-US"/>
        </w:rPr>
        <w:t>,</w:t>
      </w:r>
      <w:r w:rsidR="00D14494" w:rsidRPr="00455BBF">
        <w:rPr>
          <w:rFonts w:ascii="Arial" w:eastAsia="Arial" w:hAnsi="Arial" w:cs="Arial"/>
          <w:lang w:val="en-US"/>
        </w:rPr>
        <w:t xml:space="preserve"> in the accompanying consolidated balance sheet.</w:t>
      </w:r>
      <w:r w:rsidR="00824A61">
        <w:rPr>
          <w:rFonts w:ascii="Arial" w:eastAsia="Arial" w:hAnsi="Arial" w:cs="Arial"/>
          <w:lang w:val="en-GB"/>
        </w:rPr>
        <w:t xml:space="preserve"> </w:t>
      </w:r>
      <w:r>
        <w:rPr>
          <w:rFonts w:ascii="Arial" w:eastAsia="Arial" w:hAnsi="Arial" w:cs="Arial"/>
          <w:lang w:val="en-GB"/>
        </w:rPr>
        <w:t>(Note 16).</w:t>
      </w:r>
    </w:p>
    <w:p w14:paraId="71F3F695" w14:textId="77777777" w:rsidR="00672065" w:rsidRDefault="00672065" w:rsidP="00346C09">
      <w:pPr>
        <w:pBdr>
          <w:top w:val="nil"/>
          <w:left w:val="nil"/>
          <w:bottom w:val="nil"/>
          <w:right w:val="nil"/>
          <w:between w:val="nil"/>
          <w:bar w:val="nil"/>
        </w:pBdr>
        <w:jc w:val="both"/>
        <w:rPr>
          <w:rFonts w:ascii="Arial" w:eastAsia="Arial" w:hAnsi="Arial" w:cs="Arial"/>
          <w:bdr w:val="nil"/>
          <w:lang w:val="en-GB"/>
        </w:rPr>
      </w:pPr>
    </w:p>
    <w:p w14:paraId="71F3F696" w14:textId="77777777" w:rsidR="007471DB" w:rsidRDefault="003A4815" w:rsidP="00BE64B4">
      <w:pPr>
        <w:pBdr>
          <w:top w:val="nil"/>
          <w:left w:val="nil"/>
          <w:bottom w:val="nil"/>
          <w:right w:val="nil"/>
          <w:between w:val="nil"/>
          <w:bar w:val="nil"/>
        </w:pBdr>
        <w:jc w:val="both"/>
        <w:rPr>
          <w:rFonts w:ascii="Arial" w:eastAsia="Arial" w:hAnsi="Arial" w:cs="Arial"/>
          <w:bdr w:val="nil"/>
          <w:lang w:val="en-US"/>
        </w:rPr>
      </w:pPr>
      <w:r>
        <w:rPr>
          <w:rStyle w:val="Heading2Char"/>
          <w:rFonts w:ascii="Arial" w:eastAsia="Arial" w:hAnsi="Arial" w:cs="Arial"/>
          <w:bCs w:val="0"/>
          <w:iCs w:val="0"/>
          <w:color w:val="auto"/>
          <w:sz w:val="22"/>
          <w:szCs w:val="22"/>
          <w:lang w:val="en-US"/>
        </w:rPr>
        <w:t>c</w:t>
      </w:r>
      <w:r w:rsidRPr="00346C09">
        <w:rPr>
          <w:rStyle w:val="Heading2Char"/>
          <w:rFonts w:ascii="Arial" w:eastAsia="Arial" w:hAnsi="Arial" w:cs="Arial"/>
          <w:bCs w:val="0"/>
          <w:iCs w:val="0"/>
          <w:color w:val="auto"/>
          <w:sz w:val="22"/>
          <w:szCs w:val="22"/>
          <w:lang w:val="en-US"/>
        </w:rPr>
        <w:t>)</w:t>
      </w:r>
      <w:r w:rsidRPr="00346C09">
        <w:rPr>
          <w:rStyle w:val="Heading2Char"/>
          <w:rFonts w:ascii="Arial" w:eastAsia="Arial" w:hAnsi="Arial" w:cs="Arial"/>
          <w:bCs w:val="0"/>
          <w:iCs w:val="0"/>
          <w:color w:val="auto"/>
          <w:sz w:val="22"/>
          <w:szCs w:val="22"/>
          <w:lang w:val="en-US"/>
        </w:rPr>
        <w:tab/>
      </w:r>
      <w:r>
        <w:rPr>
          <w:rStyle w:val="Heading2Char"/>
          <w:rFonts w:ascii="Arial" w:eastAsia="Arial" w:hAnsi="Arial" w:cs="Arial"/>
          <w:bCs w:val="0"/>
          <w:iCs w:val="0"/>
          <w:color w:val="auto"/>
          <w:sz w:val="22"/>
          <w:szCs w:val="22"/>
          <w:lang w:val="en-US"/>
        </w:rPr>
        <w:t>Windward Offshore GmbH</w:t>
      </w:r>
      <w:r w:rsidRPr="00346C09">
        <w:rPr>
          <w:rStyle w:val="Heading2Char"/>
          <w:rFonts w:ascii="Arial" w:eastAsia="Arial" w:hAnsi="Arial" w:cs="Arial"/>
          <w:bCs w:val="0"/>
          <w:iCs w:val="0"/>
          <w:color w:val="auto"/>
          <w:sz w:val="22"/>
          <w:szCs w:val="22"/>
          <w:lang w:val="en-US"/>
        </w:rPr>
        <w:t xml:space="preserve">, or </w:t>
      </w:r>
      <w:r>
        <w:rPr>
          <w:rStyle w:val="Heading2Char"/>
          <w:rFonts w:ascii="Arial" w:eastAsia="Arial" w:hAnsi="Arial" w:cs="Arial"/>
          <w:bCs w:val="0"/>
          <w:iCs w:val="0"/>
          <w:color w:val="auto"/>
          <w:sz w:val="22"/>
          <w:szCs w:val="22"/>
          <w:lang w:val="en-US"/>
        </w:rPr>
        <w:t>Windward</w:t>
      </w:r>
      <w:r w:rsidRPr="00346C09">
        <w:rPr>
          <w:rStyle w:val="Heading2Char"/>
          <w:rFonts w:ascii="Arial" w:eastAsia="Arial" w:hAnsi="Arial" w:cs="Arial"/>
          <w:bCs w:val="0"/>
          <w:iCs w:val="0"/>
          <w:color w:val="auto"/>
          <w:sz w:val="22"/>
          <w:szCs w:val="22"/>
          <w:lang w:val="en-US"/>
        </w:rPr>
        <w:t>:</w:t>
      </w:r>
      <w:r w:rsidRPr="00346C09">
        <w:rPr>
          <w:rFonts w:ascii="Arial" w:eastAsia="Arial" w:hAnsi="Arial" w:cs="Arial"/>
          <w:lang w:val="en-US"/>
        </w:rPr>
        <w:t xml:space="preserve"> </w:t>
      </w:r>
      <w:r w:rsidRPr="007471DB">
        <w:rPr>
          <w:rFonts w:ascii="Arial" w:eastAsia="Arial" w:hAnsi="Arial" w:cs="Arial"/>
          <w:lang w:val="en-US"/>
        </w:rPr>
        <w:t xml:space="preserve">On November 7, 2023, the Company through its wholly owned subsidiary Diana Energize Inc., or Diana Energize, entered into a joint venture agreement, with </w:t>
      </w:r>
      <w:bookmarkStart w:id="519" w:name="XBRL_CS_3d1caf13ab7e473b83045a4bb93cc7fb"/>
      <w:r w:rsidRPr="007471DB">
        <w:rPr>
          <w:rFonts w:ascii="Arial" w:eastAsia="Arial" w:hAnsi="Arial" w:cs="Arial"/>
          <w:lang w:val="en-US"/>
        </w:rPr>
        <w:t>two</w:t>
      </w:r>
      <w:bookmarkEnd w:id="519"/>
      <w:r w:rsidRPr="007471DB">
        <w:rPr>
          <w:rFonts w:ascii="Arial" w:eastAsia="Arial" w:hAnsi="Arial" w:cs="Arial"/>
          <w:lang w:val="en-US"/>
        </w:rPr>
        <w:t xml:space="preserve"> unrelated companies to form Windward Offshore GmbH &amp; Co. KG or Windward, based in Germany, for the purpose of establishing and operating an offshore wind vessel company with the aim of becoming a leading provider of service vessels to the growing offshore wind industry and acquire certain vessels. Diana Energize </w:t>
      </w:r>
      <w:r w:rsidR="00FA69F6">
        <w:rPr>
          <w:rFonts w:ascii="Arial" w:eastAsia="Arial" w:hAnsi="Arial" w:cs="Arial"/>
          <w:lang w:val="en-US"/>
        </w:rPr>
        <w:t>committed</w:t>
      </w:r>
      <w:r w:rsidRPr="007471DB">
        <w:rPr>
          <w:rFonts w:ascii="Arial" w:eastAsia="Arial" w:hAnsi="Arial" w:cs="Arial"/>
          <w:lang w:val="en-US"/>
        </w:rPr>
        <w:t xml:space="preserve"> to contribute </w:t>
      </w:r>
      <w:bookmarkStart w:id="520" w:name="XBRL_CS_820b6cd6a6b64f3a80b0fc39f2a327f6"/>
      <w:r w:rsidRPr="007471DB">
        <w:rPr>
          <w:rFonts w:ascii="Arial" w:eastAsia="Arial" w:hAnsi="Arial" w:cs="Arial"/>
          <w:lang w:val="en-US"/>
        </w:rPr>
        <w:t>50</w:t>
      </w:r>
      <w:bookmarkEnd w:id="520"/>
      <w:r w:rsidR="00FA69F6">
        <w:rPr>
          <w:rFonts w:ascii="Arial" w:eastAsia="Arial" w:hAnsi="Arial" w:cs="Arial"/>
          <w:lang w:val="en-US"/>
        </w:rPr>
        <w:t xml:space="preserve"> million</w:t>
      </w:r>
      <w:r w:rsidRPr="007471DB">
        <w:rPr>
          <w:rFonts w:ascii="Arial" w:eastAsia="Arial" w:hAnsi="Arial" w:cs="Arial"/>
          <w:lang w:val="en-US"/>
        </w:rPr>
        <w:t xml:space="preserve"> Euro, </w:t>
      </w:r>
      <w:r w:rsidR="00FA69F6">
        <w:rPr>
          <w:rFonts w:ascii="Arial" w:eastAsia="Arial" w:hAnsi="Arial" w:cs="Arial"/>
          <w:lang w:val="en-US"/>
        </w:rPr>
        <w:t>rep</w:t>
      </w:r>
      <w:r w:rsidR="00BC458B">
        <w:rPr>
          <w:rFonts w:ascii="Arial" w:eastAsia="Arial" w:hAnsi="Arial" w:cs="Arial"/>
          <w:lang w:val="en-US"/>
        </w:rPr>
        <w:t>r</w:t>
      </w:r>
      <w:r w:rsidR="00FA69F6">
        <w:rPr>
          <w:rFonts w:ascii="Arial" w:eastAsia="Arial" w:hAnsi="Arial" w:cs="Arial"/>
          <w:lang w:val="en-US"/>
        </w:rPr>
        <w:t>esenting</w:t>
      </w:r>
      <w:r w:rsidRPr="007471DB">
        <w:rPr>
          <w:rFonts w:ascii="Arial" w:eastAsia="Arial" w:hAnsi="Arial" w:cs="Arial"/>
          <w:lang w:val="en-US"/>
        </w:rPr>
        <w:t xml:space="preserve"> </w:t>
      </w:r>
      <w:bookmarkStart w:id="521" w:name="XBRL_CS_b8eaa24446c94034b9982b494e4bef67"/>
      <w:r w:rsidRPr="007471DB">
        <w:rPr>
          <w:rFonts w:ascii="Arial" w:eastAsia="Arial" w:hAnsi="Arial" w:cs="Arial"/>
          <w:lang w:val="en-US"/>
        </w:rPr>
        <w:t>45.87</w:t>
      </w:r>
      <w:bookmarkEnd w:id="521"/>
      <w:r w:rsidRPr="007471DB">
        <w:rPr>
          <w:rFonts w:ascii="Arial" w:eastAsia="Arial" w:hAnsi="Arial" w:cs="Arial"/>
          <w:lang w:val="en-US"/>
        </w:rPr>
        <w:t xml:space="preserve">% of the limited partnership’s capital. On May 5, 2025, a new partner was admitted to </w:t>
      </w:r>
      <w:r w:rsidR="00FA69F6">
        <w:rPr>
          <w:rFonts w:ascii="Arial" w:eastAsia="Arial" w:hAnsi="Arial" w:cs="Arial"/>
          <w:lang w:val="en-US"/>
        </w:rPr>
        <w:t>Windward</w:t>
      </w:r>
      <w:r w:rsidRPr="007471DB">
        <w:rPr>
          <w:rFonts w:ascii="Arial" w:eastAsia="Arial" w:hAnsi="Arial" w:cs="Arial"/>
          <w:lang w:val="en-US"/>
        </w:rPr>
        <w:t xml:space="preserve"> and the Company received Euro </w:t>
      </w:r>
      <w:bookmarkStart w:id="522" w:name="XBRL_CS_343da11054ae4b94a390e21437b3905d"/>
      <w:r w:rsidRPr="007471DB">
        <w:rPr>
          <w:rFonts w:ascii="Arial" w:eastAsia="Arial" w:hAnsi="Arial" w:cs="Arial"/>
          <w:lang w:val="en-US"/>
        </w:rPr>
        <w:t>3.1</w:t>
      </w:r>
      <w:bookmarkEnd w:id="522"/>
      <w:r w:rsidRPr="007471DB">
        <w:rPr>
          <w:rFonts w:ascii="Arial" w:eastAsia="Arial" w:hAnsi="Arial" w:cs="Arial"/>
          <w:lang w:val="en-US"/>
        </w:rPr>
        <w:t xml:space="preserve"> million as return of capital, which </w:t>
      </w:r>
      <w:r w:rsidR="00FA69F6">
        <w:rPr>
          <w:rFonts w:ascii="Arial" w:eastAsia="Arial" w:hAnsi="Arial" w:cs="Arial"/>
          <w:lang w:val="en-US"/>
        </w:rPr>
        <w:t xml:space="preserve">reduced the Company’s </w:t>
      </w:r>
      <w:r w:rsidRPr="007471DB">
        <w:rPr>
          <w:rFonts w:ascii="Arial" w:eastAsia="Arial" w:hAnsi="Arial" w:cs="Arial"/>
          <w:lang w:val="en-US"/>
        </w:rPr>
        <w:t xml:space="preserve">ownership percentage to </w:t>
      </w:r>
      <w:bookmarkStart w:id="523" w:name="XBRL_CS_d83f96efce3a46aabe6c1e5dea2407ba"/>
      <w:r w:rsidRPr="007471DB">
        <w:rPr>
          <w:rFonts w:ascii="Arial" w:eastAsia="Arial" w:hAnsi="Arial" w:cs="Arial"/>
          <w:lang w:val="en-US"/>
        </w:rPr>
        <w:t>34</w:t>
      </w:r>
      <w:bookmarkEnd w:id="523"/>
      <w:r w:rsidRPr="007471DB">
        <w:rPr>
          <w:rFonts w:ascii="Arial" w:eastAsia="Arial" w:hAnsi="Arial" w:cs="Arial"/>
          <w:lang w:val="en-US"/>
        </w:rPr>
        <w:t xml:space="preserve">%. As of December 31, 2025 and 2024, the </w:t>
      </w:r>
      <w:r w:rsidR="00FA69F6">
        <w:rPr>
          <w:rFonts w:ascii="Arial" w:eastAsia="Arial" w:hAnsi="Arial" w:cs="Arial"/>
          <w:lang w:val="en-US"/>
        </w:rPr>
        <w:t xml:space="preserve">Company’s </w:t>
      </w:r>
      <w:r w:rsidRPr="007471DB">
        <w:rPr>
          <w:rFonts w:ascii="Arial" w:eastAsia="Arial" w:hAnsi="Arial" w:cs="Arial"/>
          <w:lang w:val="en-US"/>
        </w:rPr>
        <w:t xml:space="preserve">investment </w:t>
      </w:r>
      <w:r w:rsidR="00FA69F6">
        <w:rPr>
          <w:rFonts w:ascii="Arial" w:eastAsia="Arial" w:hAnsi="Arial" w:cs="Arial"/>
          <w:lang w:val="en-US"/>
        </w:rPr>
        <w:t xml:space="preserve">in Windward </w:t>
      </w:r>
      <w:r w:rsidRPr="007471DB">
        <w:rPr>
          <w:rFonts w:ascii="Arial" w:eastAsia="Arial" w:hAnsi="Arial" w:cs="Arial"/>
          <w:lang w:val="en-US"/>
        </w:rPr>
        <w:t>amounted to $</w:t>
      </w:r>
      <w:bookmarkStart w:id="524" w:name="XBRL_CS_4b6d575c4e664ca08fc4d47c396a6a27"/>
      <w:r w:rsidRPr="007471DB">
        <w:rPr>
          <w:rFonts w:ascii="Arial" w:eastAsia="Arial" w:hAnsi="Arial" w:cs="Arial"/>
          <w:lang w:val="en-US"/>
        </w:rPr>
        <w:t>44,494</w:t>
      </w:r>
      <w:bookmarkEnd w:id="524"/>
      <w:r w:rsidRPr="007471DB">
        <w:rPr>
          <w:rFonts w:ascii="Arial" w:eastAsia="Arial" w:hAnsi="Arial" w:cs="Arial"/>
          <w:lang w:val="en-US"/>
        </w:rPr>
        <w:t xml:space="preserve"> and $</w:t>
      </w:r>
      <w:bookmarkStart w:id="525" w:name="XBRL_CS_177a9ac3452a46f1a94f610670635087"/>
      <w:r w:rsidRPr="007471DB">
        <w:rPr>
          <w:rFonts w:ascii="Arial" w:eastAsia="Arial" w:hAnsi="Arial" w:cs="Arial"/>
          <w:lang w:val="en-US"/>
        </w:rPr>
        <w:t>36,631</w:t>
      </w:r>
      <w:bookmarkEnd w:id="525"/>
      <w:r w:rsidRPr="007471DB">
        <w:rPr>
          <w:rFonts w:ascii="Arial" w:eastAsia="Arial" w:hAnsi="Arial" w:cs="Arial"/>
          <w:lang w:val="en-US"/>
        </w:rPr>
        <w:t xml:space="preserve">, respectively, mainly consisting of advances to fund the construction of </w:t>
      </w:r>
      <w:bookmarkStart w:id="526" w:name="XBRL_CS_86d4a7f917054087b7ec154ea0d4f4d4"/>
      <w:r w:rsidRPr="007471DB">
        <w:rPr>
          <w:rFonts w:ascii="Arial" w:eastAsia="Arial" w:hAnsi="Arial" w:cs="Arial"/>
          <w:lang w:val="en-US"/>
        </w:rPr>
        <w:t>four</w:t>
      </w:r>
      <w:bookmarkEnd w:id="526"/>
      <w:r w:rsidRPr="007471DB">
        <w:rPr>
          <w:rFonts w:ascii="Arial" w:eastAsia="Arial" w:hAnsi="Arial" w:cs="Arial"/>
          <w:lang w:val="en-US"/>
        </w:rPr>
        <w:t xml:space="preserve"> vessels and working capital. On September 30, 2025, the first vessel was delivered to </w:t>
      </w:r>
      <w:r w:rsidR="00FA69F6">
        <w:rPr>
          <w:rFonts w:ascii="Arial" w:eastAsia="Arial" w:hAnsi="Arial" w:cs="Arial"/>
          <w:lang w:val="en-US"/>
        </w:rPr>
        <w:t>its</w:t>
      </w:r>
      <w:r w:rsidRPr="007471DB">
        <w:rPr>
          <w:rFonts w:ascii="Arial" w:eastAsia="Arial" w:hAnsi="Arial" w:cs="Arial"/>
          <w:lang w:val="en-US"/>
        </w:rPr>
        <w:t xml:space="preserve"> owners. </w:t>
      </w:r>
      <w:r w:rsidR="00901B1A">
        <w:rPr>
          <w:rFonts w:ascii="Arial" w:eastAsia="Arial" w:hAnsi="Arial" w:cs="Arial"/>
          <w:lang w:val="en-US"/>
        </w:rPr>
        <w:t>In 2025</w:t>
      </w:r>
      <w:r w:rsidR="003D448C">
        <w:rPr>
          <w:rFonts w:ascii="Arial" w:eastAsia="Arial" w:hAnsi="Arial" w:cs="Arial"/>
          <w:lang w:val="en-US"/>
        </w:rPr>
        <w:t>,</w:t>
      </w:r>
      <w:r w:rsidR="00901B1A">
        <w:rPr>
          <w:rFonts w:ascii="Arial" w:eastAsia="Arial" w:hAnsi="Arial" w:cs="Arial"/>
          <w:lang w:val="en-US"/>
        </w:rPr>
        <w:t xml:space="preserve"> 2024</w:t>
      </w:r>
      <w:r w:rsidR="003D448C">
        <w:rPr>
          <w:rFonts w:ascii="Arial" w:eastAsia="Arial" w:hAnsi="Arial" w:cs="Arial"/>
          <w:lang w:val="en-US"/>
        </w:rPr>
        <w:t xml:space="preserve"> and 2023</w:t>
      </w:r>
      <w:r w:rsidR="00901B1A">
        <w:rPr>
          <w:rFonts w:ascii="Arial" w:eastAsia="Arial" w:hAnsi="Arial" w:cs="Arial"/>
          <w:lang w:val="en-US"/>
        </w:rPr>
        <w:t xml:space="preserve">, </w:t>
      </w:r>
      <w:r w:rsidRPr="007471DB">
        <w:rPr>
          <w:rFonts w:ascii="Arial" w:eastAsia="Arial" w:hAnsi="Arial" w:cs="Arial"/>
          <w:lang w:val="en-US"/>
        </w:rPr>
        <w:t xml:space="preserve">the investment in Windward resulted in a </w:t>
      </w:r>
      <w:r w:rsidR="009C339C">
        <w:rPr>
          <w:rFonts w:ascii="Arial" w:eastAsia="Arial" w:hAnsi="Arial" w:cs="Arial"/>
          <w:lang w:val="en-US"/>
        </w:rPr>
        <w:t>loss</w:t>
      </w:r>
      <w:r w:rsidRPr="007471DB">
        <w:rPr>
          <w:rFonts w:ascii="Arial" w:eastAsia="Arial" w:hAnsi="Arial" w:cs="Arial"/>
          <w:lang w:val="en-US"/>
        </w:rPr>
        <w:t xml:space="preserve"> of $</w:t>
      </w:r>
      <w:bookmarkStart w:id="527" w:name="XBRL_CS_3dbb778843614fa5b7f0043cf25d4cdd"/>
      <w:r w:rsidRPr="007471DB">
        <w:rPr>
          <w:rFonts w:ascii="Arial" w:eastAsia="Arial" w:hAnsi="Arial" w:cs="Arial"/>
          <w:lang w:val="en-US"/>
        </w:rPr>
        <w:t>62</w:t>
      </w:r>
      <w:bookmarkEnd w:id="527"/>
      <w:r w:rsidR="003D448C">
        <w:rPr>
          <w:rFonts w:ascii="Arial" w:eastAsia="Arial" w:hAnsi="Arial" w:cs="Arial"/>
          <w:lang w:val="en-US"/>
        </w:rPr>
        <w:t>,</w:t>
      </w:r>
      <w:r w:rsidRPr="007471DB">
        <w:rPr>
          <w:rFonts w:ascii="Arial" w:eastAsia="Arial" w:hAnsi="Arial" w:cs="Arial"/>
          <w:lang w:val="en-US"/>
        </w:rPr>
        <w:t xml:space="preserve"> $</w:t>
      </w:r>
      <w:bookmarkStart w:id="528" w:name="XBRL_CS_2ba48bbd2f0f4452b1510b7daba69aa2"/>
      <w:r w:rsidRPr="007471DB">
        <w:rPr>
          <w:rFonts w:ascii="Arial" w:eastAsia="Arial" w:hAnsi="Arial" w:cs="Arial"/>
          <w:lang w:val="en-US"/>
        </w:rPr>
        <w:t>518</w:t>
      </w:r>
      <w:bookmarkEnd w:id="528"/>
      <w:r w:rsidR="003D448C">
        <w:rPr>
          <w:rFonts w:ascii="Arial" w:eastAsia="Arial" w:hAnsi="Arial" w:cs="Arial"/>
          <w:lang w:val="en-US"/>
        </w:rPr>
        <w:t xml:space="preserve"> and $</w:t>
      </w:r>
      <w:bookmarkStart w:id="529" w:name="XBRL_CS_9981136855d74f9abcacfec8f1e4ca2f"/>
      <w:r w:rsidR="003D448C">
        <w:rPr>
          <w:rFonts w:ascii="Arial" w:eastAsia="Arial" w:hAnsi="Arial" w:cs="Arial"/>
          <w:lang w:val="en-US"/>
        </w:rPr>
        <w:t>671</w:t>
      </w:r>
      <w:bookmarkEnd w:id="529"/>
      <w:r w:rsidRPr="007471DB">
        <w:rPr>
          <w:rFonts w:ascii="Arial" w:eastAsia="Arial" w:hAnsi="Arial" w:cs="Arial"/>
          <w:lang w:val="en-US"/>
        </w:rPr>
        <w:t>, respectively, and is included in loss from equity method investments in the accompanying consolidated statements of income.</w:t>
      </w:r>
    </w:p>
    <w:p w14:paraId="71F3F697" w14:textId="77777777" w:rsidR="00DE0482" w:rsidRDefault="00DE0482" w:rsidP="00346C09">
      <w:pPr>
        <w:pBdr>
          <w:top w:val="nil"/>
          <w:left w:val="nil"/>
          <w:bottom w:val="nil"/>
          <w:right w:val="nil"/>
          <w:between w:val="nil"/>
          <w:bar w:val="nil"/>
        </w:pBdr>
        <w:jc w:val="both"/>
        <w:rPr>
          <w:rFonts w:ascii="Arial" w:eastAsia="Arial" w:hAnsi="Arial" w:cs="Arial"/>
          <w:bdr w:val="nil"/>
          <w:lang w:val="en-US"/>
        </w:rPr>
      </w:pPr>
    </w:p>
    <w:p w14:paraId="71F3F698" w14:textId="77777777" w:rsidR="00596979" w:rsidRPr="000802F5" w:rsidRDefault="003A4815" w:rsidP="00DE0482">
      <w:pPr>
        <w:pBdr>
          <w:top w:val="nil"/>
          <w:left w:val="nil"/>
          <w:bottom w:val="nil"/>
          <w:right w:val="nil"/>
          <w:between w:val="nil"/>
          <w:bar w:val="nil"/>
        </w:pBdr>
        <w:jc w:val="both"/>
        <w:rPr>
          <w:rFonts w:ascii="Arial" w:eastAsia="Arial" w:hAnsi="Arial" w:cs="Arial"/>
          <w:color w:val="000000"/>
          <w:bdr w:val="nil"/>
          <w:shd w:val="clear" w:color="auto" w:fill="FFFFFF"/>
          <w:lang w:val="en-US"/>
        </w:rPr>
      </w:pPr>
      <w:r>
        <w:rPr>
          <w:rStyle w:val="Heading2Char"/>
          <w:rFonts w:ascii="Arial" w:eastAsia="Arial" w:hAnsi="Arial" w:cs="Arial"/>
          <w:bCs w:val="0"/>
          <w:iCs w:val="0"/>
          <w:color w:val="auto"/>
          <w:sz w:val="22"/>
          <w:szCs w:val="22"/>
          <w:lang w:val="en-US"/>
        </w:rPr>
        <w:t>d</w:t>
      </w:r>
      <w:r w:rsidRPr="00346C09">
        <w:rPr>
          <w:rStyle w:val="Heading2Char"/>
          <w:rFonts w:ascii="Arial" w:eastAsia="Arial" w:hAnsi="Arial" w:cs="Arial"/>
          <w:bCs w:val="0"/>
          <w:iCs w:val="0"/>
          <w:color w:val="auto"/>
          <w:sz w:val="22"/>
          <w:szCs w:val="22"/>
          <w:lang w:val="en-US"/>
        </w:rPr>
        <w:t>)</w:t>
      </w:r>
      <w:r w:rsidRPr="00346C09">
        <w:rPr>
          <w:rStyle w:val="Heading2Char"/>
          <w:rFonts w:ascii="Arial" w:eastAsia="Arial" w:hAnsi="Arial" w:cs="Arial"/>
          <w:bCs w:val="0"/>
          <w:iCs w:val="0"/>
          <w:color w:val="auto"/>
          <w:sz w:val="22"/>
          <w:szCs w:val="22"/>
          <w:lang w:val="en-US"/>
        </w:rPr>
        <w:tab/>
      </w:r>
      <w:r>
        <w:rPr>
          <w:rStyle w:val="Heading2Char"/>
          <w:rFonts w:ascii="Arial" w:eastAsia="Arial" w:hAnsi="Arial" w:cs="Arial"/>
          <w:bCs w:val="0"/>
          <w:iCs w:val="0"/>
          <w:color w:val="auto"/>
          <w:sz w:val="22"/>
          <w:szCs w:val="22"/>
          <w:lang w:val="en-US"/>
        </w:rPr>
        <w:t>Diana Mariners</w:t>
      </w:r>
      <w:r w:rsidR="009C068D">
        <w:rPr>
          <w:rStyle w:val="Heading2Char"/>
          <w:rFonts w:ascii="Arial" w:eastAsia="Arial" w:hAnsi="Arial" w:cs="Arial"/>
          <w:bCs w:val="0"/>
          <w:iCs w:val="0"/>
          <w:color w:val="auto"/>
          <w:sz w:val="22"/>
          <w:szCs w:val="22"/>
          <w:lang w:val="en-US"/>
        </w:rPr>
        <w:t xml:space="preserve"> Inc., or Diana Mariners</w:t>
      </w:r>
      <w:r w:rsidRPr="00346C09">
        <w:rPr>
          <w:rStyle w:val="Heading2Char"/>
          <w:rFonts w:ascii="Arial" w:eastAsia="Arial" w:hAnsi="Arial" w:cs="Arial"/>
          <w:bCs w:val="0"/>
          <w:iCs w:val="0"/>
          <w:color w:val="auto"/>
          <w:sz w:val="22"/>
          <w:szCs w:val="22"/>
          <w:lang w:val="en-US"/>
        </w:rPr>
        <w:t>:</w:t>
      </w:r>
      <w:r w:rsidRPr="00346C09">
        <w:rPr>
          <w:rFonts w:ascii="Arial" w:eastAsia="Arial" w:hAnsi="Arial" w:cs="Arial"/>
          <w:lang w:val="en-US"/>
        </w:rPr>
        <w:t xml:space="preserve"> </w:t>
      </w:r>
      <w:r w:rsidRPr="000D2C3A">
        <w:rPr>
          <w:rFonts w:ascii="Arial" w:eastAsia="Arial" w:hAnsi="Arial" w:cs="Arial"/>
          <w:lang w:val="en-US"/>
        </w:rPr>
        <w:t xml:space="preserve">On September 12, 2023, the Company through its wholly owned subsidiary Cebu Shipping Company Inc., or Cebu, acquired </w:t>
      </w:r>
      <w:bookmarkStart w:id="530" w:name="XBRL_CS_29b7638a5d844f65b96fbda119cca8fe"/>
      <w:r w:rsidRPr="000D2C3A">
        <w:rPr>
          <w:rFonts w:ascii="Arial" w:eastAsia="Arial" w:hAnsi="Arial" w:cs="Arial"/>
          <w:lang w:val="en-US"/>
        </w:rPr>
        <w:t>24</w:t>
      </w:r>
      <w:bookmarkEnd w:id="530"/>
      <w:r w:rsidRPr="000D2C3A">
        <w:rPr>
          <w:rFonts w:ascii="Arial" w:eastAsia="Arial" w:hAnsi="Arial" w:cs="Arial"/>
          <w:lang w:val="en-US"/>
        </w:rPr>
        <w:t>% of Cohen Global Maritime Inc., or Cohen, a company organized in the Republic of the Philippines for the purpose of providing manning agency services. In August 2024, Cohen was renamed Diana Mariners and acts as the manning agent of the Company’s vessels. As of December 31, 2025 and 2024, the Company’s investment in Diana Mariners amounted to $</w:t>
      </w:r>
      <w:bookmarkStart w:id="531" w:name="XBRL_CS_f17806ece48f46988fb763ab0c5b81b9"/>
      <w:r w:rsidRPr="000D2C3A">
        <w:rPr>
          <w:rFonts w:ascii="Arial" w:eastAsia="Arial" w:hAnsi="Arial" w:cs="Arial"/>
          <w:lang w:val="en-US"/>
        </w:rPr>
        <w:t>383</w:t>
      </w:r>
      <w:bookmarkEnd w:id="531"/>
      <w:r w:rsidRPr="000D2C3A">
        <w:rPr>
          <w:rFonts w:ascii="Arial" w:eastAsia="Arial" w:hAnsi="Arial" w:cs="Arial"/>
          <w:lang w:val="en-US"/>
        </w:rPr>
        <w:t xml:space="preserve"> and $</w:t>
      </w:r>
      <w:bookmarkStart w:id="532" w:name="XBRL_CS_f7180b96639e4019a3fc042fa489f629"/>
      <w:r w:rsidRPr="000D2C3A">
        <w:rPr>
          <w:rFonts w:ascii="Arial" w:eastAsia="Arial" w:hAnsi="Arial" w:cs="Arial"/>
          <w:lang w:val="en-US"/>
        </w:rPr>
        <w:t>389</w:t>
      </w:r>
      <w:bookmarkEnd w:id="532"/>
      <w:r w:rsidRPr="000D2C3A">
        <w:rPr>
          <w:rFonts w:ascii="Arial" w:eastAsia="Arial" w:hAnsi="Arial" w:cs="Arial"/>
          <w:lang w:val="en-US"/>
        </w:rPr>
        <w:t>, respectively and there was an amount of $</w:t>
      </w:r>
      <w:bookmarkStart w:id="533" w:name="XBRL_CS_091070011adf46639f30be0986f3b2a3"/>
      <w:r w:rsidRPr="000D2C3A">
        <w:rPr>
          <w:rFonts w:ascii="Arial" w:eastAsia="Arial" w:hAnsi="Arial" w:cs="Arial"/>
          <w:lang w:val="en-US"/>
        </w:rPr>
        <w:t>760</w:t>
      </w:r>
      <w:bookmarkEnd w:id="533"/>
      <w:r w:rsidRPr="000D2C3A">
        <w:rPr>
          <w:rFonts w:ascii="Arial" w:eastAsia="Arial" w:hAnsi="Arial" w:cs="Arial"/>
          <w:lang w:val="en-US"/>
        </w:rPr>
        <w:t xml:space="preserve"> and $</w:t>
      </w:r>
      <w:bookmarkStart w:id="534" w:name="XBRL_CS_a2b502e8470b4cb39c6c68d5efeeffd3"/>
      <w:r w:rsidRPr="000D2C3A">
        <w:rPr>
          <w:rFonts w:ascii="Arial" w:eastAsia="Arial" w:hAnsi="Arial" w:cs="Arial"/>
          <w:lang w:val="en-US"/>
        </w:rPr>
        <w:t>100</w:t>
      </w:r>
      <w:bookmarkEnd w:id="534"/>
      <w:r w:rsidRPr="000D2C3A">
        <w:rPr>
          <w:rFonts w:ascii="Arial" w:eastAsia="Arial" w:hAnsi="Arial" w:cs="Arial"/>
          <w:lang w:val="en-US"/>
        </w:rPr>
        <w:t xml:space="preserve">, included in due from related parties, respectively. </w:t>
      </w:r>
      <w:r w:rsidR="00E1567C">
        <w:rPr>
          <w:rFonts w:ascii="Arial" w:eastAsia="Arial" w:hAnsi="Arial" w:cs="Arial"/>
          <w:lang w:val="en-US"/>
        </w:rPr>
        <w:t>In</w:t>
      </w:r>
      <w:r w:rsidRPr="000D2C3A">
        <w:rPr>
          <w:rFonts w:ascii="Arial" w:eastAsia="Arial" w:hAnsi="Arial" w:cs="Arial"/>
          <w:lang w:val="en-US"/>
        </w:rPr>
        <w:t xml:space="preserve"> 2025</w:t>
      </w:r>
      <w:r w:rsidR="001628F4">
        <w:rPr>
          <w:rFonts w:ascii="Arial" w:eastAsia="Arial" w:hAnsi="Arial" w:cs="Arial"/>
          <w:lang w:val="en-US"/>
        </w:rPr>
        <w:t xml:space="preserve">, </w:t>
      </w:r>
      <w:r w:rsidR="001628F4" w:rsidRPr="000D2C3A">
        <w:rPr>
          <w:rFonts w:ascii="Arial" w:eastAsia="Arial" w:hAnsi="Arial" w:cs="Arial"/>
          <w:lang w:val="en-US"/>
        </w:rPr>
        <w:t>2024</w:t>
      </w:r>
      <w:r w:rsidRPr="000D2C3A">
        <w:rPr>
          <w:rFonts w:ascii="Arial" w:eastAsia="Arial" w:hAnsi="Arial" w:cs="Arial"/>
          <w:lang w:val="en-US"/>
        </w:rPr>
        <w:t xml:space="preserve"> and 2023, the investment in Diana Mariners resulted in a </w:t>
      </w:r>
      <w:r w:rsidRPr="00060314">
        <w:rPr>
          <w:rFonts w:ascii="Arial" w:eastAsia="Arial" w:hAnsi="Arial" w:cs="Arial"/>
          <w:lang w:val="en-US"/>
        </w:rPr>
        <w:t xml:space="preserve">loss </w:t>
      </w:r>
      <w:r w:rsidRPr="00FB26D4">
        <w:rPr>
          <w:rFonts w:ascii="Arial" w:eastAsia="Arial" w:hAnsi="Arial" w:cs="Arial"/>
          <w:lang w:val="en-US"/>
        </w:rPr>
        <w:t>of $</w:t>
      </w:r>
      <w:bookmarkStart w:id="535" w:name="XBRL_CS_0702361bf2b049a9bb2cfa36447ececf"/>
      <w:r w:rsidRPr="00FB26D4">
        <w:rPr>
          <w:rFonts w:ascii="Arial" w:eastAsia="Arial" w:hAnsi="Arial" w:cs="Arial"/>
          <w:lang w:val="en-US"/>
        </w:rPr>
        <w:t>24</w:t>
      </w:r>
      <w:bookmarkEnd w:id="535"/>
      <w:r w:rsidR="001628F4">
        <w:rPr>
          <w:rFonts w:ascii="Arial" w:eastAsia="Arial" w:hAnsi="Arial" w:cs="Arial"/>
          <w:lang w:val="en-US"/>
        </w:rPr>
        <w:t>, $</w:t>
      </w:r>
      <w:bookmarkStart w:id="536" w:name="XBRL_CS_94fcfe9fcbd7431aa64a78b3829468c4"/>
      <w:r w:rsidR="001628F4">
        <w:rPr>
          <w:rFonts w:ascii="Arial" w:eastAsia="Arial" w:hAnsi="Arial" w:cs="Arial"/>
          <w:lang w:val="en-US"/>
        </w:rPr>
        <w:t>0</w:t>
      </w:r>
      <w:bookmarkEnd w:id="536"/>
      <w:r w:rsidRPr="00FB26D4">
        <w:rPr>
          <w:rFonts w:ascii="Arial" w:eastAsia="Arial" w:hAnsi="Arial" w:cs="Arial"/>
          <w:lang w:val="en-US"/>
        </w:rPr>
        <w:t xml:space="preserve"> and</w:t>
      </w:r>
      <w:r w:rsidRPr="00060314">
        <w:rPr>
          <w:rFonts w:ascii="Arial" w:eastAsia="Arial" w:hAnsi="Arial" w:cs="Arial"/>
          <w:lang w:val="en-US"/>
        </w:rPr>
        <w:t xml:space="preserve"> $</w:t>
      </w:r>
      <w:bookmarkStart w:id="537" w:name="XBRL_CS_6bc96eb0b9114f7db2747db15f7a45d1"/>
      <w:r w:rsidR="00623F90">
        <w:rPr>
          <w:rFonts w:ascii="Arial" w:eastAsia="Arial" w:hAnsi="Arial" w:cs="Arial"/>
          <w:lang w:val="en-US"/>
        </w:rPr>
        <w:t>0</w:t>
      </w:r>
      <w:bookmarkEnd w:id="537"/>
      <w:r w:rsidRPr="00060314">
        <w:rPr>
          <w:rFonts w:ascii="Arial" w:eastAsia="Arial" w:hAnsi="Arial" w:cs="Arial"/>
          <w:lang w:val="en-US"/>
        </w:rPr>
        <w:t>,</w:t>
      </w:r>
      <w:r w:rsidRPr="000D2C3A">
        <w:rPr>
          <w:rFonts w:ascii="Arial" w:eastAsia="Arial" w:hAnsi="Arial" w:cs="Arial"/>
          <w:lang w:val="en-US"/>
        </w:rPr>
        <w:t xml:space="preserve"> respectively and is included in loss from equity method investments in the consolidated statements of income.</w:t>
      </w:r>
      <w:r w:rsidR="000802F5">
        <w:rPr>
          <w:rFonts w:ascii="Arial" w:eastAsia="Arial" w:hAnsi="Arial" w:cs="Arial"/>
          <w:lang w:val="en-US"/>
        </w:rPr>
        <w:t xml:space="preserve"> </w:t>
      </w:r>
      <w:r w:rsidR="00744D59" w:rsidRPr="00744D59">
        <w:rPr>
          <w:rFonts w:ascii="Arial" w:eastAsia="Arial" w:hAnsi="Arial" w:cs="Arial"/>
          <w:lang w:val="en-US"/>
        </w:rPr>
        <w:t>For 2025, 2024 and 2023,</w:t>
      </w:r>
      <w:r w:rsidR="00744D59">
        <w:rPr>
          <w:rFonts w:ascii="Arial" w:eastAsia="Arial" w:hAnsi="Arial" w:cs="Arial"/>
          <w:lang w:val="en-US"/>
        </w:rPr>
        <w:t xml:space="preserve"> m</w:t>
      </w:r>
      <w:r w:rsidR="000802F5">
        <w:rPr>
          <w:rFonts w:ascii="Arial" w:eastAsia="Arial" w:hAnsi="Arial" w:cs="Arial"/>
          <w:lang w:val="en-US"/>
        </w:rPr>
        <w:t>anning fees to Diana Mariners amounted to $</w:t>
      </w:r>
      <w:bookmarkStart w:id="538" w:name="XBRL_CS_aa0b5bd9c24443fcb7148522f7dd8501"/>
      <w:r w:rsidR="000802F5">
        <w:rPr>
          <w:rFonts w:ascii="Arial" w:eastAsia="Arial" w:hAnsi="Arial" w:cs="Arial"/>
          <w:lang w:val="en-US"/>
        </w:rPr>
        <w:t>314</w:t>
      </w:r>
      <w:bookmarkEnd w:id="538"/>
      <w:r w:rsidR="00744D59">
        <w:rPr>
          <w:rFonts w:ascii="Arial" w:eastAsia="Arial" w:hAnsi="Arial" w:cs="Arial"/>
          <w:lang w:val="en-US"/>
        </w:rPr>
        <w:t xml:space="preserve">, </w:t>
      </w:r>
      <w:bookmarkStart w:id="539" w:name="XBRL_CS_112b244674aa44389c463c53fde81645"/>
      <w:r w:rsidR="00744D59">
        <w:rPr>
          <w:rFonts w:ascii="Arial" w:eastAsia="Arial" w:hAnsi="Arial" w:cs="Arial"/>
          <w:lang w:val="en-US"/>
        </w:rPr>
        <w:t>nil</w:t>
      </w:r>
      <w:bookmarkEnd w:id="539"/>
      <w:r w:rsidR="00744D59">
        <w:rPr>
          <w:rFonts w:ascii="Arial" w:eastAsia="Arial" w:hAnsi="Arial" w:cs="Arial"/>
          <w:lang w:val="en-US"/>
        </w:rPr>
        <w:t xml:space="preserve"> and </w:t>
      </w:r>
      <w:bookmarkStart w:id="540" w:name="XBRL_CS_e03d44d371ed43a1b149e83c52d0f628"/>
      <w:r w:rsidR="00744D59">
        <w:rPr>
          <w:rFonts w:ascii="Arial" w:eastAsia="Arial" w:hAnsi="Arial" w:cs="Arial"/>
          <w:lang w:val="en-US"/>
        </w:rPr>
        <w:t>nil</w:t>
      </w:r>
      <w:bookmarkEnd w:id="540"/>
      <w:r w:rsidR="00744D59">
        <w:rPr>
          <w:rFonts w:ascii="Arial" w:eastAsia="Arial" w:hAnsi="Arial" w:cs="Arial"/>
          <w:lang w:val="en-US"/>
        </w:rPr>
        <w:t>, respectively,</w:t>
      </w:r>
      <w:r w:rsidR="000802F5">
        <w:rPr>
          <w:rFonts w:ascii="Arial" w:eastAsia="Arial" w:hAnsi="Arial" w:cs="Arial"/>
          <w:lang w:val="en-US"/>
        </w:rPr>
        <w:t xml:space="preserve"> </w:t>
      </w:r>
      <w:r w:rsidR="000802F5" w:rsidRPr="000D2C3A">
        <w:rPr>
          <w:rFonts w:ascii="Arial" w:eastAsia="Arial" w:hAnsi="Arial" w:cs="Arial"/>
          <w:lang w:val="en-US"/>
        </w:rPr>
        <w:t xml:space="preserve">and </w:t>
      </w:r>
      <w:r w:rsidR="00D14D4E">
        <w:rPr>
          <w:rFonts w:ascii="Arial" w:eastAsia="Arial" w:hAnsi="Arial" w:cs="Arial"/>
          <w:lang w:val="en-US"/>
        </w:rPr>
        <w:t>are</w:t>
      </w:r>
      <w:r w:rsidR="000802F5" w:rsidRPr="000D2C3A">
        <w:rPr>
          <w:rFonts w:ascii="Arial" w:eastAsia="Arial" w:hAnsi="Arial" w:cs="Arial"/>
          <w:lang w:val="en-US"/>
        </w:rPr>
        <w:t xml:space="preserve"> included in </w:t>
      </w:r>
      <w:r w:rsidR="000802F5">
        <w:rPr>
          <w:rFonts w:ascii="Arial" w:eastAsia="Arial" w:hAnsi="Arial" w:cs="Arial"/>
          <w:lang w:val="en-US"/>
        </w:rPr>
        <w:t>operating expenses</w:t>
      </w:r>
      <w:r w:rsidR="000802F5" w:rsidRPr="000D2C3A">
        <w:rPr>
          <w:rFonts w:ascii="Arial" w:eastAsia="Arial" w:hAnsi="Arial" w:cs="Arial"/>
          <w:lang w:val="en-US"/>
        </w:rPr>
        <w:t xml:space="preserve"> in the consolidated statements of income.</w:t>
      </w:r>
      <w:r w:rsidR="000802F5">
        <w:rPr>
          <w:rFonts w:ascii="Arial" w:eastAsia="Arial" w:hAnsi="Arial" w:cs="Arial"/>
          <w:color w:val="000000"/>
          <w:shd w:val="clear" w:color="auto" w:fill="FFFFFF"/>
          <w:lang w:val="en-US"/>
        </w:rPr>
        <w:t xml:space="preserve"> </w:t>
      </w:r>
      <w:r w:rsidRPr="000D2C3A">
        <w:rPr>
          <w:rFonts w:ascii="Arial" w:eastAsia="Arial" w:hAnsi="Arial" w:cs="Arial"/>
          <w:lang w:val="en-US"/>
        </w:rPr>
        <w:t>As of December 31, 2025</w:t>
      </w:r>
      <w:r w:rsidRPr="00FB26D4">
        <w:rPr>
          <w:rFonts w:ascii="Arial" w:eastAsia="Arial" w:hAnsi="Arial" w:cs="Arial"/>
          <w:lang w:val="en-US"/>
        </w:rPr>
        <w:t xml:space="preserve">, </w:t>
      </w:r>
      <w:r w:rsidR="00973DE6" w:rsidRPr="00FB26D4">
        <w:rPr>
          <w:rFonts w:ascii="Arial" w:eastAsia="Arial" w:hAnsi="Arial" w:cs="Arial"/>
          <w:lang w:val="en-US"/>
        </w:rPr>
        <w:t>all</w:t>
      </w:r>
      <w:r w:rsidRPr="000D2C3A">
        <w:rPr>
          <w:rFonts w:ascii="Arial" w:eastAsia="Arial" w:hAnsi="Arial" w:cs="Arial"/>
          <w:lang w:val="en-US"/>
        </w:rPr>
        <w:t xml:space="preserve"> of the Company’s ship-owning subsidiaries have entered into manning agreements with Diana Mariners.</w:t>
      </w:r>
    </w:p>
    <w:p w14:paraId="71F3F699" w14:textId="77777777" w:rsidR="00596979" w:rsidRDefault="00596979" w:rsidP="00DE0482">
      <w:pPr>
        <w:pBdr>
          <w:top w:val="nil"/>
          <w:left w:val="nil"/>
          <w:bottom w:val="nil"/>
          <w:right w:val="nil"/>
          <w:between w:val="nil"/>
          <w:bar w:val="nil"/>
        </w:pBdr>
        <w:jc w:val="both"/>
        <w:rPr>
          <w:rFonts w:ascii="Arial" w:eastAsia="Arial" w:hAnsi="Arial" w:cs="Arial"/>
          <w:bdr w:val="nil"/>
          <w:lang w:val="en-US"/>
        </w:rPr>
      </w:pPr>
    </w:p>
    <w:p w14:paraId="71F3F69A" w14:textId="77777777" w:rsidR="00596979" w:rsidRPr="000D2C3A" w:rsidRDefault="003A4815" w:rsidP="00DE0482">
      <w:pPr>
        <w:pBdr>
          <w:top w:val="nil"/>
          <w:left w:val="nil"/>
          <w:bottom w:val="nil"/>
          <w:right w:val="nil"/>
          <w:between w:val="nil"/>
          <w:bar w:val="nil"/>
        </w:pBdr>
        <w:jc w:val="both"/>
        <w:rPr>
          <w:rFonts w:ascii="Arial" w:eastAsia="Arial" w:hAnsi="Arial" w:cs="Arial"/>
          <w:color w:val="000000"/>
          <w:bdr w:val="nil"/>
          <w:shd w:val="clear" w:color="auto" w:fill="FFFFFF"/>
          <w:lang w:val="en-US"/>
        </w:rPr>
      </w:pPr>
      <w:r w:rsidRPr="00596979">
        <w:rPr>
          <w:rStyle w:val="Heading2Char"/>
          <w:rFonts w:ascii="Arial" w:eastAsia="Arial" w:hAnsi="Arial" w:cs="Arial"/>
          <w:bCs w:val="0"/>
          <w:iCs w:val="0"/>
          <w:color w:val="auto"/>
          <w:sz w:val="22"/>
          <w:szCs w:val="22"/>
          <w:lang w:val="en-US"/>
        </w:rPr>
        <w:t>e)</w:t>
      </w:r>
      <w:r>
        <w:rPr>
          <w:rStyle w:val="Heading2Char"/>
          <w:rFonts w:ascii="Arial" w:eastAsia="Arial" w:hAnsi="Arial" w:cs="Arial"/>
          <w:b w:val="0"/>
          <w:bCs w:val="0"/>
          <w:i w:val="0"/>
          <w:iCs w:val="0"/>
          <w:color w:val="auto"/>
          <w:sz w:val="22"/>
          <w:szCs w:val="22"/>
          <w:lang w:val="en-US"/>
        </w:rPr>
        <w:t xml:space="preserve">     </w:t>
      </w:r>
      <w:r w:rsidRPr="00596979">
        <w:rPr>
          <w:rFonts w:ascii="Arial" w:eastAsia="Arial" w:hAnsi="Arial" w:cs="Arial"/>
          <w:b/>
          <w:i/>
          <w:color w:val="000000"/>
          <w:shd w:val="clear" w:color="auto" w:fill="FFFFFF"/>
          <w:lang w:val="en-US"/>
        </w:rPr>
        <w:t xml:space="preserve">Ecogas Holding AS, or Ecogas: </w:t>
      </w:r>
      <w:r w:rsidRPr="00596979">
        <w:rPr>
          <w:rFonts w:ascii="Arial" w:eastAsia="Arial" w:hAnsi="Arial" w:cs="Arial"/>
          <w:color w:val="000000"/>
          <w:shd w:val="clear" w:color="auto" w:fill="FFFFFF"/>
          <w:lang w:val="en-US"/>
        </w:rPr>
        <w:t xml:space="preserve">On March 12, 2025, the Company, through a wholly owned subsidiary Diana Gas Inc., entered into a joint venture agreement with an unrelated party to establish </w:t>
      </w:r>
      <w:bookmarkStart w:id="541" w:name="_Hlk198566329_0"/>
      <w:r w:rsidRPr="00596979">
        <w:rPr>
          <w:rFonts w:ascii="Arial" w:eastAsia="Arial" w:hAnsi="Arial" w:cs="Arial"/>
          <w:color w:val="000000"/>
          <w:shd w:val="clear" w:color="auto" w:fill="FFFFFF"/>
          <w:lang w:val="en-US"/>
        </w:rPr>
        <w:t>Ecogas</w:t>
      </w:r>
      <w:bookmarkEnd w:id="541"/>
      <w:r w:rsidRPr="00596979">
        <w:rPr>
          <w:rFonts w:ascii="Arial" w:eastAsia="Arial" w:hAnsi="Arial" w:cs="Arial"/>
          <w:color w:val="000000"/>
          <w:shd w:val="clear" w:color="auto" w:fill="FFFFFF"/>
          <w:lang w:val="en-US"/>
        </w:rPr>
        <w:t xml:space="preserve">, a company formed under the laws of Norway, for the purpose of building </w:t>
      </w:r>
      <w:bookmarkStart w:id="542" w:name="XBRL_CS_2b34e5e77a7d488ebf90bc038f91c56b"/>
      <w:r w:rsidRPr="00596979">
        <w:rPr>
          <w:rFonts w:ascii="Arial" w:eastAsia="Arial" w:hAnsi="Arial" w:cs="Arial"/>
          <w:color w:val="000000"/>
          <w:shd w:val="clear" w:color="auto" w:fill="FFFFFF"/>
          <w:lang w:val="en-US"/>
        </w:rPr>
        <w:t>two</w:t>
      </w:r>
      <w:bookmarkEnd w:id="542"/>
      <w:r w:rsidRPr="00596979">
        <w:rPr>
          <w:rFonts w:ascii="Arial" w:eastAsia="Arial" w:hAnsi="Arial" w:cs="Arial"/>
          <w:color w:val="000000"/>
          <w:shd w:val="clear" w:color="auto" w:fill="FFFFFF"/>
          <w:lang w:val="en-US"/>
        </w:rPr>
        <w:t xml:space="preserve"> 7,500 cbm LPG vessels with delivery in 2027 and with an option for </w:t>
      </w:r>
      <w:bookmarkStart w:id="543" w:name="XBRL_CS_15aa51fd0e724c2b9ed938b5d8f73cd6"/>
      <w:r w:rsidRPr="00596979">
        <w:rPr>
          <w:rFonts w:ascii="Arial" w:eastAsia="Arial" w:hAnsi="Arial" w:cs="Arial"/>
          <w:color w:val="000000"/>
          <w:shd w:val="clear" w:color="auto" w:fill="FFFFFF"/>
          <w:lang w:val="en-US"/>
        </w:rPr>
        <w:t>two</w:t>
      </w:r>
      <w:bookmarkEnd w:id="543"/>
      <w:r w:rsidRPr="00596979">
        <w:rPr>
          <w:rFonts w:ascii="Arial" w:eastAsia="Arial" w:hAnsi="Arial" w:cs="Arial"/>
          <w:color w:val="000000"/>
          <w:shd w:val="clear" w:color="auto" w:fill="FFFFFF"/>
          <w:lang w:val="en-US"/>
        </w:rPr>
        <w:t xml:space="preserve"> additional vessels. </w:t>
      </w:r>
      <w:r w:rsidR="00ED48C8" w:rsidRPr="00ED48C8">
        <w:rPr>
          <w:rFonts w:ascii="Arial" w:eastAsia="Arial" w:hAnsi="Arial" w:cs="Arial"/>
          <w:color w:val="000000"/>
          <w:shd w:val="clear" w:color="auto" w:fill="FFFFFF"/>
          <w:lang w:val="en-US"/>
        </w:rPr>
        <w:t>Under the terms of the agreement, the Company and its strategic partner hold equal voting rights (</w:t>
      </w:r>
      <w:bookmarkStart w:id="544" w:name="XBRL_CS_b96fe59c92c848adab33bfa749dd5a50"/>
      <w:r w:rsidR="00ED48C8" w:rsidRPr="00ED48C8">
        <w:rPr>
          <w:rFonts w:ascii="Arial" w:eastAsia="Arial" w:hAnsi="Arial" w:cs="Arial"/>
          <w:color w:val="000000"/>
          <w:shd w:val="clear" w:color="auto" w:fill="FFFFFF"/>
          <w:lang w:val="en-US"/>
        </w:rPr>
        <w:t>50</w:t>
      </w:r>
      <w:bookmarkEnd w:id="544"/>
      <w:r w:rsidR="00ED48C8" w:rsidRPr="00ED48C8">
        <w:rPr>
          <w:rFonts w:ascii="Arial" w:eastAsia="Arial" w:hAnsi="Arial" w:cs="Arial"/>
          <w:color w:val="000000"/>
          <w:shd w:val="clear" w:color="auto" w:fill="FFFFFF"/>
          <w:lang w:val="en-US"/>
        </w:rPr>
        <w:t>% each), and as a result the Company does not have control over Ecogas. Furthermore, the Company agreed to contribute $</w:t>
      </w:r>
      <w:bookmarkStart w:id="545" w:name="XBRL_CS_0a6a17976cbb410ea5c3aa2389cd9753"/>
      <w:r w:rsidR="00ED48C8" w:rsidRPr="00ED48C8">
        <w:rPr>
          <w:rFonts w:ascii="Arial" w:eastAsia="Arial" w:hAnsi="Arial" w:cs="Arial"/>
          <w:color w:val="000000"/>
          <w:shd w:val="clear" w:color="auto" w:fill="FFFFFF"/>
          <w:lang w:val="en-US"/>
        </w:rPr>
        <w:t>18,464</w:t>
      </w:r>
      <w:bookmarkEnd w:id="545"/>
      <w:r w:rsidR="00ED48C8" w:rsidRPr="00ED48C8">
        <w:rPr>
          <w:rFonts w:ascii="Arial" w:eastAsia="Arial" w:hAnsi="Arial" w:cs="Arial"/>
          <w:color w:val="000000"/>
          <w:shd w:val="clear" w:color="auto" w:fill="FFFFFF"/>
          <w:lang w:val="en-US"/>
        </w:rPr>
        <w:t xml:space="preserve">, representing an </w:t>
      </w:r>
      <w:bookmarkStart w:id="546" w:name="XBRL_CS_5bb132830c2b40dd957f51d3f1235fad"/>
      <w:r w:rsidR="00ED48C8" w:rsidRPr="00ED48C8">
        <w:rPr>
          <w:rFonts w:ascii="Arial" w:eastAsia="Arial" w:hAnsi="Arial" w:cs="Arial"/>
          <w:color w:val="000000"/>
          <w:shd w:val="clear" w:color="auto" w:fill="FFFFFF"/>
          <w:lang w:val="en-US"/>
        </w:rPr>
        <w:t>80</w:t>
      </w:r>
      <w:bookmarkEnd w:id="546"/>
      <w:r w:rsidR="00ED48C8" w:rsidRPr="00ED48C8">
        <w:rPr>
          <w:rFonts w:ascii="Arial" w:eastAsia="Arial" w:hAnsi="Arial" w:cs="Arial"/>
          <w:color w:val="000000"/>
          <w:shd w:val="clear" w:color="auto" w:fill="FFFFFF"/>
          <w:lang w:val="en-US"/>
        </w:rPr>
        <w:t xml:space="preserve">% equity interest, for the construction of the </w:t>
      </w:r>
      <w:bookmarkStart w:id="547" w:name="XBRL_CS_f26d6f86013648acb7b358ab7ab8113e"/>
      <w:r w:rsidR="00ED48C8" w:rsidRPr="00ED48C8">
        <w:rPr>
          <w:rFonts w:ascii="Arial" w:eastAsia="Arial" w:hAnsi="Arial" w:cs="Arial"/>
          <w:color w:val="000000"/>
          <w:shd w:val="clear" w:color="auto" w:fill="FFFFFF"/>
          <w:lang w:val="en-US"/>
        </w:rPr>
        <w:t>two</w:t>
      </w:r>
      <w:bookmarkEnd w:id="547"/>
      <w:r w:rsidR="00ED48C8" w:rsidRPr="00ED48C8">
        <w:rPr>
          <w:rFonts w:ascii="Arial" w:eastAsia="Arial" w:hAnsi="Arial" w:cs="Arial"/>
          <w:color w:val="000000"/>
          <w:shd w:val="clear" w:color="auto" w:fill="FFFFFF"/>
          <w:lang w:val="en-US"/>
        </w:rPr>
        <w:t xml:space="preserve"> vessels.</w:t>
      </w:r>
      <w:r w:rsidR="00ED48C8">
        <w:rPr>
          <w:rFonts w:ascii="Arial" w:eastAsia="Arial" w:hAnsi="Arial" w:cs="Arial"/>
          <w:color w:val="000000"/>
          <w:shd w:val="clear" w:color="auto" w:fill="FFFFFF"/>
          <w:lang w:val="en-US"/>
        </w:rPr>
        <w:t xml:space="preserve"> </w:t>
      </w:r>
      <w:r w:rsidRPr="00596979">
        <w:rPr>
          <w:rFonts w:ascii="Arial" w:eastAsia="Arial" w:hAnsi="Arial" w:cs="Arial"/>
          <w:color w:val="000000"/>
          <w:shd w:val="clear" w:color="auto" w:fill="FFFFFF"/>
          <w:lang w:val="en-US"/>
        </w:rPr>
        <w:t xml:space="preserve">As of December 31, 2025, the investment in Ecogas amounted to </w:t>
      </w:r>
      <w:r w:rsidRPr="00060314">
        <w:rPr>
          <w:rFonts w:ascii="Arial" w:eastAsia="Arial" w:hAnsi="Arial" w:cs="Arial"/>
          <w:color w:val="000000"/>
          <w:shd w:val="clear" w:color="auto" w:fill="FFFFFF"/>
          <w:lang w:val="en-US"/>
        </w:rPr>
        <w:t>$</w:t>
      </w:r>
      <w:bookmarkStart w:id="548" w:name="XBRL_CS_92a85c566939451891e70ef0a2142393"/>
      <w:r w:rsidR="00FB26D4">
        <w:rPr>
          <w:rFonts w:ascii="Arial" w:eastAsia="Arial" w:hAnsi="Arial" w:cs="Arial"/>
          <w:color w:val="000000"/>
          <w:shd w:val="clear" w:color="auto" w:fill="FFFFFF"/>
          <w:lang w:val="en-US"/>
        </w:rPr>
        <w:t>8</w:t>
      </w:r>
      <w:r w:rsidRPr="00060314">
        <w:rPr>
          <w:rFonts w:ascii="Arial" w:eastAsia="Arial" w:hAnsi="Arial" w:cs="Arial"/>
          <w:color w:val="000000"/>
          <w:shd w:val="clear" w:color="auto" w:fill="FFFFFF"/>
          <w:lang w:val="en-US"/>
        </w:rPr>
        <w:t>,</w:t>
      </w:r>
      <w:r w:rsidR="002F0F0E">
        <w:rPr>
          <w:rFonts w:ascii="Arial" w:eastAsia="Arial" w:hAnsi="Arial" w:cs="Arial"/>
          <w:color w:val="000000"/>
          <w:shd w:val="clear" w:color="auto" w:fill="FFFFFF"/>
          <w:lang w:val="en-US"/>
        </w:rPr>
        <w:t>754</w:t>
      </w:r>
      <w:bookmarkEnd w:id="548"/>
      <w:r w:rsidRPr="00596979">
        <w:rPr>
          <w:rFonts w:ascii="Arial" w:eastAsia="Arial" w:hAnsi="Arial" w:cs="Arial"/>
          <w:color w:val="000000"/>
          <w:shd w:val="clear" w:color="auto" w:fill="FFFFFF"/>
          <w:lang w:val="en-US"/>
        </w:rPr>
        <w:t>, representing part of its equity participation to fund the construction of the vessels and working capital.</w:t>
      </w:r>
      <w:r w:rsidR="00B26A99">
        <w:rPr>
          <w:rFonts w:ascii="Arial" w:eastAsia="Arial" w:hAnsi="Arial" w:cs="Arial"/>
          <w:color w:val="000000"/>
          <w:shd w:val="clear" w:color="auto" w:fill="FFFFFF"/>
          <w:lang w:val="en-US"/>
        </w:rPr>
        <w:t xml:space="preserve"> </w:t>
      </w:r>
      <w:r w:rsidR="00B26A99">
        <w:rPr>
          <w:rFonts w:ascii="Arial" w:eastAsia="Arial" w:hAnsi="Arial" w:cs="Arial"/>
          <w:lang w:val="en-US"/>
        </w:rPr>
        <w:t>In</w:t>
      </w:r>
      <w:r w:rsidR="00B26A99" w:rsidRPr="000D2C3A">
        <w:rPr>
          <w:rFonts w:ascii="Arial" w:eastAsia="Arial" w:hAnsi="Arial" w:cs="Arial"/>
          <w:lang w:val="en-US"/>
        </w:rPr>
        <w:t xml:space="preserve"> 2025, the investment in </w:t>
      </w:r>
      <w:r w:rsidR="00B26A99">
        <w:rPr>
          <w:rFonts w:ascii="Arial" w:eastAsia="Arial" w:hAnsi="Arial" w:cs="Arial"/>
          <w:lang w:val="en-US"/>
        </w:rPr>
        <w:t>Ecogas</w:t>
      </w:r>
      <w:r w:rsidR="00B26A99" w:rsidRPr="000D2C3A">
        <w:rPr>
          <w:rFonts w:ascii="Arial" w:eastAsia="Arial" w:hAnsi="Arial" w:cs="Arial"/>
          <w:lang w:val="en-US"/>
        </w:rPr>
        <w:t xml:space="preserve"> resulted in a </w:t>
      </w:r>
      <w:r w:rsidR="00B26A99" w:rsidRPr="00060314">
        <w:rPr>
          <w:rFonts w:ascii="Arial" w:eastAsia="Arial" w:hAnsi="Arial" w:cs="Arial"/>
          <w:lang w:val="en-US"/>
        </w:rPr>
        <w:t>loss of $</w:t>
      </w:r>
      <w:bookmarkStart w:id="549" w:name="XBRL_CS_796f43fbc8814bcca567e88d47095e99"/>
      <w:r w:rsidR="00B26A99">
        <w:rPr>
          <w:rFonts w:ascii="Arial" w:eastAsia="Arial" w:hAnsi="Arial" w:cs="Arial"/>
          <w:lang w:val="en-US"/>
        </w:rPr>
        <w:t>1,</w:t>
      </w:r>
      <w:r w:rsidR="002F0F0E">
        <w:rPr>
          <w:rFonts w:ascii="Arial" w:eastAsia="Arial" w:hAnsi="Arial" w:cs="Arial"/>
          <w:lang w:val="en-US"/>
        </w:rPr>
        <w:t>409</w:t>
      </w:r>
      <w:bookmarkEnd w:id="549"/>
      <w:r w:rsidR="00B26A99" w:rsidRPr="000D2C3A">
        <w:rPr>
          <w:rFonts w:ascii="Arial" w:eastAsia="Arial" w:hAnsi="Arial" w:cs="Arial"/>
          <w:lang w:val="en-US"/>
        </w:rPr>
        <w:t xml:space="preserve"> and is included in loss from equity method investments in the consolidated statements of income.</w:t>
      </w:r>
      <w:bookmarkEnd w:id="482"/>
    </w:p>
    <w:p w14:paraId="71F3F69B"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69C" w14:textId="77777777" w:rsidR="00E15988" w:rsidRPr="00346C09" w:rsidRDefault="003A4815" w:rsidP="00346C09">
      <w:pPr>
        <w:pStyle w:val="Heading1"/>
        <w:keepLines/>
        <w:pBdr>
          <w:top w:val="nil"/>
          <w:left w:val="nil"/>
          <w:bottom w:val="nil"/>
          <w:right w:val="nil"/>
          <w:between w:val="nil"/>
          <w:bar w:val="nil"/>
        </w:pBdr>
        <w:spacing w:before="0" w:after="0"/>
        <w:rPr>
          <w:rFonts w:eastAsia="Arial"/>
          <w:color w:val="auto"/>
          <w:kern w:val="0"/>
          <w:bdr w:val="nil"/>
        </w:rPr>
      </w:pPr>
      <w:bookmarkStart w:id="550" w:name="RG_MARKER_23322"/>
      <w:bookmarkStart w:id="551" w:name="RG_MARKER_23149"/>
      <w:bookmarkStart w:id="552" w:name="XBRL_TS_4e1147c10eeb400e892bea829958add5"/>
      <w:bookmarkEnd w:id="550"/>
      <w:bookmarkEnd w:id="551"/>
      <w:r w:rsidRPr="00346C09">
        <w:rPr>
          <w:rFonts w:ascii="Arial" w:eastAsia="Arial" w:hAnsi="Arial" w:cs="Arial"/>
          <w:color w:val="auto"/>
          <w:kern w:val="0"/>
          <w:sz w:val="24"/>
          <w:szCs w:val="24"/>
        </w:rPr>
        <w:t>5.</w:t>
      </w:r>
      <w:r w:rsidRPr="00346C09">
        <w:rPr>
          <w:rFonts w:ascii="Arial" w:eastAsia="Arial" w:hAnsi="Arial" w:cs="Arial"/>
          <w:color w:val="auto"/>
          <w:kern w:val="0"/>
          <w:sz w:val="24"/>
          <w:szCs w:val="24"/>
        </w:rPr>
        <w:tab/>
      </w:r>
      <w:r>
        <w:rPr>
          <w:rFonts w:ascii="Arial" w:eastAsia="Arial" w:hAnsi="Arial" w:cs="Arial"/>
          <w:color w:val="auto"/>
          <w:kern w:val="0"/>
          <w:sz w:val="24"/>
          <w:szCs w:val="24"/>
        </w:rPr>
        <w:t>Investments in a related party and other</w:t>
      </w:r>
    </w:p>
    <w:p w14:paraId="71F3F69D" w14:textId="77777777" w:rsidR="00806B74" w:rsidRPr="00346C09" w:rsidRDefault="00806B74" w:rsidP="00346C09">
      <w:pPr>
        <w:keepNext/>
        <w:keepLines/>
        <w:pBdr>
          <w:top w:val="nil"/>
          <w:left w:val="nil"/>
          <w:bottom w:val="nil"/>
          <w:right w:val="nil"/>
          <w:between w:val="nil"/>
          <w:bar w:val="nil"/>
        </w:pBdr>
        <w:jc w:val="both"/>
        <w:rPr>
          <w:rFonts w:ascii="Arial" w:eastAsia="Arial" w:hAnsi="Arial" w:cs="Arial"/>
          <w:b/>
          <w:i/>
          <w:bdr w:val="nil"/>
          <w:lang w:val="en-US"/>
        </w:rPr>
      </w:pPr>
    </w:p>
    <w:p w14:paraId="71F3F69E" w14:textId="77777777" w:rsidR="005F528A" w:rsidRDefault="003A4815" w:rsidP="00B50FCD">
      <w:pPr>
        <w:pBdr>
          <w:top w:val="nil"/>
          <w:left w:val="nil"/>
          <w:bottom w:val="nil"/>
          <w:right w:val="nil"/>
          <w:between w:val="nil"/>
          <w:bar w:val="nil"/>
        </w:pBdr>
        <w:jc w:val="both"/>
        <w:rPr>
          <w:rFonts w:ascii="Arial" w:eastAsia="Arial" w:hAnsi="Arial" w:cs="Arial"/>
          <w:bdr w:val="nil"/>
          <w:lang w:val="en-US"/>
        </w:rPr>
      </w:pPr>
      <w:r>
        <w:rPr>
          <w:rStyle w:val="Heading2Char"/>
          <w:rFonts w:ascii="Arial" w:eastAsia="Arial" w:hAnsi="Arial" w:cs="Arial"/>
          <w:bCs w:val="0"/>
          <w:iCs w:val="0"/>
          <w:color w:val="auto"/>
          <w:sz w:val="22"/>
          <w:szCs w:val="22"/>
          <w:lang w:val="en-US"/>
        </w:rPr>
        <w:t>a</w:t>
      </w:r>
      <w:r w:rsidR="005A35D4" w:rsidRPr="00346C09">
        <w:rPr>
          <w:rStyle w:val="Heading2Char"/>
          <w:rFonts w:ascii="Arial" w:eastAsia="Arial" w:hAnsi="Arial" w:cs="Arial"/>
          <w:bCs w:val="0"/>
          <w:iCs w:val="0"/>
          <w:color w:val="auto"/>
          <w:sz w:val="22"/>
          <w:szCs w:val="22"/>
          <w:lang w:val="en-US"/>
        </w:rPr>
        <w:t>)</w:t>
      </w:r>
      <w:r w:rsidR="005A35D4" w:rsidRPr="00346C09">
        <w:rPr>
          <w:rStyle w:val="Heading2Char"/>
          <w:rFonts w:ascii="Arial" w:eastAsia="Arial" w:hAnsi="Arial" w:cs="Arial"/>
          <w:bCs w:val="0"/>
          <w:iCs w:val="0"/>
          <w:color w:val="auto"/>
          <w:sz w:val="22"/>
          <w:szCs w:val="22"/>
          <w:lang w:val="en-US"/>
        </w:rPr>
        <w:tab/>
        <w:t>OceanPal</w:t>
      </w:r>
      <w:r w:rsidR="00A17B53" w:rsidRPr="00346C09">
        <w:rPr>
          <w:rStyle w:val="Heading2Char"/>
          <w:rFonts w:ascii="Arial" w:eastAsia="Arial" w:hAnsi="Arial" w:cs="Arial"/>
          <w:bCs w:val="0"/>
          <w:iCs w:val="0"/>
          <w:color w:val="auto"/>
          <w:sz w:val="22"/>
          <w:szCs w:val="22"/>
          <w:lang w:val="en-US"/>
        </w:rPr>
        <w:t xml:space="preserve"> Inc</w:t>
      </w:r>
      <w:r w:rsidR="004C11DA" w:rsidRPr="00346C09">
        <w:rPr>
          <w:rStyle w:val="Heading2Char"/>
          <w:rFonts w:ascii="Arial" w:eastAsia="Arial" w:hAnsi="Arial" w:cs="Arial"/>
          <w:bCs w:val="0"/>
          <w:iCs w:val="0"/>
          <w:color w:val="auto"/>
          <w:sz w:val="22"/>
          <w:szCs w:val="22"/>
          <w:lang w:val="en-US"/>
        </w:rPr>
        <w:t>.</w:t>
      </w:r>
      <w:r w:rsidR="00A17B53" w:rsidRPr="00346C09">
        <w:rPr>
          <w:rStyle w:val="Heading2Char"/>
          <w:rFonts w:ascii="Arial" w:eastAsia="Arial" w:hAnsi="Arial" w:cs="Arial"/>
          <w:bCs w:val="0"/>
          <w:iCs w:val="0"/>
          <w:color w:val="auto"/>
          <w:sz w:val="22"/>
          <w:szCs w:val="22"/>
          <w:lang w:val="en-US"/>
        </w:rPr>
        <w:t>, or OceanPal</w:t>
      </w:r>
      <w:r w:rsidR="005A35D4" w:rsidRPr="00346C09">
        <w:rPr>
          <w:rFonts w:ascii="Arial" w:eastAsia="Arial" w:hAnsi="Arial" w:cs="Arial"/>
          <w:b/>
          <w:i/>
          <w:lang w:val="en-US"/>
        </w:rPr>
        <w:t>:</w:t>
      </w:r>
      <w:r w:rsidR="005A35D4" w:rsidRPr="00346C09">
        <w:rPr>
          <w:rFonts w:ascii="Arial" w:eastAsia="Arial" w:hAnsi="Arial" w:cs="Arial"/>
          <w:lang w:val="en-US"/>
        </w:rPr>
        <w:t xml:space="preserve"> </w:t>
      </w:r>
      <w:r w:rsidRPr="008D7A5D">
        <w:rPr>
          <w:rFonts w:ascii="Arial" w:eastAsia="Arial" w:hAnsi="Arial" w:cs="Arial"/>
          <w:lang w:val="en-US"/>
        </w:rPr>
        <w:t xml:space="preserve">As </w:t>
      </w:r>
      <w:r w:rsidRPr="00437B7D">
        <w:rPr>
          <w:rFonts w:ascii="Arial" w:eastAsia="Arial" w:hAnsi="Arial" w:cs="Arial"/>
          <w:lang w:val="en-US"/>
        </w:rPr>
        <w:t>of December 31, 2024,</w:t>
      </w:r>
      <w:r w:rsidR="005A35D4" w:rsidRPr="00437B7D">
        <w:rPr>
          <w:rFonts w:ascii="Arial" w:eastAsia="Arial" w:hAnsi="Arial" w:cs="Arial"/>
          <w:lang w:val="en-US"/>
        </w:rPr>
        <w:t xml:space="preserve"> the Company </w:t>
      </w:r>
      <w:r w:rsidR="002F7B06">
        <w:rPr>
          <w:rFonts w:ascii="Arial" w:eastAsia="Arial" w:hAnsi="Arial" w:cs="Arial"/>
          <w:lang w:val="en-US"/>
        </w:rPr>
        <w:t>held</w:t>
      </w:r>
      <w:r w:rsidR="00746BAD" w:rsidRPr="00437B7D">
        <w:rPr>
          <w:rFonts w:ascii="Arial" w:eastAsia="Arial" w:hAnsi="Arial" w:cs="Arial"/>
          <w:lang w:val="en-US"/>
        </w:rPr>
        <w:t xml:space="preserve"> </w:t>
      </w:r>
      <w:bookmarkStart w:id="553" w:name="XBRL_CS_ea9b40dab1ba4b2289ec5b2eee447147"/>
      <w:r w:rsidR="00833D92" w:rsidRPr="00437B7D">
        <w:rPr>
          <w:rFonts w:ascii="Arial" w:eastAsia="Arial" w:hAnsi="Arial" w:cs="Arial"/>
          <w:lang w:val="en-US"/>
        </w:rPr>
        <w:t>500,000</w:t>
      </w:r>
      <w:bookmarkEnd w:id="553"/>
      <w:r w:rsidR="005A35D4" w:rsidRPr="00437B7D">
        <w:rPr>
          <w:rFonts w:ascii="Arial" w:eastAsia="Arial" w:hAnsi="Arial" w:cs="Arial"/>
          <w:lang w:val="en-US"/>
        </w:rPr>
        <w:t xml:space="preserve"> </w:t>
      </w:r>
      <w:r w:rsidR="00F83C29">
        <w:rPr>
          <w:rFonts w:ascii="Arial" w:eastAsia="Arial" w:hAnsi="Arial" w:cs="Arial"/>
          <w:lang w:val="en-US"/>
        </w:rPr>
        <w:t xml:space="preserve">shares of </w:t>
      </w:r>
      <w:r w:rsidR="005A35D4" w:rsidRPr="00437B7D">
        <w:rPr>
          <w:rFonts w:ascii="Arial" w:eastAsia="Arial" w:hAnsi="Arial" w:cs="Arial"/>
          <w:bdr w:val="none" w:sz="0" w:space="0" w:color="auto" w:frame="1"/>
          <w:lang w:val="en-US"/>
        </w:rPr>
        <w:t>Series B Preferred Shares</w:t>
      </w:r>
      <w:r w:rsidR="00BE5D04">
        <w:rPr>
          <w:rFonts w:ascii="Arial" w:eastAsia="Arial" w:hAnsi="Arial" w:cs="Arial"/>
          <w:bdr w:val="none" w:sz="0" w:space="0" w:color="auto" w:frame="1"/>
          <w:lang w:val="en-US"/>
        </w:rPr>
        <w:t xml:space="preserve"> of OceanPal</w:t>
      </w:r>
      <w:r w:rsidR="002F7B06">
        <w:rPr>
          <w:rFonts w:ascii="Arial" w:eastAsia="Arial" w:hAnsi="Arial" w:cs="Arial"/>
          <w:bdr w:val="none" w:sz="0" w:space="0" w:color="auto" w:frame="1"/>
          <w:lang w:val="en-US"/>
        </w:rPr>
        <w:t>.</w:t>
      </w:r>
      <w:r w:rsidR="00746BAD" w:rsidRPr="00437B7D">
        <w:rPr>
          <w:rFonts w:ascii="Arial" w:eastAsia="Arial" w:hAnsi="Arial" w:cs="Arial"/>
          <w:bdr w:val="none" w:sz="0" w:space="0" w:color="auto" w:frame="1"/>
          <w:lang w:val="en-US"/>
        </w:rPr>
        <w:t xml:space="preserve"> </w:t>
      </w:r>
      <w:r w:rsidRPr="005F528A">
        <w:rPr>
          <w:rFonts w:ascii="Arial" w:eastAsia="Arial" w:hAnsi="Arial" w:cs="Arial"/>
          <w:lang w:val="en-US"/>
        </w:rPr>
        <w:t>Series B Preferred Shares entitle</w:t>
      </w:r>
      <w:r w:rsidR="002F7B06">
        <w:rPr>
          <w:rFonts w:ascii="Arial" w:eastAsia="Arial" w:hAnsi="Arial" w:cs="Arial"/>
          <w:lang w:val="en-US"/>
        </w:rPr>
        <w:t>d</w:t>
      </w:r>
      <w:r w:rsidRPr="005F528A">
        <w:rPr>
          <w:rFonts w:ascii="Arial" w:eastAsia="Arial" w:hAnsi="Arial" w:cs="Arial"/>
          <w:lang w:val="en-US"/>
        </w:rPr>
        <w:t xml:space="preserve"> the holder to </w:t>
      </w:r>
      <w:bookmarkStart w:id="554" w:name="XBRL_CS_d5d85be09e4b41dc90c88340fd819fbe"/>
      <w:r w:rsidRPr="005F528A">
        <w:rPr>
          <w:rFonts w:ascii="Arial" w:eastAsia="Arial" w:hAnsi="Arial" w:cs="Arial"/>
          <w:lang w:val="en-US"/>
        </w:rPr>
        <w:t>2,000</w:t>
      </w:r>
      <w:bookmarkEnd w:id="554"/>
      <w:r w:rsidRPr="005F528A">
        <w:rPr>
          <w:rFonts w:ascii="Arial" w:eastAsia="Arial" w:hAnsi="Arial" w:cs="Arial"/>
          <w:lang w:val="en-US"/>
        </w:rPr>
        <w:t xml:space="preserve"> votes on all matters submitted to a vote of stockholders, however, the vot</w:t>
      </w:r>
      <w:r w:rsidR="002F7B06">
        <w:rPr>
          <w:rFonts w:ascii="Arial" w:eastAsia="Arial" w:hAnsi="Arial" w:cs="Arial"/>
          <w:lang w:val="en-US"/>
        </w:rPr>
        <w:t xml:space="preserve">ing rights were capped at </w:t>
      </w:r>
      <w:bookmarkStart w:id="555" w:name="XBRL_CS_4b4238bd4af8431fbeed10c465664735"/>
      <w:r w:rsidRPr="005F528A">
        <w:rPr>
          <w:rFonts w:ascii="Arial" w:eastAsia="Arial" w:hAnsi="Arial" w:cs="Arial"/>
          <w:lang w:val="en-US"/>
        </w:rPr>
        <w:t>34</w:t>
      </w:r>
      <w:bookmarkEnd w:id="555"/>
      <w:r w:rsidRPr="005F528A">
        <w:rPr>
          <w:rFonts w:ascii="Arial" w:eastAsia="Arial" w:hAnsi="Arial" w:cs="Arial"/>
          <w:lang w:val="en-US"/>
        </w:rPr>
        <w:t xml:space="preserve">% of total votes, and the total votes entitled to be cast by the holder, including common stock or any other voting security, </w:t>
      </w:r>
      <w:r w:rsidR="002F7B06">
        <w:rPr>
          <w:rFonts w:ascii="Arial" w:eastAsia="Arial" w:hAnsi="Arial" w:cs="Arial"/>
          <w:lang w:val="en-US"/>
        </w:rPr>
        <w:t>should</w:t>
      </w:r>
      <w:r w:rsidRPr="005F528A">
        <w:rPr>
          <w:rFonts w:ascii="Arial" w:eastAsia="Arial" w:hAnsi="Arial" w:cs="Arial"/>
          <w:lang w:val="en-US"/>
        </w:rPr>
        <w:t xml:space="preserve"> not exceed </w:t>
      </w:r>
      <w:bookmarkStart w:id="556" w:name="XBRL_CS_7d90494010de4d0db1428b6260b79605"/>
      <w:r w:rsidRPr="005F528A">
        <w:rPr>
          <w:rFonts w:ascii="Arial" w:eastAsia="Arial" w:hAnsi="Arial" w:cs="Arial"/>
          <w:lang w:val="en-US"/>
        </w:rPr>
        <w:t>49</w:t>
      </w:r>
      <w:bookmarkEnd w:id="556"/>
      <w:r w:rsidRPr="005F528A">
        <w:rPr>
          <w:rFonts w:ascii="Arial" w:eastAsia="Arial" w:hAnsi="Arial" w:cs="Arial"/>
          <w:lang w:val="en-US"/>
        </w:rPr>
        <w:t xml:space="preserve">% of the total number of votes. Series B Preferred Shares </w:t>
      </w:r>
      <w:r w:rsidR="002F7B06">
        <w:rPr>
          <w:rFonts w:ascii="Arial" w:eastAsia="Arial" w:hAnsi="Arial" w:cs="Arial"/>
          <w:lang w:val="en-US"/>
        </w:rPr>
        <w:t>had</w:t>
      </w:r>
      <w:r w:rsidRPr="005F528A">
        <w:rPr>
          <w:rFonts w:ascii="Arial" w:eastAsia="Arial" w:hAnsi="Arial" w:cs="Arial"/>
          <w:lang w:val="en-US"/>
        </w:rPr>
        <w:t xml:space="preserve"> no dividend or distribution rights. On October 28, 2025, the Company</w:t>
      </w:r>
      <w:r w:rsidR="002F7B06" w:rsidRPr="002F7B06">
        <w:rPr>
          <w:rFonts w:ascii="Arial" w:eastAsia="Arial" w:hAnsi="Arial" w:cs="Arial"/>
          <w:lang w:val="en-US"/>
        </w:rPr>
        <w:t xml:space="preserve"> </w:t>
      </w:r>
      <w:r w:rsidR="002F7B06" w:rsidRPr="005F528A">
        <w:rPr>
          <w:rFonts w:ascii="Arial" w:eastAsia="Arial" w:hAnsi="Arial" w:cs="Arial"/>
          <w:lang w:val="en-US"/>
        </w:rPr>
        <w:t xml:space="preserve">sold its </w:t>
      </w:r>
      <w:bookmarkStart w:id="557" w:name="XBRL_CS_9282879cf2f84fccb11b1badbed27a08"/>
      <w:r w:rsidR="002F7B06" w:rsidRPr="005F528A">
        <w:rPr>
          <w:rFonts w:ascii="Arial" w:eastAsia="Arial" w:hAnsi="Arial" w:cs="Arial"/>
          <w:lang w:val="en-US"/>
        </w:rPr>
        <w:t>500,000</w:t>
      </w:r>
      <w:bookmarkEnd w:id="557"/>
      <w:r w:rsidR="002F7B06" w:rsidRPr="005F528A">
        <w:rPr>
          <w:rFonts w:ascii="Arial" w:eastAsia="Arial" w:hAnsi="Arial" w:cs="Arial"/>
          <w:lang w:val="en-US"/>
        </w:rPr>
        <w:t xml:space="preserve"> Series B Preferred Shares</w:t>
      </w:r>
      <w:r w:rsidRPr="005F528A">
        <w:rPr>
          <w:rFonts w:ascii="Arial" w:eastAsia="Arial" w:hAnsi="Arial" w:cs="Arial"/>
          <w:lang w:val="en-US"/>
        </w:rPr>
        <w:t xml:space="preserve"> for </w:t>
      </w:r>
      <w:r w:rsidR="002F7B06">
        <w:rPr>
          <w:rFonts w:ascii="Arial" w:eastAsia="Arial" w:hAnsi="Arial" w:cs="Arial"/>
          <w:lang w:val="en-US"/>
        </w:rPr>
        <w:t>cash</w:t>
      </w:r>
      <w:r w:rsidR="00711017">
        <w:rPr>
          <w:rFonts w:ascii="Arial" w:eastAsia="Arial" w:hAnsi="Arial" w:cs="Arial"/>
          <w:lang w:val="en-US"/>
        </w:rPr>
        <w:t xml:space="preserve"> </w:t>
      </w:r>
      <w:r w:rsidRPr="005F528A">
        <w:rPr>
          <w:rFonts w:ascii="Arial" w:eastAsia="Arial" w:hAnsi="Arial" w:cs="Arial"/>
          <w:lang w:val="en-US"/>
        </w:rPr>
        <w:t>consideration of $</w:t>
      </w:r>
      <w:bookmarkStart w:id="558" w:name="XBRL_CS_e02514dc9b0c4ed9b55d265afd530cde"/>
      <w:r w:rsidRPr="005F528A">
        <w:rPr>
          <w:rFonts w:ascii="Arial" w:eastAsia="Arial" w:hAnsi="Arial" w:cs="Arial"/>
          <w:lang w:val="en-US"/>
        </w:rPr>
        <w:t>3,005</w:t>
      </w:r>
      <w:bookmarkEnd w:id="558"/>
      <w:r w:rsidRPr="005F528A">
        <w:rPr>
          <w:rFonts w:ascii="Arial" w:eastAsia="Arial" w:hAnsi="Arial" w:cs="Arial"/>
          <w:lang w:val="en-US"/>
        </w:rPr>
        <w:t xml:space="preserve">. </w:t>
      </w:r>
      <w:r w:rsidR="002F7B06" w:rsidRPr="002F7B06">
        <w:rPr>
          <w:rFonts w:ascii="Arial" w:eastAsia="Arial" w:hAnsi="Arial" w:cs="Arial"/>
          <w:lang w:val="en-US"/>
        </w:rPr>
        <w:t>The sale resulted in a realized gain, representing the excess of the sale proceeds over the carrying amount of the shares. This gain is included within gain/(loss) on related party investments in the accompanying consolidated statements of income. The realized gain partially offset realized losses recognized during 2025 from the dilution of the Company’s common stock holdings in OceanPa</w:t>
      </w:r>
      <w:r w:rsidR="002F7B06">
        <w:rPr>
          <w:rFonts w:ascii="Arial" w:eastAsia="Arial" w:hAnsi="Arial" w:cs="Arial"/>
          <w:lang w:val="en-US"/>
        </w:rPr>
        <w:t>l, described below.</w:t>
      </w:r>
    </w:p>
    <w:p w14:paraId="71F3F69F" w14:textId="77777777" w:rsidR="002F7B06" w:rsidRDefault="002F7B06" w:rsidP="00B50FCD">
      <w:pPr>
        <w:pBdr>
          <w:top w:val="nil"/>
          <w:left w:val="nil"/>
          <w:bottom w:val="nil"/>
          <w:right w:val="nil"/>
          <w:between w:val="nil"/>
          <w:bar w:val="nil"/>
        </w:pBdr>
        <w:jc w:val="both"/>
        <w:rPr>
          <w:rFonts w:ascii="Arial" w:eastAsia="Arial" w:hAnsi="Arial" w:cs="Arial"/>
          <w:bdr w:val="nil"/>
          <w:lang w:val="en-US"/>
        </w:rPr>
      </w:pPr>
    </w:p>
    <w:p w14:paraId="71F3F6A0" w14:textId="77777777" w:rsidR="00711017" w:rsidRPr="00445D9E" w:rsidRDefault="003A4815" w:rsidP="00711017">
      <w:pPr>
        <w:pBdr>
          <w:top w:val="nil"/>
          <w:left w:val="nil"/>
          <w:bottom w:val="nil"/>
          <w:right w:val="nil"/>
          <w:between w:val="nil"/>
          <w:bar w:val="nil"/>
        </w:pBdr>
        <w:jc w:val="both"/>
        <w:rPr>
          <w:rFonts w:ascii="Arial" w:eastAsia="Arial" w:hAnsi="Arial" w:cs="Arial"/>
          <w:bdr w:val="nil"/>
          <w:lang w:val="en-US"/>
        </w:rPr>
      </w:pPr>
      <w:r w:rsidRPr="008D7A5D">
        <w:rPr>
          <w:rFonts w:ascii="Arial" w:eastAsia="Arial" w:hAnsi="Arial" w:cs="Arial"/>
          <w:lang w:val="en-US"/>
        </w:rPr>
        <w:t xml:space="preserve">As </w:t>
      </w:r>
      <w:r w:rsidRPr="00437B7D">
        <w:rPr>
          <w:rFonts w:ascii="Arial" w:eastAsia="Arial" w:hAnsi="Arial" w:cs="Arial"/>
          <w:lang w:val="en-US"/>
        </w:rPr>
        <w:t xml:space="preserve">of December 31, 2025 and 2024, the Company </w:t>
      </w:r>
      <w:r w:rsidR="00296A99">
        <w:rPr>
          <w:rFonts w:ascii="Arial" w:eastAsia="Arial" w:hAnsi="Arial" w:cs="Arial"/>
          <w:lang w:val="en-US"/>
        </w:rPr>
        <w:t>held</w:t>
      </w:r>
      <w:r w:rsidRPr="00437B7D">
        <w:rPr>
          <w:rFonts w:ascii="Arial" w:eastAsia="Arial" w:hAnsi="Arial" w:cs="Arial"/>
          <w:lang w:val="en-US"/>
        </w:rPr>
        <w:t xml:space="preserve"> </w:t>
      </w:r>
      <w:bookmarkStart w:id="559" w:name="XBRL_CS_37b93114819145acac40cc04f8fbd1af"/>
      <w:bookmarkStart w:id="560" w:name="XBRL_CS_25f70137c8354017854f8a02bd5a1e28"/>
      <w:r w:rsidRPr="00437B7D">
        <w:rPr>
          <w:rFonts w:ascii="Arial" w:eastAsia="Arial" w:hAnsi="Arial" w:cs="Arial"/>
          <w:bdr w:val="none" w:sz="0" w:space="0" w:color="auto" w:frame="1"/>
          <w:lang w:val="en-US"/>
        </w:rPr>
        <w:t>207</w:t>
      </w:r>
      <w:bookmarkEnd w:id="559"/>
      <w:bookmarkEnd w:id="560"/>
      <w:r w:rsidRPr="00437B7D">
        <w:rPr>
          <w:rFonts w:ascii="Arial" w:eastAsia="Arial" w:hAnsi="Arial" w:cs="Arial"/>
          <w:bdr w:val="none" w:sz="0" w:space="0" w:color="auto" w:frame="1"/>
          <w:lang w:val="en-US"/>
        </w:rPr>
        <w:t xml:space="preserve"> Series C Convertible Preferred Shares</w:t>
      </w:r>
      <w:r>
        <w:rPr>
          <w:rFonts w:ascii="Arial" w:eastAsia="Arial" w:hAnsi="Arial" w:cs="Arial"/>
          <w:bdr w:val="none" w:sz="0" w:space="0" w:color="auto" w:frame="1"/>
          <w:lang w:val="en-US"/>
        </w:rPr>
        <w:t xml:space="preserve">. </w:t>
      </w:r>
      <w:r w:rsidR="003114D0" w:rsidRPr="005F528A">
        <w:rPr>
          <w:rFonts w:ascii="Arial" w:eastAsia="Arial" w:hAnsi="Arial" w:cs="Arial"/>
          <w:lang w:val="en-US"/>
        </w:rPr>
        <w:t>Series C Preferred Shares do not have voting rights except with respect to amendments to the Articles of Incorporation that adversely affect the preferences, powers, or rights of the Series C Preferred Shares or relate to the issuance of Parity Stock or the creation or issuance of Senior Stock. Series C Preferred Shares have a liquidation preference equal to the stated value of $</w:t>
      </w:r>
      <w:bookmarkStart w:id="561" w:name="XBRL_CS_7e7cf8de3e1f4e74a4f0439b1dec90fe"/>
      <w:r w:rsidR="003114D0" w:rsidRPr="005F528A">
        <w:rPr>
          <w:rFonts w:ascii="Arial" w:eastAsia="Arial" w:hAnsi="Arial" w:cs="Arial"/>
          <w:lang w:val="en-US"/>
        </w:rPr>
        <w:t>1,000</w:t>
      </w:r>
      <w:bookmarkEnd w:id="561"/>
      <w:r w:rsidR="003114D0" w:rsidRPr="005F528A">
        <w:rPr>
          <w:rFonts w:ascii="Arial" w:eastAsia="Arial" w:hAnsi="Arial" w:cs="Arial"/>
          <w:lang w:val="en-US"/>
        </w:rPr>
        <w:t xml:space="preserve"> and are convertible into common shares at the Company’s option commencing upon the first anniversary of the issue date, at a conversion price equal to the lesser of $</w:t>
      </w:r>
      <w:bookmarkStart w:id="562" w:name="XBRL_CS_e281192126de4b0fab0390e4bbef4114"/>
      <w:r w:rsidR="003114D0" w:rsidRPr="005F528A">
        <w:rPr>
          <w:rFonts w:ascii="Arial" w:eastAsia="Arial" w:hAnsi="Arial" w:cs="Arial"/>
          <w:lang w:val="en-US"/>
        </w:rPr>
        <w:t>6.50</w:t>
      </w:r>
      <w:bookmarkEnd w:id="562"/>
      <w:r w:rsidR="003114D0" w:rsidRPr="005F528A">
        <w:rPr>
          <w:rFonts w:ascii="Arial" w:eastAsia="Arial" w:hAnsi="Arial" w:cs="Arial"/>
          <w:lang w:val="en-US"/>
        </w:rPr>
        <w:t xml:space="preserve"> and the </w:t>
      </w:r>
      <w:bookmarkStart w:id="563" w:name="XBRL_CS_a6dcc773ad29410badcc50358a3160eb"/>
      <w:r w:rsidR="003114D0" w:rsidRPr="005F528A">
        <w:rPr>
          <w:rFonts w:ascii="Arial" w:eastAsia="Arial" w:hAnsi="Arial" w:cs="Arial"/>
          <w:lang w:val="en-US"/>
        </w:rPr>
        <w:t>10</w:t>
      </w:r>
      <w:bookmarkEnd w:id="563"/>
      <w:r w:rsidR="003114D0" w:rsidRPr="005F528A">
        <w:rPr>
          <w:rFonts w:ascii="Arial" w:eastAsia="Arial" w:hAnsi="Arial" w:cs="Arial"/>
          <w:lang w:val="en-US"/>
        </w:rPr>
        <w:noBreakHyphen/>
        <w:t>trading</w:t>
      </w:r>
      <w:r w:rsidR="003114D0" w:rsidRPr="005F528A">
        <w:rPr>
          <w:rFonts w:ascii="Arial" w:eastAsia="Arial" w:hAnsi="Arial" w:cs="Arial"/>
          <w:lang w:val="en-US"/>
        </w:rPr>
        <w:noBreakHyphen/>
        <w:t xml:space="preserve">day trailing VWAP of OceanPal’s common shares, subject to adjustment. Dividends are cumulative and accrue at the rate of </w:t>
      </w:r>
      <w:bookmarkStart w:id="564" w:name="XBRL_CS_0ab01f8bf81e405ca5c7cdca8022cee4"/>
      <w:r w:rsidR="003114D0" w:rsidRPr="005F528A">
        <w:rPr>
          <w:rFonts w:ascii="Arial" w:eastAsia="Arial" w:hAnsi="Arial" w:cs="Arial"/>
          <w:lang w:val="en-US"/>
        </w:rPr>
        <w:t>8</w:t>
      </w:r>
      <w:bookmarkEnd w:id="564"/>
      <w:r w:rsidR="003114D0" w:rsidRPr="005F528A">
        <w:rPr>
          <w:rFonts w:ascii="Arial" w:eastAsia="Arial" w:hAnsi="Arial" w:cs="Arial"/>
          <w:lang w:val="en-US"/>
        </w:rPr>
        <w:t xml:space="preserve">% per annum and are payable in cash or, at OceanPal’s </w:t>
      </w:r>
      <w:r w:rsidR="00296A99">
        <w:rPr>
          <w:rFonts w:ascii="Arial" w:eastAsia="Arial" w:hAnsi="Arial" w:cs="Arial"/>
          <w:lang w:val="en-US"/>
        </w:rPr>
        <w:t>option</w:t>
      </w:r>
      <w:r w:rsidR="003114D0" w:rsidRPr="005F528A">
        <w:rPr>
          <w:rFonts w:ascii="Arial" w:eastAsia="Arial" w:hAnsi="Arial" w:cs="Arial"/>
          <w:lang w:val="en-US"/>
        </w:rPr>
        <w:t>, in kind.</w:t>
      </w:r>
      <w:r w:rsidR="003114D0" w:rsidRPr="00711017">
        <w:rPr>
          <w:rFonts w:ascii="Arial" w:eastAsia="Arial" w:hAnsi="Arial" w:cs="Arial"/>
          <w:lang w:val="en-US"/>
        </w:rPr>
        <w:t xml:space="preserve"> </w:t>
      </w:r>
      <w:r w:rsidR="003114D0">
        <w:rPr>
          <w:rFonts w:ascii="Arial" w:eastAsia="Arial" w:hAnsi="Arial" w:cs="Arial"/>
          <w:lang w:val="en-US"/>
        </w:rPr>
        <w:t xml:space="preserve">As of </w:t>
      </w:r>
      <w:r w:rsidR="003114D0" w:rsidRPr="001B35B4">
        <w:rPr>
          <w:rFonts w:ascii="Arial" w:eastAsia="Arial" w:hAnsi="Arial" w:cs="Arial"/>
          <w:lang w:val="en-US"/>
        </w:rPr>
        <w:t>December 31</w:t>
      </w:r>
      <w:r w:rsidR="003114D0">
        <w:rPr>
          <w:rFonts w:ascii="Arial" w:eastAsia="Arial" w:hAnsi="Arial" w:cs="Arial"/>
          <w:lang w:val="en-US"/>
        </w:rPr>
        <w:t>, 2025 and 2024, the Company’s investment in the Series C preferred shares, amounted to $</w:t>
      </w:r>
      <w:bookmarkStart w:id="565" w:name="XBRL_CS_525aaed72f63446f89807aa5058ca997"/>
      <w:r w:rsidR="003114D0">
        <w:rPr>
          <w:rFonts w:ascii="Arial" w:eastAsia="Arial" w:hAnsi="Arial" w:cs="Arial"/>
          <w:lang w:val="en-US"/>
        </w:rPr>
        <w:t>180</w:t>
      </w:r>
      <w:bookmarkEnd w:id="565"/>
      <w:r w:rsidR="003114D0">
        <w:rPr>
          <w:rFonts w:ascii="Arial" w:eastAsia="Arial" w:hAnsi="Arial" w:cs="Arial"/>
          <w:lang w:val="en-US"/>
        </w:rPr>
        <w:t xml:space="preserve"> and $</w:t>
      </w:r>
      <w:bookmarkStart w:id="566" w:name="XBRL_CS_8ea759d3a7344e3b950f0ef74355a505"/>
      <w:r w:rsidR="003114D0">
        <w:rPr>
          <w:rFonts w:ascii="Arial" w:eastAsia="Arial" w:hAnsi="Arial" w:cs="Arial"/>
          <w:lang w:val="en-US"/>
        </w:rPr>
        <w:t>180</w:t>
      </w:r>
      <w:bookmarkEnd w:id="566"/>
      <w:r w:rsidR="003114D0">
        <w:rPr>
          <w:rFonts w:ascii="Arial" w:eastAsia="Arial" w:hAnsi="Arial" w:cs="Arial"/>
          <w:lang w:val="en-US"/>
        </w:rPr>
        <w:t xml:space="preserve">, respectively, included in </w:t>
      </w:r>
      <w:r w:rsidR="00F42602">
        <w:rPr>
          <w:rFonts w:ascii="Arial" w:eastAsia="Arial" w:hAnsi="Arial" w:cs="Arial"/>
          <w:lang w:val="en-US"/>
        </w:rPr>
        <w:t>i</w:t>
      </w:r>
      <w:r w:rsidR="00F42602" w:rsidRPr="00F42602">
        <w:rPr>
          <w:rFonts w:ascii="Arial" w:eastAsia="Arial" w:hAnsi="Arial" w:cs="Arial"/>
          <w:lang w:val="en-US"/>
        </w:rPr>
        <w:t>nvestments in a related party, current</w:t>
      </w:r>
      <w:r w:rsidR="003114D0" w:rsidRPr="00F77BC8">
        <w:rPr>
          <w:rFonts w:ascii="Arial" w:eastAsia="Arial" w:hAnsi="Arial" w:cs="Arial"/>
          <w:lang w:val="en-US"/>
        </w:rPr>
        <w:t xml:space="preserve"> and investments in a related </w:t>
      </w:r>
      <w:r w:rsidR="003114D0" w:rsidRPr="00445D9E">
        <w:rPr>
          <w:rFonts w:ascii="Arial" w:eastAsia="Arial" w:hAnsi="Arial" w:cs="Arial"/>
          <w:lang w:val="en-US"/>
        </w:rPr>
        <w:t>party</w:t>
      </w:r>
      <w:r w:rsidR="00F42602">
        <w:rPr>
          <w:rFonts w:ascii="Arial" w:eastAsia="Arial" w:hAnsi="Arial" w:cs="Arial"/>
          <w:lang w:val="en-US"/>
        </w:rPr>
        <w:t>, non-current</w:t>
      </w:r>
      <w:r w:rsidR="003114D0" w:rsidRPr="00445D9E">
        <w:rPr>
          <w:rFonts w:ascii="Arial" w:eastAsia="Arial" w:hAnsi="Arial" w:cs="Arial"/>
          <w:lang w:val="en-US"/>
        </w:rPr>
        <w:t>, respectively, in the accompanying consolidated balance sheets.</w:t>
      </w:r>
    </w:p>
    <w:p w14:paraId="71F3F6A1" w14:textId="77777777" w:rsidR="00FD1A5A" w:rsidRDefault="00FD1A5A" w:rsidP="00681C3A">
      <w:pPr>
        <w:pBdr>
          <w:top w:val="nil"/>
          <w:left w:val="nil"/>
          <w:bottom w:val="nil"/>
          <w:right w:val="nil"/>
          <w:between w:val="nil"/>
          <w:bar w:val="nil"/>
        </w:pBdr>
        <w:jc w:val="both"/>
        <w:rPr>
          <w:rFonts w:ascii="Arial" w:eastAsia="Arial" w:hAnsi="Arial" w:cs="Arial"/>
          <w:bdr w:val="nil"/>
          <w:lang w:val="en-US"/>
        </w:rPr>
      </w:pPr>
    </w:p>
    <w:p w14:paraId="71F3F6A2" w14:textId="77777777" w:rsidR="00711017" w:rsidRPr="005F528A" w:rsidRDefault="003A4815" w:rsidP="00711017">
      <w:pPr>
        <w:pBdr>
          <w:top w:val="nil"/>
          <w:left w:val="nil"/>
          <w:bottom w:val="nil"/>
          <w:right w:val="nil"/>
          <w:between w:val="nil"/>
          <w:bar w:val="nil"/>
        </w:pBdr>
        <w:jc w:val="both"/>
        <w:rPr>
          <w:rFonts w:ascii="Arial" w:eastAsia="Arial" w:hAnsi="Arial" w:cs="Arial"/>
          <w:bdr w:val="nil"/>
          <w:lang w:val="en-US"/>
        </w:rPr>
      </w:pPr>
      <w:r w:rsidRPr="005F528A">
        <w:rPr>
          <w:rFonts w:ascii="Arial" w:eastAsia="Arial" w:hAnsi="Arial" w:cs="Arial"/>
          <w:lang w:val="en-US"/>
        </w:rPr>
        <w:t xml:space="preserve">On October 17, 2023, the Company converted </w:t>
      </w:r>
      <w:bookmarkStart w:id="567" w:name="XBRL_CS_56290fef6623433c91a834bf47aa713f"/>
      <w:r w:rsidRPr="005F528A">
        <w:rPr>
          <w:rFonts w:ascii="Arial" w:eastAsia="Arial" w:hAnsi="Arial" w:cs="Arial"/>
          <w:lang w:val="en-US"/>
        </w:rPr>
        <w:t>9,793</w:t>
      </w:r>
      <w:bookmarkEnd w:id="567"/>
      <w:r w:rsidRPr="005F528A">
        <w:rPr>
          <w:rFonts w:ascii="Arial" w:eastAsia="Arial" w:hAnsi="Arial" w:cs="Arial"/>
          <w:lang w:val="en-US"/>
        </w:rPr>
        <w:t xml:space="preserve"> of its </w:t>
      </w:r>
      <w:bookmarkStart w:id="568" w:name="XBRL_CS_98fdb22841df442da871f1bfbf9a70ce"/>
      <w:r w:rsidRPr="005F528A">
        <w:rPr>
          <w:rFonts w:ascii="Arial" w:eastAsia="Arial" w:hAnsi="Arial" w:cs="Arial"/>
          <w:lang w:val="en-US"/>
        </w:rPr>
        <w:t>10,000</w:t>
      </w:r>
      <w:bookmarkEnd w:id="568"/>
      <w:r w:rsidRPr="005F528A">
        <w:rPr>
          <w:rFonts w:ascii="Arial" w:eastAsia="Arial" w:hAnsi="Arial" w:cs="Arial"/>
          <w:lang w:val="en-US"/>
        </w:rPr>
        <w:t xml:space="preserve"> Series C Preferred Shares into </w:t>
      </w:r>
      <w:bookmarkStart w:id="569" w:name="XBRL_CS_bd9a211f8f684c88964a58bb11ebef32"/>
      <w:r w:rsidRPr="005F528A">
        <w:rPr>
          <w:rFonts w:ascii="Arial" w:eastAsia="Arial" w:hAnsi="Arial" w:cs="Arial"/>
          <w:lang w:val="en-US"/>
        </w:rPr>
        <w:t>3,649,474</w:t>
      </w:r>
      <w:bookmarkEnd w:id="569"/>
      <w:r w:rsidRPr="005F528A">
        <w:rPr>
          <w:rFonts w:ascii="Arial" w:eastAsia="Arial" w:hAnsi="Arial" w:cs="Arial"/>
          <w:lang w:val="en-US"/>
        </w:rPr>
        <w:t xml:space="preserve"> common shares, having a fair value of $</w:t>
      </w:r>
      <w:bookmarkStart w:id="570" w:name="XBRL_CS_0021ee4aad4e4cc39b5e1fde1fe1ee6e"/>
      <w:r w:rsidRPr="005F528A">
        <w:rPr>
          <w:rFonts w:ascii="Arial" w:eastAsia="Arial" w:hAnsi="Arial" w:cs="Arial"/>
          <w:lang w:val="en-US"/>
        </w:rPr>
        <w:t>9,160</w:t>
      </w:r>
      <w:bookmarkEnd w:id="570"/>
      <w:r w:rsidRPr="005F528A">
        <w:rPr>
          <w:rFonts w:ascii="Arial" w:eastAsia="Arial" w:hAnsi="Arial" w:cs="Arial"/>
          <w:lang w:val="en-US"/>
        </w:rPr>
        <w:t xml:space="preserve"> based on Level 1 inputs of the fair value hierarchy, using the closing price of OceanPal’s common shares on the conversion date. Upon conversion, the Company recognized a gain of $</w:t>
      </w:r>
      <w:bookmarkStart w:id="571" w:name="XBRL_CS_49c676f7dc1542059ef7195fde64b953"/>
      <w:r w:rsidRPr="005F528A">
        <w:rPr>
          <w:rFonts w:ascii="Arial" w:eastAsia="Arial" w:hAnsi="Arial" w:cs="Arial"/>
          <w:lang w:val="en-US"/>
        </w:rPr>
        <w:t>1,742</w:t>
      </w:r>
      <w:bookmarkEnd w:id="571"/>
      <w:r w:rsidRPr="005F528A">
        <w:rPr>
          <w:rFonts w:ascii="Arial" w:eastAsia="Arial" w:hAnsi="Arial" w:cs="Arial"/>
          <w:lang w:val="en-US"/>
        </w:rPr>
        <w:t xml:space="preserve">, representing the excess of the fair value of the common shares received over the carrying amount of the Series C Preferred Shares derecognized. This </w:t>
      </w:r>
      <w:r w:rsidR="00296A99">
        <w:rPr>
          <w:rFonts w:ascii="Arial" w:eastAsia="Arial" w:hAnsi="Arial" w:cs="Arial"/>
          <w:lang w:val="en-US"/>
        </w:rPr>
        <w:t>gain</w:t>
      </w:r>
      <w:r w:rsidRPr="005F528A">
        <w:rPr>
          <w:rFonts w:ascii="Arial" w:eastAsia="Arial" w:hAnsi="Arial" w:cs="Arial"/>
          <w:lang w:val="en-US"/>
        </w:rPr>
        <w:t xml:space="preserve"> is included in gain/(loss) on related party investments in the accompanying consolidated statements of income. Following the conversion, the Company became the beneficial owner of </w:t>
      </w:r>
      <w:bookmarkStart w:id="572" w:name="XBRL_CS_0a68b126af964eb5afaee3e9499e47d0"/>
      <w:r w:rsidRPr="005F528A">
        <w:rPr>
          <w:rFonts w:ascii="Arial" w:eastAsia="Arial" w:hAnsi="Arial" w:cs="Arial"/>
          <w:lang w:val="en-US"/>
        </w:rPr>
        <w:t>49</w:t>
      </w:r>
      <w:bookmarkEnd w:id="572"/>
      <w:r w:rsidRPr="005F528A">
        <w:rPr>
          <w:rFonts w:ascii="Arial" w:eastAsia="Arial" w:hAnsi="Arial" w:cs="Arial"/>
          <w:lang w:val="en-US"/>
        </w:rPr>
        <w:t>% of OceanPal’s outstanding common stock and, as the shares are listed on NASDAQ, the Company elected to account for its ownership interest in OceanPal at fair value.</w:t>
      </w:r>
    </w:p>
    <w:p w14:paraId="71F3F6A3" w14:textId="77777777" w:rsidR="00711017" w:rsidRDefault="00711017" w:rsidP="001C062E">
      <w:pPr>
        <w:pBdr>
          <w:top w:val="nil"/>
          <w:left w:val="nil"/>
          <w:bottom w:val="nil"/>
          <w:right w:val="nil"/>
          <w:between w:val="nil"/>
          <w:bar w:val="nil"/>
        </w:pBdr>
        <w:jc w:val="both"/>
        <w:rPr>
          <w:rFonts w:ascii="Arial" w:eastAsia="Arial" w:hAnsi="Arial" w:cs="Arial"/>
          <w:bdr w:val="nil"/>
          <w:lang w:val="en-US"/>
        </w:rPr>
      </w:pPr>
    </w:p>
    <w:p w14:paraId="71F3F6A4" w14:textId="77777777" w:rsidR="008F4D09" w:rsidRDefault="003A4815" w:rsidP="001C062E">
      <w:pPr>
        <w:pBdr>
          <w:top w:val="nil"/>
          <w:left w:val="nil"/>
          <w:bottom w:val="nil"/>
          <w:right w:val="nil"/>
          <w:between w:val="nil"/>
          <w:bar w:val="nil"/>
        </w:pBdr>
        <w:jc w:val="both"/>
        <w:rPr>
          <w:rFonts w:ascii="Arial" w:eastAsia="Arial" w:hAnsi="Arial" w:cs="Arial"/>
          <w:bdr w:val="nil"/>
          <w:lang w:val="en-US"/>
        </w:rPr>
      </w:pPr>
      <w:r w:rsidRPr="008D7A5D">
        <w:rPr>
          <w:rFonts w:ascii="Arial" w:eastAsia="Arial" w:hAnsi="Arial" w:cs="Arial"/>
          <w:lang w:val="en-US"/>
        </w:rPr>
        <w:t xml:space="preserve">As </w:t>
      </w:r>
      <w:r w:rsidRPr="00437B7D">
        <w:rPr>
          <w:rFonts w:ascii="Arial" w:eastAsia="Arial" w:hAnsi="Arial" w:cs="Arial"/>
          <w:lang w:val="en-US"/>
        </w:rPr>
        <w:t xml:space="preserve">of December 31, 2024, the Company </w:t>
      </w:r>
      <w:r w:rsidR="00843BD1">
        <w:rPr>
          <w:rFonts w:ascii="Arial" w:eastAsia="Arial" w:hAnsi="Arial" w:cs="Arial"/>
          <w:lang w:val="en-US"/>
        </w:rPr>
        <w:t>held</w:t>
      </w:r>
      <w:r>
        <w:rPr>
          <w:rFonts w:ascii="Arial" w:eastAsia="Arial" w:hAnsi="Arial" w:cs="Arial"/>
          <w:bdr w:val="none" w:sz="0" w:space="0" w:color="auto" w:frame="1"/>
          <w:lang w:val="en-US"/>
        </w:rPr>
        <w:t xml:space="preserve"> </w:t>
      </w:r>
      <w:bookmarkStart w:id="573" w:name="XBRL_CS_522bd52f754640a5aa1863022d8e4ad5"/>
      <w:r w:rsidRPr="00437B7D">
        <w:rPr>
          <w:rFonts w:ascii="Arial" w:eastAsia="Arial" w:hAnsi="Arial" w:cs="Arial"/>
          <w:bdr w:val="none" w:sz="0" w:space="0" w:color="auto" w:frame="1"/>
          <w:lang w:val="en-US"/>
        </w:rPr>
        <w:t>3,649,474</w:t>
      </w:r>
      <w:bookmarkEnd w:id="573"/>
      <w:r w:rsidRPr="00437B7D">
        <w:rPr>
          <w:rFonts w:ascii="Arial" w:eastAsia="Arial" w:hAnsi="Arial" w:cs="Arial"/>
          <w:bdr w:val="none" w:sz="0" w:space="0" w:color="auto" w:frame="1"/>
          <w:lang w:val="en-US"/>
        </w:rPr>
        <w:t xml:space="preserve"> shares of OceanPal’s common stock.</w:t>
      </w:r>
      <w:r>
        <w:rPr>
          <w:rFonts w:ascii="Arial" w:eastAsia="Arial" w:hAnsi="Arial" w:cs="Arial"/>
          <w:bdr w:val="none" w:sz="0" w:space="0" w:color="auto" w:frame="1"/>
          <w:lang w:val="en-US"/>
        </w:rPr>
        <w:t xml:space="preserve"> </w:t>
      </w:r>
      <w:r w:rsidR="00843BD1">
        <w:rPr>
          <w:rFonts w:ascii="Arial" w:eastAsia="Arial" w:hAnsi="Arial" w:cs="Arial"/>
          <w:lang w:val="en-US"/>
        </w:rPr>
        <w:t xml:space="preserve">During </w:t>
      </w:r>
      <w:r w:rsidR="003114D0">
        <w:rPr>
          <w:rFonts w:ascii="Arial" w:eastAsia="Arial" w:hAnsi="Arial" w:cs="Arial"/>
          <w:lang w:val="en-US"/>
        </w:rPr>
        <w:t xml:space="preserve">2025, </w:t>
      </w:r>
      <w:r w:rsidR="00843BD1" w:rsidRPr="00843BD1">
        <w:rPr>
          <w:rFonts w:ascii="Arial" w:eastAsia="Arial" w:hAnsi="Arial" w:cs="Arial"/>
          <w:lang w:val="en-US"/>
        </w:rPr>
        <w:t xml:space="preserve">OceanPal completed a series of common stock issuances and effected a reverse stock split, resulting in a significant dilution of the Company’s ownership interest to </w:t>
      </w:r>
      <w:bookmarkStart w:id="574" w:name="XBRL_CS_1252d5f2e1f746099dd415a74633e9e4"/>
      <w:r w:rsidR="00843BD1" w:rsidRPr="00843BD1">
        <w:rPr>
          <w:rFonts w:ascii="Arial" w:eastAsia="Arial" w:hAnsi="Arial" w:cs="Arial"/>
          <w:lang w:val="en-US"/>
        </w:rPr>
        <w:t>145,978</w:t>
      </w:r>
      <w:bookmarkEnd w:id="574"/>
      <w:r w:rsidR="00843BD1" w:rsidRPr="00843BD1">
        <w:rPr>
          <w:rFonts w:ascii="Arial" w:eastAsia="Arial" w:hAnsi="Arial" w:cs="Arial"/>
          <w:lang w:val="en-US"/>
        </w:rPr>
        <w:t xml:space="preserve"> common shares</w:t>
      </w:r>
      <w:r w:rsidR="00843BD1">
        <w:rPr>
          <w:rFonts w:ascii="Arial" w:eastAsia="Arial" w:hAnsi="Arial" w:cs="Arial"/>
          <w:lang w:val="en-US"/>
        </w:rPr>
        <w:t xml:space="preserve"> as of </w:t>
      </w:r>
      <w:r w:rsidR="00843BD1" w:rsidRPr="00437B7D">
        <w:rPr>
          <w:rFonts w:ascii="Arial" w:eastAsia="Arial" w:hAnsi="Arial" w:cs="Arial"/>
          <w:lang w:val="en-US"/>
        </w:rPr>
        <w:t>December 31, 2025</w:t>
      </w:r>
      <w:r>
        <w:rPr>
          <w:rFonts w:ascii="Arial" w:eastAsia="Arial" w:hAnsi="Arial" w:cs="Arial"/>
          <w:lang w:val="en-US"/>
        </w:rPr>
        <w:t>, resulting in</w:t>
      </w:r>
      <w:r w:rsidR="007F30CB">
        <w:rPr>
          <w:rFonts w:ascii="Arial" w:eastAsia="Arial" w:hAnsi="Arial" w:cs="Arial"/>
          <w:lang w:val="en-US"/>
        </w:rPr>
        <w:t xml:space="preserve"> a</w:t>
      </w:r>
      <w:r>
        <w:rPr>
          <w:rFonts w:ascii="Arial" w:eastAsia="Arial" w:hAnsi="Arial" w:cs="Arial"/>
          <w:lang w:val="en-US"/>
        </w:rPr>
        <w:t xml:space="preserve"> loss of $</w:t>
      </w:r>
      <w:bookmarkStart w:id="575" w:name="XBRL_CS_ebe6368f9e99489f83e5cdc74f0601e1"/>
      <w:r>
        <w:rPr>
          <w:rFonts w:ascii="Arial" w:eastAsia="Arial" w:hAnsi="Arial" w:cs="Arial"/>
          <w:lang w:val="en-US"/>
        </w:rPr>
        <w:t>4,07</w:t>
      </w:r>
      <w:r w:rsidR="00D90FD7">
        <w:rPr>
          <w:rFonts w:ascii="Arial" w:eastAsia="Arial" w:hAnsi="Arial" w:cs="Arial"/>
          <w:lang w:val="en-US"/>
        </w:rPr>
        <w:t>7</w:t>
      </w:r>
      <w:bookmarkEnd w:id="575"/>
      <w:r>
        <w:rPr>
          <w:rFonts w:ascii="Arial" w:eastAsia="Arial" w:hAnsi="Arial" w:cs="Arial"/>
          <w:lang w:val="en-US"/>
        </w:rPr>
        <w:t xml:space="preserve"> </w:t>
      </w:r>
      <w:r w:rsidRPr="00A9390E">
        <w:rPr>
          <w:rFonts w:ascii="Arial" w:eastAsia="Arial" w:hAnsi="Arial" w:cs="Arial"/>
          <w:lang w:val="en-US"/>
        </w:rPr>
        <w:t xml:space="preserve">included in gain/(loss) on related party investments, in the </w:t>
      </w:r>
      <w:r>
        <w:rPr>
          <w:rFonts w:ascii="Arial" w:eastAsia="Arial" w:hAnsi="Arial" w:cs="Arial"/>
          <w:lang w:val="en-US"/>
        </w:rPr>
        <w:t xml:space="preserve">2025 </w:t>
      </w:r>
      <w:r w:rsidRPr="00A9390E">
        <w:rPr>
          <w:rFonts w:ascii="Arial" w:eastAsia="Arial" w:hAnsi="Arial" w:cs="Arial"/>
          <w:lang w:val="en-US"/>
        </w:rPr>
        <w:t>consolidated statement of income</w:t>
      </w:r>
      <w:r w:rsidR="00843BD1">
        <w:rPr>
          <w:rFonts w:ascii="Arial" w:eastAsia="Arial" w:hAnsi="Arial" w:cs="Arial"/>
          <w:bdr w:val="none" w:sz="0" w:space="0" w:color="auto" w:frame="1"/>
          <w:lang w:val="en-US"/>
        </w:rPr>
        <w:t xml:space="preserve">. </w:t>
      </w:r>
      <w:r w:rsidR="003114D0" w:rsidRPr="005F528A">
        <w:rPr>
          <w:rFonts w:ascii="Arial" w:eastAsia="Arial" w:hAnsi="Arial" w:cs="Arial"/>
          <w:lang w:val="en-US"/>
        </w:rPr>
        <w:t xml:space="preserve">As a result of this </w:t>
      </w:r>
      <w:r w:rsidR="00843BD1">
        <w:rPr>
          <w:rFonts w:ascii="Arial" w:eastAsia="Arial" w:hAnsi="Arial" w:cs="Arial"/>
          <w:lang w:val="en-US"/>
        </w:rPr>
        <w:t>dilution</w:t>
      </w:r>
      <w:r w:rsidR="00843BD1" w:rsidRPr="00843BD1">
        <w:rPr>
          <w:rFonts w:ascii="Arial" w:eastAsia="Arial" w:hAnsi="Arial" w:cs="Arial"/>
          <w:lang w:val="en-US"/>
        </w:rPr>
        <w:t>,</w:t>
      </w:r>
      <w:r w:rsidR="003114D0" w:rsidRPr="00843BD1">
        <w:rPr>
          <w:rFonts w:ascii="Arial" w:eastAsia="Arial" w:hAnsi="Arial" w:cs="Arial"/>
          <w:lang w:val="en-US"/>
        </w:rPr>
        <w:t xml:space="preserve"> the Company </w:t>
      </w:r>
      <w:r w:rsidR="00843BD1" w:rsidRPr="00843BD1">
        <w:rPr>
          <w:rFonts w:ascii="Arial" w:eastAsia="Arial" w:hAnsi="Arial" w:cs="Arial"/>
          <w:lang w:val="en-US"/>
        </w:rPr>
        <w:t>concluded</w:t>
      </w:r>
      <w:r w:rsidR="003114D0" w:rsidRPr="00843BD1">
        <w:rPr>
          <w:rFonts w:ascii="Arial" w:eastAsia="Arial" w:hAnsi="Arial" w:cs="Arial"/>
          <w:lang w:val="en-US"/>
        </w:rPr>
        <w:t xml:space="preserve"> </w:t>
      </w:r>
      <w:r w:rsidR="00843BD1" w:rsidRPr="00843BD1">
        <w:rPr>
          <w:rFonts w:ascii="Arial" w:eastAsia="Arial" w:hAnsi="Arial" w:cs="Arial"/>
          <w:lang w:val="en-US"/>
        </w:rPr>
        <w:t>that it no longer exercises significant influence over OceanPal, and therefore the investment no longer qualifies for the equity method under ASC 323. The discontinuation of the equity method did not affect the measurement of the investment, as the Company had previously elected the fair value option for its holdings in OceanPal. Accordingly, the investment continues to be carried at fair value, with changes in fair value recognized in earnings.</w:t>
      </w:r>
      <w:r w:rsidR="008747D3">
        <w:rPr>
          <w:rFonts w:ascii="Arial" w:eastAsia="Arial" w:hAnsi="Arial" w:cs="Arial"/>
          <w:lang w:val="en-US"/>
        </w:rPr>
        <w:t xml:space="preserve"> </w:t>
      </w:r>
      <w:r w:rsidR="003114D0" w:rsidRPr="008D7A5D">
        <w:rPr>
          <w:rFonts w:ascii="Arial" w:eastAsia="Arial" w:hAnsi="Arial" w:cs="Arial"/>
          <w:lang w:val="en-US"/>
        </w:rPr>
        <w:t>As of December 31, 2025 and 2024,</w:t>
      </w:r>
      <w:r w:rsidR="007F5D69">
        <w:rPr>
          <w:rFonts w:ascii="Arial" w:eastAsia="Arial" w:hAnsi="Arial" w:cs="Arial"/>
          <w:lang w:val="en-US"/>
        </w:rPr>
        <w:t xml:space="preserve"> the Company’s investment in the common stock of OceanPal amounted to $</w:t>
      </w:r>
      <w:bookmarkStart w:id="576" w:name="XBRL_CS_081190e1699b49a7a176360df20548ab"/>
      <w:r w:rsidR="007F5D69">
        <w:rPr>
          <w:rFonts w:ascii="Arial" w:eastAsia="Arial" w:hAnsi="Arial" w:cs="Arial"/>
          <w:lang w:val="en-US"/>
        </w:rPr>
        <w:t>158</w:t>
      </w:r>
      <w:bookmarkEnd w:id="576"/>
      <w:r w:rsidR="003114D0">
        <w:rPr>
          <w:rFonts w:ascii="Arial" w:eastAsia="Arial" w:hAnsi="Arial" w:cs="Arial"/>
          <w:lang w:val="en-US"/>
        </w:rPr>
        <w:t xml:space="preserve"> and $</w:t>
      </w:r>
      <w:bookmarkStart w:id="577" w:name="XBRL_CS_1b0555e4e69f4cf8a7a5e28838de5037"/>
      <w:r w:rsidR="003114D0">
        <w:rPr>
          <w:rFonts w:ascii="Arial" w:eastAsia="Arial" w:hAnsi="Arial" w:cs="Arial"/>
          <w:lang w:val="en-US"/>
        </w:rPr>
        <w:t>4,235</w:t>
      </w:r>
      <w:bookmarkEnd w:id="577"/>
      <w:r w:rsidR="00F0376A">
        <w:rPr>
          <w:rFonts w:ascii="Arial" w:eastAsia="Arial" w:hAnsi="Arial" w:cs="Arial"/>
          <w:lang w:val="en-US"/>
        </w:rPr>
        <w:t>,</w:t>
      </w:r>
      <w:r w:rsidR="003114D0">
        <w:rPr>
          <w:rFonts w:ascii="Arial" w:eastAsia="Arial" w:hAnsi="Arial" w:cs="Arial"/>
          <w:lang w:val="en-US"/>
        </w:rPr>
        <w:t xml:space="preserve"> respectively,</w:t>
      </w:r>
      <w:r w:rsidR="00F0376A">
        <w:rPr>
          <w:rFonts w:ascii="Arial" w:eastAsia="Arial" w:hAnsi="Arial" w:cs="Arial"/>
          <w:lang w:val="en-US"/>
        </w:rPr>
        <w:t xml:space="preserve"> </w:t>
      </w:r>
      <w:r w:rsidR="00A9390E" w:rsidRPr="00A9390E">
        <w:rPr>
          <w:rFonts w:ascii="Arial" w:eastAsia="Arial" w:hAnsi="Arial" w:cs="Arial"/>
          <w:lang w:val="en-US"/>
        </w:rPr>
        <w:t xml:space="preserve">included </w:t>
      </w:r>
      <w:r w:rsidR="00EC1D82">
        <w:rPr>
          <w:rFonts w:ascii="Arial" w:eastAsia="Arial" w:hAnsi="Arial" w:cs="Arial"/>
          <w:lang w:val="en-US"/>
        </w:rPr>
        <w:t xml:space="preserve">in </w:t>
      </w:r>
      <w:r w:rsidR="00F42602">
        <w:rPr>
          <w:rFonts w:ascii="Arial" w:eastAsia="Arial" w:hAnsi="Arial" w:cs="Arial"/>
          <w:lang w:val="en-US"/>
        </w:rPr>
        <w:t>i</w:t>
      </w:r>
      <w:r w:rsidR="00F42602" w:rsidRPr="00F42602">
        <w:rPr>
          <w:rFonts w:ascii="Arial" w:eastAsia="Arial" w:hAnsi="Arial" w:cs="Arial"/>
          <w:lang w:val="en-US"/>
        </w:rPr>
        <w:t>nvestments in a related party, current</w:t>
      </w:r>
      <w:r w:rsidR="00F42602" w:rsidRPr="00F77BC8">
        <w:rPr>
          <w:rFonts w:ascii="Arial" w:eastAsia="Arial" w:hAnsi="Arial" w:cs="Arial"/>
          <w:lang w:val="en-US"/>
        </w:rPr>
        <w:t xml:space="preserve"> and investments in a related </w:t>
      </w:r>
      <w:r w:rsidR="00F42602" w:rsidRPr="00445D9E">
        <w:rPr>
          <w:rFonts w:ascii="Arial" w:eastAsia="Arial" w:hAnsi="Arial" w:cs="Arial"/>
          <w:lang w:val="en-US"/>
        </w:rPr>
        <w:t>party</w:t>
      </w:r>
      <w:r w:rsidR="00F42602">
        <w:rPr>
          <w:rFonts w:ascii="Arial" w:eastAsia="Arial" w:hAnsi="Arial" w:cs="Arial"/>
          <w:lang w:val="en-US"/>
        </w:rPr>
        <w:t>, non-current</w:t>
      </w:r>
      <w:r w:rsidR="00F42602" w:rsidRPr="00445D9E">
        <w:rPr>
          <w:rFonts w:ascii="Arial" w:eastAsia="Arial" w:hAnsi="Arial" w:cs="Arial"/>
          <w:lang w:val="en-US"/>
        </w:rPr>
        <w:t>, respectively</w:t>
      </w:r>
      <w:r w:rsidR="00937783">
        <w:rPr>
          <w:rFonts w:ascii="Arial" w:eastAsia="Arial" w:hAnsi="Arial" w:cs="Arial"/>
          <w:lang w:val="en-US"/>
        </w:rPr>
        <w:t xml:space="preserve">. </w:t>
      </w:r>
    </w:p>
    <w:p w14:paraId="71F3F6A5" w14:textId="77777777" w:rsidR="008F4D09" w:rsidRDefault="008F4D09" w:rsidP="001C062E">
      <w:pPr>
        <w:pBdr>
          <w:top w:val="nil"/>
          <w:left w:val="nil"/>
          <w:bottom w:val="nil"/>
          <w:right w:val="nil"/>
          <w:between w:val="nil"/>
          <w:bar w:val="nil"/>
        </w:pBdr>
        <w:jc w:val="both"/>
        <w:rPr>
          <w:rFonts w:ascii="Arial" w:eastAsia="Arial" w:hAnsi="Arial" w:cs="Arial"/>
          <w:bdr w:val="nil"/>
          <w:lang w:val="en-US"/>
        </w:rPr>
      </w:pPr>
    </w:p>
    <w:p w14:paraId="71F3F6A6" w14:textId="77777777" w:rsidR="001C062E" w:rsidRPr="006C3982" w:rsidRDefault="003A4815" w:rsidP="001C062E">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 xml:space="preserve">In </w:t>
      </w:r>
      <w:r w:rsidRPr="008D7A5D">
        <w:rPr>
          <w:rFonts w:ascii="Arial" w:eastAsia="Arial" w:hAnsi="Arial" w:cs="Arial"/>
          <w:lang w:val="en-US"/>
        </w:rPr>
        <w:t>2025</w:t>
      </w:r>
      <w:r w:rsidR="002D4594">
        <w:rPr>
          <w:rFonts w:ascii="Arial" w:eastAsia="Arial" w:hAnsi="Arial" w:cs="Arial"/>
          <w:lang w:val="en-US"/>
        </w:rPr>
        <w:t xml:space="preserve">, </w:t>
      </w:r>
      <w:r w:rsidRPr="008D7A5D">
        <w:rPr>
          <w:rFonts w:ascii="Arial" w:eastAsia="Arial" w:hAnsi="Arial" w:cs="Arial"/>
          <w:lang w:val="en-US"/>
        </w:rPr>
        <w:t>2024</w:t>
      </w:r>
      <w:r w:rsidR="002D4594" w:rsidRPr="002D4594">
        <w:rPr>
          <w:rFonts w:ascii="Arial" w:eastAsia="Arial" w:hAnsi="Arial" w:cs="Arial"/>
          <w:lang w:val="en-US"/>
        </w:rPr>
        <w:t xml:space="preserve"> </w:t>
      </w:r>
      <w:r w:rsidR="002D4594" w:rsidRPr="008D7A5D">
        <w:rPr>
          <w:rFonts w:ascii="Arial" w:eastAsia="Arial" w:hAnsi="Arial" w:cs="Arial"/>
          <w:lang w:val="en-US"/>
        </w:rPr>
        <w:t>and 2023</w:t>
      </w:r>
      <w:r w:rsidRPr="008D7A5D">
        <w:rPr>
          <w:rFonts w:ascii="Arial" w:eastAsia="Arial" w:hAnsi="Arial" w:cs="Arial"/>
          <w:lang w:val="en-US"/>
        </w:rPr>
        <w:t>,</w:t>
      </w:r>
      <w:r>
        <w:rPr>
          <w:rFonts w:ascii="Arial" w:eastAsia="Arial" w:hAnsi="Arial" w:cs="Arial"/>
          <w:lang w:val="en-US"/>
        </w:rPr>
        <w:t xml:space="preserve"> </w:t>
      </w:r>
      <w:r w:rsidR="008747D3" w:rsidRPr="008747D3">
        <w:rPr>
          <w:rFonts w:ascii="Arial" w:eastAsia="Arial" w:hAnsi="Arial" w:cs="Arial"/>
          <w:lang w:val="en-US"/>
        </w:rPr>
        <w:t>changes in the fair value of the Company’s investment in OceanPal common shares</w:t>
      </w:r>
      <w:r w:rsidR="008F4D09">
        <w:rPr>
          <w:rFonts w:ascii="Arial" w:eastAsia="Arial" w:hAnsi="Arial" w:cs="Arial"/>
          <w:lang w:val="en-US"/>
        </w:rPr>
        <w:t xml:space="preserve"> and preferred shares</w:t>
      </w:r>
      <w:r w:rsidR="008747D3" w:rsidRPr="008747D3">
        <w:rPr>
          <w:rFonts w:ascii="Arial" w:eastAsia="Arial" w:hAnsi="Arial" w:cs="Arial"/>
          <w:lang w:val="en-US"/>
        </w:rPr>
        <w:t xml:space="preserve"> resulted in losses</w:t>
      </w:r>
      <w:r w:rsidR="008747D3">
        <w:rPr>
          <w:rFonts w:ascii="Arial" w:eastAsia="Arial" w:hAnsi="Arial" w:cs="Arial"/>
          <w:lang w:val="en-US"/>
        </w:rPr>
        <w:t xml:space="preserve"> </w:t>
      </w:r>
      <w:r w:rsidR="00A9390E" w:rsidRPr="00A9390E">
        <w:rPr>
          <w:rFonts w:ascii="Arial" w:eastAsia="Arial" w:hAnsi="Arial" w:cs="Arial"/>
          <w:lang w:val="en-US"/>
        </w:rPr>
        <w:t>of $</w:t>
      </w:r>
      <w:bookmarkStart w:id="578" w:name="XBRL_CS_06f28aa95a1444dc8e42c39dfd2fa6b2"/>
      <w:r w:rsidR="00A9390E" w:rsidRPr="00A9390E">
        <w:rPr>
          <w:rFonts w:ascii="Arial" w:eastAsia="Arial" w:hAnsi="Arial" w:cs="Arial"/>
          <w:lang w:val="en-US"/>
        </w:rPr>
        <w:t>1,072</w:t>
      </w:r>
      <w:bookmarkEnd w:id="578"/>
      <w:r w:rsidR="002D4594">
        <w:rPr>
          <w:rFonts w:ascii="Arial" w:eastAsia="Arial" w:hAnsi="Arial" w:cs="Arial"/>
          <w:lang w:val="en-US"/>
        </w:rPr>
        <w:t>,</w:t>
      </w:r>
      <w:r w:rsidR="00A9390E" w:rsidRPr="00A9390E">
        <w:rPr>
          <w:rFonts w:ascii="Arial" w:eastAsia="Arial" w:hAnsi="Arial" w:cs="Arial"/>
          <w:lang w:val="en-US"/>
        </w:rPr>
        <w:t xml:space="preserve"> $</w:t>
      </w:r>
      <w:bookmarkStart w:id="579" w:name="XBRL_CS_9eabbf19e19a4a25adb7ff482c4d8e41"/>
      <w:r w:rsidR="001352D6">
        <w:rPr>
          <w:rFonts w:ascii="Arial" w:eastAsia="Arial" w:hAnsi="Arial" w:cs="Arial"/>
          <w:lang w:val="en-US"/>
        </w:rPr>
        <w:t>3</w:t>
      </w:r>
      <w:r w:rsidR="00A9390E" w:rsidRPr="00A9390E">
        <w:rPr>
          <w:rFonts w:ascii="Arial" w:eastAsia="Arial" w:hAnsi="Arial" w:cs="Arial"/>
          <w:lang w:val="en-US"/>
        </w:rPr>
        <w:t>,</w:t>
      </w:r>
      <w:r w:rsidR="001352D6">
        <w:rPr>
          <w:rFonts w:ascii="Arial" w:eastAsia="Arial" w:hAnsi="Arial" w:cs="Arial"/>
          <w:lang w:val="en-US"/>
        </w:rPr>
        <w:t>905</w:t>
      </w:r>
      <w:bookmarkEnd w:id="579"/>
      <w:r w:rsidR="002D4594">
        <w:rPr>
          <w:rFonts w:ascii="Arial" w:eastAsia="Arial" w:hAnsi="Arial" w:cs="Arial"/>
          <w:lang w:val="en-US"/>
        </w:rPr>
        <w:t xml:space="preserve"> and $</w:t>
      </w:r>
      <w:bookmarkStart w:id="580" w:name="XBRL_CS_80b00f2df3ea4b2e8c2c37033663228d"/>
      <w:r w:rsidR="002D4594">
        <w:rPr>
          <w:rFonts w:ascii="Arial" w:eastAsia="Arial" w:hAnsi="Arial" w:cs="Arial"/>
          <w:lang w:val="en-US"/>
        </w:rPr>
        <w:t>1,022</w:t>
      </w:r>
      <w:bookmarkEnd w:id="580"/>
      <w:r w:rsidR="00A9390E" w:rsidRPr="00A9390E">
        <w:rPr>
          <w:rFonts w:ascii="Arial" w:eastAsia="Arial" w:hAnsi="Arial" w:cs="Arial"/>
          <w:lang w:val="en-US"/>
        </w:rPr>
        <w:t xml:space="preserve">, respectively, </w:t>
      </w:r>
      <w:r w:rsidR="008F4D09">
        <w:rPr>
          <w:rFonts w:ascii="Arial" w:eastAsia="Arial" w:hAnsi="Arial" w:cs="Arial"/>
          <w:lang w:val="en-US"/>
        </w:rPr>
        <w:t xml:space="preserve">presented </w:t>
      </w:r>
      <w:r w:rsidR="00A9390E" w:rsidRPr="00A9390E">
        <w:rPr>
          <w:rFonts w:ascii="Arial" w:eastAsia="Arial" w:hAnsi="Arial" w:cs="Arial"/>
          <w:lang w:val="en-US"/>
        </w:rPr>
        <w:t>in gain/(loss) on related party investments, in the consolidated statements of income.</w:t>
      </w:r>
    </w:p>
    <w:p w14:paraId="71F3F6A7" w14:textId="77777777" w:rsidR="00FB68D6" w:rsidRPr="00445D9E" w:rsidRDefault="00FB68D6" w:rsidP="00FB68D6">
      <w:pPr>
        <w:pBdr>
          <w:top w:val="nil"/>
          <w:left w:val="nil"/>
          <w:bottom w:val="nil"/>
          <w:right w:val="nil"/>
          <w:between w:val="nil"/>
          <w:bar w:val="nil"/>
        </w:pBdr>
        <w:jc w:val="both"/>
        <w:rPr>
          <w:rFonts w:ascii="Arial" w:eastAsia="Arial" w:hAnsi="Arial" w:cs="Arial"/>
          <w:bdr w:val="nil"/>
          <w:lang w:val="en-US"/>
        </w:rPr>
      </w:pPr>
    </w:p>
    <w:p w14:paraId="71F3F6A8" w14:textId="77777777" w:rsidR="002F63A8" w:rsidRPr="0023726F" w:rsidRDefault="003A4815" w:rsidP="002F63A8">
      <w:pPr>
        <w:pBdr>
          <w:top w:val="nil"/>
          <w:left w:val="nil"/>
          <w:bottom w:val="nil"/>
          <w:right w:val="nil"/>
          <w:between w:val="nil"/>
          <w:bar w:val="nil"/>
        </w:pBdr>
        <w:jc w:val="both"/>
        <w:rPr>
          <w:rFonts w:ascii="Arial" w:eastAsia="Arial" w:hAnsi="Arial" w:cs="Arial"/>
          <w:bdr w:val="nil"/>
          <w:lang w:val="en-US"/>
        </w:rPr>
      </w:pPr>
      <w:r w:rsidRPr="00445D9E">
        <w:rPr>
          <w:rFonts w:ascii="Arial" w:eastAsia="Arial" w:hAnsi="Arial" w:cs="Arial"/>
          <w:bdr w:val="none" w:sz="0" w:space="0" w:color="auto" w:frame="1"/>
          <w:lang w:val="en-US"/>
        </w:rPr>
        <w:t>In 2023</w:t>
      </w:r>
      <w:r w:rsidR="00225E65" w:rsidRPr="00445D9E">
        <w:rPr>
          <w:rFonts w:ascii="Arial" w:eastAsia="Arial" w:hAnsi="Arial" w:cs="Arial"/>
          <w:bdr w:val="none" w:sz="0" w:space="0" w:color="auto" w:frame="1"/>
          <w:lang w:val="en-US"/>
        </w:rPr>
        <w:t xml:space="preserve">, the Company distributed </w:t>
      </w:r>
      <w:bookmarkStart w:id="581" w:name="XBRL_CS_62b82cd2141943b09c15e01d445ae32a"/>
      <w:r w:rsidRPr="00445D9E">
        <w:rPr>
          <w:rFonts w:ascii="Arial" w:eastAsia="Arial" w:hAnsi="Arial" w:cs="Arial"/>
          <w:lang w:val="en-US"/>
        </w:rPr>
        <w:t>13,157</w:t>
      </w:r>
      <w:bookmarkEnd w:id="581"/>
      <w:r w:rsidRPr="00445D9E">
        <w:rPr>
          <w:rFonts w:ascii="Arial" w:eastAsia="Arial" w:hAnsi="Arial" w:cs="Arial"/>
          <w:lang w:val="en-US"/>
        </w:rPr>
        <w:t xml:space="preserve"> </w:t>
      </w:r>
      <w:r w:rsidR="0023726F" w:rsidRPr="00445D9E">
        <w:rPr>
          <w:rFonts w:ascii="Arial" w:eastAsia="Arial" w:hAnsi="Arial" w:cs="Arial"/>
          <w:lang w:val="en-US"/>
        </w:rPr>
        <w:t xml:space="preserve">Series D Preferred </w:t>
      </w:r>
      <w:r w:rsidR="00B67783" w:rsidRPr="00445D9E">
        <w:rPr>
          <w:rFonts w:ascii="Arial" w:eastAsia="Arial" w:hAnsi="Arial" w:cs="Arial"/>
          <w:lang w:val="en-US"/>
        </w:rPr>
        <w:t>Shares</w:t>
      </w:r>
      <w:r w:rsidR="00A94E63" w:rsidRPr="00445D9E">
        <w:rPr>
          <w:rFonts w:ascii="Arial" w:eastAsia="Arial" w:hAnsi="Arial" w:cs="Arial"/>
          <w:lang w:val="en-US"/>
        </w:rPr>
        <w:t xml:space="preserve"> </w:t>
      </w:r>
      <w:r w:rsidR="00A94E63" w:rsidRPr="00445D9E">
        <w:rPr>
          <w:rFonts w:ascii="Arial" w:eastAsia="Arial" w:hAnsi="Arial" w:cs="Arial"/>
          <w:bdr w:val="none" w:sz="0" w:space="0" w:color="auto" w:frame="1"/>
          <w:lang w:val="en-US"/>
        </w:rPr>
        <w:t>as non-cash dividend</w:t>
      </w:r>
      <w:r w:rsidRPr="00445D9E">
        <w:rPr>
          <w:rFonts w:ascii="Arial" w:eastAsia="Arial" w:hAnsi="Arial" w:cs="Arial"/>
          <w:bdr w:val="none" w:sz="0" w:space="0" w:color="auto" w:frame="1"/>
          <w:lang w:val="en-US"/>
        </w:rPr>
        <w:t>s to its shareholders</w:t>
      </w:r>
      <w:r w:rsidR="00225E65">
        <w:rPr>
          <w:rFonts w:ascii="Arial" w:eastAsia="Arial" w:hAnsi="Arial" w:cs="Arial"/>
          <w:bdr w:val="none" w:sz="0" w:space="0" w:color="auto" w:frame="1"/>
          <w:lang w:val="en-US"/>
        </w:rPr>
        <w:t xml:space="preserve"> (Note 11)</w:t>
      </w:r>
      <w:r>
        <w:rPr>
          <w:rFonts w:ascii="Arial" w:eastAsia="Arial" w:hAnsi="Arial" w:cs="Arial"/>
          <w:bdr w:val="none" w:sz="0" w:space="0" w:color="auto" w:frame="1"/>
          <w:lang w:val="en-US"/>
        </w:rPr>
        <w:t xml:space="preserve">. The </w:t>
      </w:r>
      <w:r w:rsidRPr="002F63A8">
        <w:rPr>
          <w:rFonts w:ascii="Arial" w:eastAsia="Arial" w:hAnsi="Arial" w:cs="Arial"/>
          <w:lang w:val="en-US"/>
        </w:rPr>
        <w:t>Series D Preferred Shares</w:t>
      </w:r>
      <w:r>
        <w:rPr>
          <w:rFonts w:ascii="Arial" w:eastAsia="Arial" w:hAnsi="Arial" w:cs="Arial"/>
          <w:lang w:val="en-US"/>
        </w:rPr>
        <w:t xml:space="preserve"> </w:t>
      </w:r>
      <w:r w:rsidR="00A94E63">
        <w:rPr>
          <w:rFonts w:ascii="Arial" w:eastAsia="Arial" w:hAnsi="Arial" w:cs="Arial"/>
          <w:lang w:val="en-US"/>
        </w:rPr>
        <w:t xml:space="preserve">were offered </w:t>
      </w:r>
      <w:r w:rsidR="00B67783">
        <w:rPr>
          <w:rFonts w:ascii="Arial" w:eastAsia="Arial" w:hAnsi="Arial" w:cs="Arial"/>
          <w:lang w:val="en-US"/>
        </w:rPr>
        <w:t xml:space="preserve">to shareholders </w:t>
      </w:r>
      <w:r w:rsidR="00A94E63" w:rsidRPr="00A94E63">
        <w:rPr>
          <w:rFonts w:ascii="Arial" w:eastAsia="Arial" w:hAnsi="Arial" w:cs="Arial"/>
          <w:lang w:val="en-US"/>
        </w:rPr>
        <w:t xml:space="preserve">as </w:t>
      </w:r>
      <w:r w:rsidR="00A94E63">
        <w:rPr>
          <w:rFonts w:ascii="Arial" w:eastAsia="Arial" w:hAnsi="Arial" w:cs="Arial"/>
          <w:lang w:val="en-US"/>
        </w:rPr>
        <w:t xml:space="preserve">non-cash </w:t>
      </w:r>
      <w:r w:rsidR="00A94E63" w:rsidRPr="00A94E63">
        <w:rPr>
          <w:rFonts w:ascii="Arial" w:eastAsia="Arial" w:hAnsi="Arial" w:cs="Arial"/>
          <w:lang w:val="en-US"/>
        </w:rPr>
        <w:t xml:space="preserve">consideration for the sale of </w:t>
      </w:r>
      <w:r>
        <w:rPr>
          <w:rFonts w:ascii="Arial" w:eastAsia="Arial" w:hAnsi="Arial" w:cs="Arial"/>
          <w:lang w:val="en-US"/>
        </w:rPr>
        <w:t xml:space="preserve">Melia </w:t>
      </w:r>
      <w:r w:rsidR="00A94E63" w:rsidRPr="00A94E63">
        <w:rPr>
          <w:rFonts w:ascii="Arial" w:eastAsia="Arial" w:hAnsi="Arial" w:cs="Arial"/>
          <w:lang w:val="en-US"/>
        </w:rPr>
        <w:t>to OceanPal</w:t>
      </w:r>
      <w:r w:rsidR="00225E65" w:rsidRPr="0023726F">
        <w:rPr>
          <w:rFonts w:ascii="Arial" w:eastAsia="Arial" w:hAnsi="Arial" w:cs="Arial"/>
          <w:bdr w:val="none" w:sz="0" w:space="0" w:color="auto" w:frame="1"/>
          <w:lang w:val="en-US"/>
        </w:rPr>
        <w:t xml:space="preserve">. The Company accounted for the transaction as a nonreciprocal transfer with its owners in accordance with ASC 845 </w:t>
      </w:r>
      <w:r w:rsidR="00A94E63">
        <w:rPr>
          <w:rFonts w:ascii="Arial" w:eastAsia="Arial" w:hAnsi="Arial" w:cs="Arial"/>
          <w:lang w:val="en-US"/>
        </w:rPr>
        <w:t xml:space="preserve">and measured the preferred shares </w:t>
      </w:r>
      <w:r w:rsidR="00B67783">
        <w:rPr>
          <w:rFonts w:ascii="Arial" w:eastAsia="Arial" w:hAnsi="Arial" w:cs="Arial"/>
          <w:lang w:val="en-US"/>
        </w:rPr>
        <w:t xml:space="preserve">at their fair value </w:t>
      </w:r>
      <w:r w:rsidR="00A94E63">
        <w:rPr>
          <w:rFonts w:ascii="Arial" w:eastAsia="Arial" w:hAnsi="Arial" w:cs="Arial"/>
          <w:lang w:val="en-US"/>
        </w:rPr>
        <w:t xml:space="preserve">on the date of declaration </w:t>
      </w:r>
      <w:r w:rsidR="00711017">
        <w:rPr>
          <w:rFonts w:ascii="Arial" w:eastAsia="Arial" w:hAnsi="Arial" w:cs="Arial"/>
          <w:lang w:val="en-US"/>
        </w:rPr>
        <w:t>at</w:t>
      </w:r>
      <w:r w:rsidR="00B67783">
        <w:rPr>
          <w:rFonts w:ascii="Arial" w:eastAsia="Arial" w:hAnsi="Arial" w:cs="Arial"/>
          <w:lang w:val="en-US"/>
        </w:rPr>
        <w:t xml:space="preserve"> </w:t>
      </w:r>
      <w:r>
        <w:rPr>
          <w:rFonts w:ascii="Arial" w:eastAsia="Arial" w:hAnsi="Arial" w:cs="Arial"/>
          <w:lang w:val="en-US"/>
        </w:rPr>
        <w:t>$</w:t>
      </w:r>
      <w:bookmarkStart w:id="582" w:name="XBRL_CS_931a820297444fdabe2fc55b66352817"/>
      <w:r>
        <w:rPr>
          <w:rFonts w:ascii="Arial" w:eastAsia="Arial" w:hAnsi="Arial" w:cs="Arial"/>
          <w:lang w:val="en-US"/>
        </w:rPr>
        <w:t>10,761</w:t>
      </w:r>
      <w:bookmarkEnd w:id="582"/>
      <w:r w:rsidR="00711017">
        <w:rPr>
          <w:rFonts w:ascii="Arial" w:eastAsia="Arial" w:hAnsi="Arial" w:cs="Arial"/>
          <w:lang w:val="en-US"/>
        </w:rPr>
        <w:t xml:space="preserve"> and recorded </w:t>
      </w:r>
      <w:r w:rsidR="00711017" w:rsidRPr="0023726F">
        <w:rPr>
          <w:rFonts w:ascii="Arial" w:eastAsia="Arial" w:hAnsi="Arial" w:cs="Arial"/>
          <w:bdr w:val="none" w:sz="0" w:space="0" w:color="auto" w:frame="1"/>
          <w:lang w:val="en-US"/>
        </w:rPr>
        <w:t>a gain of</w:t>
      </w:r>
      <w:r w:rsidR="00711017">
        <w:rPr>
          <w:rFonts w:ascii="Arial" w:eastAsia="Arial" w:hAnsi="Arial" w:cs="Arial"/>
          <w:bdr w:val="none" w:sz="0" w:space="0" w:color="auto" w:frame="1"/>
          <w:lang w:val="en-US"/>
        </w:rPr>
        <w:t xml:space="preserve"> </w:t>
      </w:r>
      <w:r w:rsidR="00711017">
        <w:rPr>
          <w:rFonts w:ascii="Arial" w:eastAsia="Arial" w:hAnsi="Arial" w:cs="Arial"/>
          <w:lang w:val="en-US"/>
        </w:rPr>
        <w:t>$</w:t>
      </w:r>
      <w:bookmarkStart w:id="583" w:name="XBRL_CS_8eb0471862a84171be6039236504a4e7"/>
      <w:r w:rsidR="00711017">
        <w:rPr>
          <w:rFonts w:ascii="Arial" w:eastAsia="Arial" w:hAnsi="Arial" w:cs="Arial"/>
          <w:lang w:val="en-US"/>
        </w:rPr>
        <w:t>761</w:t>
      </w:r>
      <w:bookmarkEnd w:id="583"/>
      <w:r w:rsidR="00711017">
        <w:rPr>
          <w:rFonts w:ascii="Arial" w:eastAsia="Arial" w:hAnsi="Arial" w:cs="Arial"/>
          <w:bdr w:val="none" w:sz="0" w:space="0" w:color="auto" w:frame="1"/>
          <w:lang w:val="en-US"/>
        </w:rPr>
        <w:t xml:space="preserve"> included in </w:t>
      </w:r>
      <w:r w:rsidR="00711017">
        <w:rPr>
          <w:rFonts w:ascii="Arial" w:eastAsia="Arial" w:hAnsi="Arial" w:cs="Arial"/>
          <w:lang w:val="en-US"/>
        </w:rPr>
        <w:t xml:space="preserve">gain/(loss) on related party investments in the related accompanying consolidated statement of income. </w:t>
      </w:r>
      <w:r w:rsidR="00744942">
        <w:rPr>
          <w:rFonts w:ascii="Arial" w:eastAsia="Arial" w:hAnsi="Arial" w:cs="Arial"/>
          <w:lang w:val="en-US"/>
        </w:rPr>
        <w:t xml:space="preserve">The fair value of the Series D Preferred Shares was determined using the income approach, </w:t>
      </w:r>
      <w:r w:rsidR="00B67783">
        <w:rPr>
          <w:rFonts w:ascii="Arial" w:eastAsia="Arial" w:hAnsi="Arial" w:cs="Arial"/>
          <w:lang w:val="en-US"/>
        </w:rPr>
        <w:t>based on</w:t>
      </w:r>
      <w:r w:rsidR="00744942">
        <w:rPr>
          <w:rFonts w:ascii="Arial" w:eastAsia="Arial" w:hAnsi="Arial" w:cs="Arial"/>
          <w:lang w:val="en-US"/>
        </w:rPr>
        <w:t xml:space="preserve"> the present value of the future cash </w:t>
      </w:r>
      <w:r w:rsidR="006B64EC">
        <w:rPr>
          <w:rFonts w:ascii="Arial" w:eastAsia="Arial" w:hAnsi="Arial" w:cs="Arial"/>
          <w:lang w:val="en-US"/>
        </w:rPr>
        <w:t>flows</w:t>
      </w:r>
      <w:r w:rsidR="00B67783">
        <w:rPr>
          <w:rFonts w:ascii="Arial" w:eastAsia="Arial" w:hAnsi="Arial" w:cs="Arial"/>
          <w:lang w:val="en-US"/>
        </w:rPr>
        <w:t xml:space="preserve"> expected to be received by</w:t>
      </w:r>
      <w:r w:rsidR="00744942">
        <w:rPr>
          <w:rFonts w:ascii="Arial" w:eastAsia="Arial" w:hAnsi="Arial" w:cs="Arial"/>
          <w:lang w:val="en-US"/>
        </w:rPr>
        <w:t xml:space="preserve"> the holder of the equity instrument.</w:t>
      </w:r>
    </w:p>
    <w:p w14:paraId="71F3F6A9" w14:textId="77777777" w:rsidR="002F63A8" w:rsidRPr="00B50FCD" w:rsidRDefault="002F63A8" w:rsidP="002F63A8">
      <w:pPr>
        <w:pBdr>
          <w:top w:val="nil"/>
          <w:left w:val="nil"/>
          <w:bottom w:val="nil"/>
          <w:right w:val="nil"/>
          <w:between w:val="nil"/>
          <w:bar w:val="nil"/>
        </w:pBdr>
        <w:jc w:val="both"/>
        <w:rPr>
          <w:rFonts w:ascii="Arial" w:eastAsia="Arial" w:hAnsi="Arial" w:cs="Arial"/>
          <w:highlight w:val="yellow"/>
          <w:bdr w:val="nil"/>
          <w:lang w:val="en-US"/>
        </w:rPr>
      </w:pPr>
    </w:p>
    <w:p w14:paraId="71F3F6AA" w14:textId="77777777" w:rsidR="00E25265" w:rsidRDefault="003A4815" w:rsidP="00440950">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 xml:space="preserve">In </w:t>
      </w:r>
      <w:r w:rsidR="007674CE">
        <w:rPr>
          <w:rFonts w:ascii="Arial" w:eastAsia="Arial" w:hAnsi="Arial" w:cs="Arial"/>
          <w:lang w:val="en-US"/>
        </w:rPr>
        <w:t>2025, 2024 and 2023, dividend income from the Series C and Series D OceanPal preferred shares amounted to $</w:t>
      </w:r>
      <w:bookmarkStart w:id="584" w:name="XBRL_CS_33ebfe7a0dfa434f98c8a82661e6fe90"/>
      <w:r w:rsidR="007674CE">
        <w:rPr>
          <w:rFonts w:ascii="Arial" w:eastAsia="Arial" w:hAnsi="Arial" w:cs="Arial"/>
          <w:lang w:val="en-US"/>
        </w:rPr>
        <w:t>17</w:t>
      </w:r>
      <w:bookmarkEnd w:id="584"/>
      <w:r w:rsidR="007674CE">
        <w:rPr>
          <w:rFonts w:ascii="Arial" w:eastAsia="Arial" w:hAnsi="Arial" w:cs="Arial"/>
          <w:lang w:val="en-US"/>
        </w:rPr>
        <w:t>, $</w:t>
      </w:r>
      <w:bookmarkStart w:id="585" w:name="XBRL_CS_0d759ba43bf54889aca5d81045ab4222"/>
      <w:r w:rsidR="007674CE">
        <w:rPr>
          <w:rFonts w:ascii="Arial" w:eastAsia="Arial" w:hAnsi="Arial" w:cs="Arial"/>
          <w:lang w:val="en-US"/>
        </w:rPr>
        <w:t>17</w:t>
      </w:r>
      <w:bookmarkEnd w:id="585"/>
      <w:r w:rsidR="007674CE">
        <w:rPr>
          <w:rFonts w:ascii="Arial" w:eastAsia="Arial" w:hAnsi="Arial" w:cs="Arial"/>
          <w:lang w:val="en-US"/>
        </w:rPr>
        <w:t xml:space="preserve"> and $</w:t>
      </w:r>
      <w:bookmarkStart w:id="586" w:name="XBRL_CS_2a28da70ea0b4fd897c37e6e23b3ffa9"/>
      <w:r w:rsidR="007674CE">
        <w:rPr>
          <w:rFonts w:ascii="Arial" w:eastAsia="Arial" w:hAnsi="Arial" w:cs="Arial"/>
          <w:lang w:val="en-US"/>
        </w:rPr>
        <w:t>801</w:t>
      </w:r>
      <w:bookmarkEnd w:id="586"/>
      <w:r w:rsidR="007674CE">
        <w:rPr>
          <w:rFonts w:ascii="Arial" w:eastAsia="Arial" w:hAnsi="Arial" w:cs="Arial"/>
          <w:lang w:val="en-US"/>
        </w:rPr>
        <w:t>, respectively, included in interest and other income in the accompanying consolidated statements of income.</w:t>
      </w:r>
    </w:p>
    <w:p w14:paraId="71F3F6AB" w14:textId="77777777" w:rsidR="00B50FCD" w:rsidRDefault="00B50FCD" w:rsidP="00B50FCD">
      <w:pPr>
        <w:pBdr>
          <w:top w:val="nil"/>
          <w:left w:val="nil"/>
          <w:bottom w:val="nil"/>
          <w:right w:val="nil"/>
          <w:between w:val="nil"/>
          <w:bar w:val="nil"/>
        </w:pBdr>
        <w:jc w:val="both"/>
        <w:rPr>
          <w:rFonts w:ascii="Arial" w:eastAsia="Arial" w:hAnsi="Arial" w:cs="Arial"/>
          <w:bdr w:val="nil"/>
          <w:lang w:val="en-US"/>
        </w:rPr>
      </w:pPr>
    </w:p>
    <w:p w14:paraId="71F3F6AC" w14:textId="77777777" w:rsidR="00D71387" w:rsidRPr="00D71387" w:rsidRDefault="003A4815" w:rsidP="00D71387">
      <w:pPr>
        <w:pBdr>
          <w:top w:val="nil"/>
          <w:left w:val="nil"/>
          <w:bottom w:val="nil"/>
          <w:right w:val="nil"/>
          <w:between w:val="nil"/>
          <w:bar w:val="nil"/>
        </w:pBdr>
        <w:jc w:val="both"/>
        <w:rPr>
          <w:rFonts w:ascii="Arial" w:eastAsia="Arial" w:hAnsi="Arial" w:cs="Arial"/>
          <w:bdr w:val="nil"/>
          <w:lang w:val="en-US"/>
        </w:rPr>
      </w:pPr>
      <w:r>
        <w:rPr>
          <w:rStyle w:val="Heading2Char"/>
          <w:rFonts w:ascii="Arial" w:eastAsia="Arial" w:hAnsi="Arial" w:cs="Arial"/>
          <w:bCs w:val="0"/>
          <w:iCs w:val="0"/>
          <w:color w:val="auto"/>
          <w:sz w:val="22"/>
          <w:szCs w:val="22"/>
          <w:lang w:val="en-US"/>
        </w:rPr>
        <w:t>b</w:t>
      </w:r>
      <w:r w:rsidRPr="00346C09">
        <w:rPr>
          <w:rStyle w:val="Heading2Char"/>
          <w:rFonts w:ascii="Arial" w:eastAsia="Arial" w:hAnsi="Arial" w:cs="Arial"/>
          <w:bCs w:val="0"/>
          <w:iCs w:val="0"/>
          <w:color w:val="auto"/>
          <w:sz w:val="22"/>
          <w:szCs w:val="22"/>
          <w:lang w:val="en-US"/>
        </w:rPr>
        <w:t>)</w:t>
      </w:r>
      <w:r w:rsidRPr="00346C09">
        <w:rPr>
          <w:rStyle w:val="Heading2Char"/>
          <w:rFonts w:ascii="Arial" w:eastAsia="Arial" w:hAnsi="Arial" w:cs="Arial"/>
          <w:bCs w:val="0"/>
          <w:iCs w:val="0"/>
          <w:color w:val="auto"/>
          <w:sz w:val="22"/>
          <w:szCs w:val="22"/>
          <w:lang w:val="en-US"/>
        </w:rPr>
        <w:tab/>
      </w:r>
      <w:r>
        <w:rPr>
          <w:rStyle w:val="Heading2Char"/>
          <w:rFonts w:ascii="Arial" w:eastAsia="Arial" w:hAnsi="Arial" w:cs="Arial"/>
          <w:bCs w:val="0"/>
          <w:iCs w:val="0"/>
          <w:color w:val="auto"/>
          <w:sz w:val="22"/>
          <w:szCs w:val="22"/>
          <w:lang w:val="en-US"/>
        </w:rPr>
        <w:t>Investment in equity securities</w:t>
      </w:r>
      <w:r w:rsidRPr="00346C09">
        <w:rPr>
          <w:rFonts w:ascii="Arial" w:eastAsia="Arial" w:hAnsi="Arial" w:cs="Arial"/>
          <w:b/>
          <w:i/>
          <w:lang w:val="en-US"/>
        </w:rPr>
        <w:t>:</w:t>
      </w:r>
      <w:r w:rsidRPr="00346C09">
        <w:rPr>
          <w:rFonts w:ascii="Arial" w:eastAsia="Arial" w:hAnsi="Arial" w:cs="Arial"/>
          <w:lang w:val="en-US"/>
        </w:rPr>
        <w:t xml:space="preserve"> </w:t>
      </w:r>
      <w:r w:rsidR="00B75DC1" w:rsidRPr="00B75DC1">
        <w:rPr>
          <w:rFonts w:ascii="Arial" w:eastAsia="Arial" w:hAnsi="Arial" w:cs="Arial"/>
          <w:lang w:val="en-US"/>
        </w:rPr>
        <w:t xml:space="preserve">In </w:t>
      </w:r>
      <w:r w:rsidR="00B75DC1" w:rsidRPr="00D71387">
        <w:rPr>
          <w:rFonts w:ascii="Arial" w:eastAsia="Arial" w:hAnsi="Arial" w:cs="Arial"/>
          <w:lang w:val="en-US"/>
        </w:rPr>
        <w:t xml:space="preserve">2023, </w:t>
      </w:r>
      <w:r w:rsidR="00B75DC1" w:rsidRPr="00B75DC1">
        <w:rPr>
          <w:rFonts w:ascii="Arial" w:eastAsia="Arial" w:hAnsi="Arial" w:cs="Arial"/>
          <w:lang w:val="en-US"/>
        </w:rPr>
        <w:t>the Company acquired equity securities of an entity listed in the NYSE which as of December 31, 2023 had a fair value of $</w:t>
      </w:r>
      <w:bookmarkStart w:id="587" w:name="XBRL_CS_c78f12a0b08b4c1a9aa6fe547d5de16a"/>
      <w:r w:rsidR="00B75DC1" w:rsidRPr="00B75DC1">
        <w:rPr>
          <w:rFonts w:ascii="Arial" w:eastAsia="Arial" w:hAnsi="Arial" w:cs="Arial"/>
          <w:lang w:val="en-US"/>
        </w:rPr>
        <w:t>20,729</w:t>
      </w:r>
      <w:bookmarkEnd w:id="587"/>
      <w:r w:rsidR="00B75DC1" w:rsidRPr="00B75DC1">
        <w:rPr>
          <w:rFonts w:ascii="Arial" w:eastAsia="Arial" w:hAnsi="Arial" w:cs="Arial"/>
          <w:lang w:val="en-US"/>
        </w:rPr>
        <w:t>. The equity securities were initially recorded at cost amounting to $</w:t>
      </w:r>
      <w:bookmarkStart w:id="588" w:name="XBRL_CS_1e230abb0c58445fa7e67180c51d4a48"/>
      <w:r w:rsidR="00B75DC1" w:rsidRPr="00B75DC1">
        <w:rPr>
          <w:rFonts w:ascii="Arial" w:eastAsia="Arial" w:hAnsi="Arial" w:cs="Arial"/>
          <w:lang w:val="en-US"/>
        </w:rPr>
        <w:t>17,916</w:t>
      </w:r>
      <w:bookmarkEnd w:id="588"/>
      <w:r w:rsidR="00B75DC1" w:rsidRPr="00B75DC1">
        <w:rPr>
          <w:rFonts w:ascii="Arial" w:eastAsia="Arial" w:hAnsi="Arial" w:cs="Arial"/>
          <w:lang w:val="en-US"/>
        </w:rPr>
        <w:t xml:space="preserve"> and measured at year-end at fair value, determined through Level 1 of the fair value hierarchy. The securities were considered marketable securities that were available to be converted into cash to fund current operations and were classified in current assets in the accompanying consolidated balance sheet. The Company sold all securities during the first quarter of 2024 and in 2024 and 2023, recorded a realized loss of $</w:t>
      </w:r>
      <w:bookmarkStart w:id="589" w:name="XBRL_CS_b1ea888ce57e4bf981dd628f663a2e4f"/>
      <w:r w:rsidR="00B75DC1" w:rsidRPr="00B75DC1">
        <w:rPr>
          <w:rFonts w:ascii="Arial" w:eastAsia="Arial" w:hAnsi="Arial" w:cs="Arial"/>
          <w:lang w:val="en-US"/>
        </w:rPr>
        <w:t>400</w:t>
      </w:r>
      <w:bookmarkEnd w:id="589"/>
      <w:r w:rsidR="00B75DC1" w:rsidRPr="00B75DC1">
        <w:rPr>
          <w:rFonts w:ascii="Arial" w:eastAsia="Arial" w:hAnsi="Arial" w:cs="Arial"/>
          <w:lang w:val="en-US"/>
        </w:rPr>
        <w:t xml:space="preserve"> and an unrealized gain of $</w:t>
      </w:r>
      <w:bookmarkStart w:id="590" w:name="XBRL_CS_6223e240b451458fbf5824e5811d6c69"/>
      <w:r w:rsidR="00B75DC1" w:rsidRPr="00B75DC1">
        <w:rPr>
          <w:rFonts w:ascii="Arial" w:eastAsia="Arial" w:hAnsi="Arial" w:cs="Arial"/>
          <w:lang w:val="en-US"/>
        </w:rPr>
        <w:t>2,813</w:t>
      </w:r>
      <w:bookmarkEnd w:id="590"/>
      <w:r w:rsidR="00B75DC1" w:rsidRPr="00B75DC1">
        <w:rPr>
          <w:rFonts w:ascii="Arial" w:eastAsia="Arial" w:hAnsi="Arial" w:cs="Arial"/>
          <w:lang w:val="en-US"/>
        </w:rPr>
        <w:t>, respectively, presented in gain/(loss) on equity securities in the accompanying consolidated statements of income.</w:t>
      </w:r>
    </w:p>
    <w:p w14:paraId="71F3F6AD" w14:textId="77777777" w:rsidR="00D71387" w:rsidRPr="00D71387" w:rsidRDefault="00D71387" w:rsidP="00D71387">
      <w:pPr>
        <w:pBdr>
          <w:top w:val="nil"/>
          <w:left w:val="nil"/>
          <w:bottom w:val="nil"/>
          <w:right w:val="nil"/>
          <w:between w:val="nil"/>
          <w:bar w:val="nil"/>
        </w:pBdr>
        <w:jc w:val="both"/>
        <w:rPr>
          <w:rFonts w:ascii="Arial" w:eastAsia="Arial" w:hAnsi="Arial" w:cs="Arial"/>
          <w:bdr w:val="nil"/>
          <w:lang w:val="en-US"/>
        </w:rPr>
      </w:pPr>
    </w:p>
    <w:p w14:paraId="71F3F6AE" w14:textId="77777777" w:rsidR="00D71387" w:rsidRPr="00D71387" w:rsidRDefault="003A4815" w:rsidP="00D71387">
      <w:pPr>
        <w:pBdr>
          <w:top w:val="nil"/>
          <w:left w:val="nil"/>
          <w:bottom w:val="nil"/>
          <w:right w:val="nil"/>
          <w:between w:val="nil"/>
          <w:bar w:val="nil"/>
        </w:pBdr>
        <w:jc w:val="both"/>
        <w:rPr>
          <w:rFonts w:ascii="Arial" w:eastAsia="Arial" w:hAnsi="Arial" w:cs="Arial"/>
          <w:bdr w:val="nil"/>
          <w:lang w:val="en-US"/>
        </w:rPr>
      </w:pPr>
      <w:r w:rsidRPr="00E30110">
        <w:rPr>
          <w:rFonts w:ascii="Arial" w:eastAsia="Arial" w:hAnsi="Arial" w:cs="Arial"/>
          <w:lang w:val="en-US"/>
        </w:rPr>
        <w:t>In</w:t>
      </w:r>
      <w:r w:rsidR="00751235" w:rsidRPr="00E30110">
        <w:rPr>
          <w:rFonts w:ascii="Arial" w:eastAsia="Arial" w:hAnsi="Arial" w:cs="Arial"/>
          <w:lang w:val="en-US"/>
        </w:rPr>
        <w:t xml:space="preserve"> 2025, t</w:t>
      </w:r>
      <w:r w:rsidR="00751235" w:rsidRPr="00D71387">
        <w:rPr>
          <w:rFonts w:ascii="Arial" w:eastAsia="Arial" w:hAnsi="Arial" w:cs="Arial"/>
          <w:lang w:val="en-US"/>
        </w:rPr>
        <w:t xml:space="preserve">he Company acquired equity securities of Genco Shipping &amp; Trading Limited (Genco) which as of </w:t>
      </w:r>
      <w:r w:rsidR="00B80E2F">
        <w:rPr>
          <w:rFonts w:ascii="Arial" w:eastAsia="Arial" w:hAnsi="Arial" w:cs="Arial"/>
          <w:lang w:val="en-US"/>
        </w:rPr>
        <w:t>December</w:t>
      </w:r>
      <w:r w:rsidR="00751235" w:rsidRPr="00D71387">
        <w:rPr>
          <w:rFonts w:ascii="Arial" w:eastAsia="Arial" w:hAnsi="Arial" w:cs="Arial"/>
          <w:lang w:val="en-US"/>
        </w:rPr>
        <w:t xml:space="preserve"> 3</w:t>
      </w:r>
      <w:r w:rsidR="00B80E2F">
        <w:rPr>
          <w:rFonts w:ascii="Arial" w:eastAsia="Arial" w:hAnsi="Arial" w:cs="Arial"/>
          <w:lang w:val="en-US"/>
        </w:rPr>
        <w:t>1</w:t>
      </w:r>
      <w:r w:rsidR="00751235" w:rsidRPr="00D71387">
        <w:rPr>
          <w:rFonts w:ascii="Arial" w:eastAsia="Arial" w:hAnsi="Arial" w:cs="Arial"/>
          <w:lang w:val="en-US"/>
        </w:rPr>
        <w:t>, 2025, had a fair value of $</w:t>
      </w:r>
      <w:bookmarkStart w:id="591" w:name="XBRL_CS_95d94561c6024b6b982e30363bf44381"/>
      <w:r w:rsidR="00751235" w:rsidRPr="00D71387">
        <w:rPr>
          <w:rFonts w:ascii="Arial" w:eastAsia="Arial" w:hAnsi="Arial" w:cs="Arial"/>
          <w:lang w:val="en-US"/>
        </w:rPr>
        <w:t>11</w:t>
      </w:r>
      <w:r w:rsidR="00B80E2F">
        <w:rPr>
          <w:rFonts w:ascii="Arial" w:eastAsia="Arial" w:hAnsi="Arial" w:cs="Arial"/>
          <w:lang w:val="en-US"/>
        </w:rPr>
        <w:t>8</w:t>
      </w:r>
      <w:r w:rsidR="00751235" w:rsidRPr="00D71387">
        <w:rPr>
          <w:rFonts w:ascii="Arial" w:eastAsia="Arial" w:hAnsi="Arial" w:cs="Arial"/>
          <w:lang w:val="en-US"/>
        </w:rPr>
        <w:t>,1</w:t>
      </w:r>
      <w:r w:rsidR="00B80E2F">
        <w:rPr>
          <w:rFonts w:ascii="Arial" w:eastAsia="Arial" w:hAnsi="Arial" w:cs="Arial"/>
          <w:lang w:val="en-US"/>
        </w:rPr>
        <w:t>9</w:t>
      </w:r>
      <w:r w:rsidR="00751235" w:rsidRPr="00D71387">
        <w:rPr>
          <w:rFonts w:ascii="Arial" w:eastAsia="Arial" w:hAnsi="Arial" w:cs="Arial"/>
          <w:lang w:val="en-US"/>
        </w:rPr>
        <w:t>4</w:t>
      </w:r>
      <w:bookmarkEnd w:id="591"/>
      <w:r w:rsidR="00751235" w:rsidRPr="00D71387">
        <w:rPr>
          <w:rFonts w:ascii="Arial" w:eastAsia="Arial" w:hAnsi="Arial" w:cs="Arial"/>
          <w:lang w:val="en-US"/>
        </w:rPr>
        <w:t xml:space="preserve">. As of </w:t>
      </w:r>
      <w:r w:rsidR="00B80E2F">
        <w:rPr>
          <w:rFonts w:ascii="Arial" w:eastAsia="Arial" w:hAnsi="Arial" w:cs="Arial"/>
          <w:lang w:val="en-US"/>
        </w:rPr>
        <w:t>December</w:t>
      </w:r>
      <w:r w:rsidR="00751235" w:rsidRPr="00D71387">
        <w:rPr>
          <w:rFonts w:ascii="Arial" w:eastAsia="Arial" w:hAnsi="Arial" w:cs="Arial"/>
          <w:lang w:val="en-US"/>
        </w:rPr>
        <w:t xml:space="preserve"> 3</w:t>
      </w:r>
      <w:r w:rsidR="00B80E2F">
        <w:rPr>
          <w:rFonts w:ascii="Arial" w:eastAsia="Arial" w:hAnsi="Arial" w:cs="Arial"/>
          <w:lang w:val="en-US"/>
        </w:rPr>
        <w:t>1</w:t>
      </w:r>
      <w:r w:rsidR="00751235" w:rsidRPr="00D71387">
        <w:rPr>
          <w:rFonts w:ascii="Arial" w:eastAsia="Arial" w:hAnsi="Arial" w:cs="Arial"/>
          <w:lang w:val="en-US"/>
        </w:rPr>
        <w:t xml:space="preserve">, 2025, the Company is the holder of </w:t>
      </w:r>
      <w:bookmarkStart w:id="592" w:name="XBRL_CS_55c802830e8a402b8d2dbc7e0f864715"/>
      <w:r w:rsidR="00751235" w:rsidRPr="00D71387">
        <w:rPr>
          <w:rFonts w:ascii="Arial" w:eastAsia="Arial" w:hAnsi="Arial" w:cs="Arial"/>
          <w:lang w:val="en-US"/>
        </w:rPr>
        <w:t>6,413,151</w:t>
      </w:r>
      <w:bookmarkEnd w:id="592"/>
      <w:r w:rsidR="00751235" w:rsidRPr="00D71387">
        <w:rPr>
          <w:rFonts w:ascii="Arial" w:eastAsia="Arial" w:hAnsi="Arial" w:cs="Arial"/>
          <w:lang w:val="en-US"/>
        </w:rPr>
        <w:t xml:space="preserve"> common shares, </w:t>
      </w:r>
      <w:r w:rsidR="00751235" w:rsidRPr="005C59A6">
        <w:rPr>
          <w:rFonts w:ascii="Arial" w:eastAsia="Arial" w:hAnsi="Arial" w:cs="Arial"/>
          <w:lang w:val="en-US"/>
        </w:rPr>
        <w:t xml:space="preserve">being </w:t>
      </w:r>
      <w:bookmarkStart w:id="593" w:name="XBRL_CS_87800262fb6f40a08a8aa3ce3cbb8043"/>
      <w:r w:rsidR="00751235" w:rsidRPr="005C59A6">
        <w:rPr>
          <w:rFonts w:ascii="Arial" w:eastAsia="Arial" w:hAnsi="Arial" w:cs="Arial"/>
          <w:lang w:val="en-US"/>
        </w:rPr>
        <w:t>14.</w:t>
      </w:r>
      <w:r w:rsidR="005C59A6" w:rsidRPr="005C59A6">
        <w:rPr>
          <w:rFonts w:ascii="Arial" w:eastAsia="Arial" w:hAnsi="Arial" w:cs="Arial"/>
          <w:lang w:val="en-US"/>
        </w:rPr>
        <w:t>8</w:t>
      </w:r>
      <w:bookmarkEnd w:id="593"/>
      <w:r w:rsidR="00751235" w:rsidRPr="00D71387">
        <w:rPr>
          <w:rFonts w:ascii="Arial" w:eastAsia="Arial" w:hAnsi="Arial" w:cs="Arial"/>
          <w:lang w:val="en-US"/>
        </w:rPr>
        <w:t>% of Genco’s common stock. The equity securities were initially recorded at cost amounting to $</w:t>
      </w:r>
      <w:bookmarkStart w:id="594" w:name="XBRL_CS_e13078c442084d03afa596b0e3d71c75"/>
      <w:r w:rsidR="00751235" w:rsidRPr="00D71387">
        <w:rPr>
          <w:rFonts w:ascii="Arial" w:eastAsia="Arial" w:hAnsi="Arial" w:cs="Arial"/>
          <w:lang w:val="en-US"/>
        </w:rPr>
        <w:t>103,524</w:t>
      </w:r>
      <w:bookmarkEnd w:id="594"/>
      <w:r w:rsidR="00751235" w:rsidRPr="00D71387">
        <w:rPr>
          <w:rFonts w:ascii="Arial" w:eastAsia="Arial" w:hAnsi="Arial" w:cs="Arial"/>
          <w:lang w:val="en-US"/>
        </w:rPr>
        <w:t xml:space="preserve"> and measured subsequently at fair value, since their fair values were readily determinable, determined through Level 1 of the fair value hierarchy. The securities are considered marketable securities that are available to be converted into cash to fund current operations and classified in current assets in the accompanying consolidated balance sheet as of </w:t>
      </w:r>
      <w:r w:rsidR="00B80E2F">
        <w:rPr>
          <w:rFonts w:ascii="Arial" w:eastAsia="Arial" w:hAnsi="Arial" w:cs="Arial"/>
          <w:lang w:val="en-US"/>
        </w:rPr>
        <w:t>December</w:t>
      </w:r>
      <w:r w:rsidR="00751235" w:rsidRPr="00D71387">
        <w:rPr>
          <w:rFonts w:ascii="Arial" w:eastAsia="Arial" w:hAnsi="Arial" w:cs="Arial"/>
          <w:lang w:val="en-US"/>
        </w:rPr>
        <w:t xml:space="preserve"> 3</w:t>
      </w:r>
      <w:r w:rsidR="00B80E2F">
        <w:rPr>
          <w:rFonts w:ascii="Arial" w:eastAsia="Arial" w:hAnsi="Arial" w:cs="Arial"/>
          <w:lang w:val="en-US"/>
        </w:rPr>
        <w:t>1</w:t>
      </w:r>
      <w:r w:rsidR="00751235" w:rsidRPr="00D71387">
        <w:rPr>
          <w:rFonts w:ascii="Arial" w:eastAsia="Arial" w:hAnsi="Arial" w:cs="Arial"/>
          <w:lang w:val="en-US"/>
        </w:rPr>
        <w:t>, 2025. Unrealized gain on the investment amounted to $</w:t>
      </w:r>
      <w:bookmarkStart w:id="595" w:name="XBRL_CS_12c4ca60bfbc42e2889e4e456cb6820e"/>
      <w:r w:rsidR="00751235" w:rsidRPr="00D71387">
        <w:rPr>
          <w:rFonts w:ascii="Arial" w:eastAsia="Arial" w:hAnsi="Arial" w:cs="Arial"/>
          <w:lang w:val="en-US"/>
        </w:rPr>
        <w:t>1</w:t>
      </w:r>
      <w:r w:rsidR="00B80E2F">
        <w:rPr>
          <w:rFonts w:ascii="Arial" w:eastAsia="Arial" w:hAnsi="Arial" w:cs="Arial"/>
          <w:lang w:val="en-US"/>
        </w:rPr>
        <w:t>4</w:t>
      </w:r>
      <w:r w:rsidR="00751235" w:rsidRPr="00D71387">
        <w:rPr>
          <w:rFonts w:ascii="Arial" w:eastAsia="Arial" w:hAnsi="Arial" w:cs="Arial"/>
          <w:lang w:val="en-US"/>
        </w:rPr>
        <w:t>,</w:t>
      </w:r>
      <w:r w:rsidR="00B80E2F">
        <w:rPr>
          <w:rFonts w:ascii="Arial" w:eastAsia="Arial" w:hAnsi="Arial" w:cs="Arial"/>
          <w:lang w:val="en-US"/>
        </w:rPr>
        <w:t>671</w:t>
      </w:r>
      <w:bookmarkEnd w:id="595"/>
      <w:r w:rsidR="00751235" w:rsidRPr="00D71387">
        <w:rPr>
          <w:rFonts w:ascii="Arial" w:eastAsia="Arial" w:hAnsi="Arial" w:cs="Arial"/>
          <w:lang w:val="en-US"/>
        </w:rPr>
        <w:t xml:space="preserve"> and is separately presented in gain/(loss) on equity securities in the accompanying consolidated statements of income. </w:t>
      </w:r>
    </w:p>
    <w:p w14:paraId="71F3F6AF" w14:textId="77777777" w:rsidR="00D71387" w:rsidRPr="00D71387" w:rsidRDefault="00D71387" w:rsidP="00D71387">
      <w:pPr>
        <w:pBdr>
          <w:top w:val="nil"/>
          <w:left w:val="nil"/>
          <w:bottom w:val="nil"/>
          <w:right w:val="nil"/>
          <w:between w:val="nil"/>
          <w:bar w:val="nil"/>
        </w:pBdr>
        <w:jc w:val="both"/>
        <w:rPr>
          <w:rFonts w:ascii="Arial" w:eastAsia="Arial" w:hAnsi="Arial" w:cs="Arial"/>
          <w:bdr w:val="nil"/>
          <w:lang w:val="en-US"/>
        </w:rPr>
      </w:pPr>
    </w:p>
    <w:p w14:paraId="71F3F6B0" w14:textId="77777777" w:rsidR="00D71387" w:rsidRDefault="003A4815" w:rsidP="00D71387">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US"/>
        </w:rPr>
        <w:t>In</w:t>
      </w:r>
      <w:r w:rsidR="002B5141" w:rsidRPr="00D71387">
        <w:rPr>
          <w:rFonts w:ascii="Arial" w:eastAsia="Arial" w:hAnsi="Arial" w:cs="Arial"/>
          <w:lang w:val="en-US"/>
        </w:rPr>
        <w:t xml:space="preserve"> 2025, dividend income from the Investment in equity securities amounted to $</w:t>
      </w:r>
      <w:bookmarkStart w:id="596" w:name="XBRL_CS_a735a6e0f5584ff78353505166edc2a3"/>
      <w:r w:rsidR="00307D6E">
        <w:rPr>
          <w:rFonts w:ascii="Arial" w:eastAsia="Arial" w:hAnsi="Arial" w:cs="Arial"/>
          <w:lang w:val="en-US"/>
        </w:rPr>
        <w:t>1,670</w:t>
      </w:r>
      <w:bookmarkEnd w:id="596"/>
      <w:r w:rsidR="002B5141" w:rsidRPr="00D71387">
        <w:rPr>
          <w:rFonts w:ascii="Arial" w:eastAsia="Arial" w:hAnsi="Arial" w:cs="Arial"/>
          <w:lang w:val="en-US"/>
        </w:rPr>
        <w:t xml:space="preserve"> included in interest and other income in the accompanying consolidated statements of income.</w:t>
      </w:r>
    </w:p>
    <w:p w14:paraId="71F3F6B1" w14:textId="77777777" w:rsidR="009E4ADA" w:rsidRDefault="009E4ADA" w:rsidP="00D71387">
      <w:pPr>
        <w:pBdr>
          <w:top w:val="nil"/>
          <w:left w:val="nil"/>
          <w:bottom w:val="nil"/>
          <w:right w:val="nil"/>
          <w:between w:val="nil"/>
          <w:bar w:val="nil"/>
        </w:pBdr>
        <w:jc w:val="both"/>
        <w:rPr>
          <w:rFonts w:ascii="Arial" w:eastAsia="Arial" w:hAnsi="Arial" w:cs="Arial"/>
          <w:bdr w:val="nil"/>
          <w:lang w:val="en-US"/>
        </w:rPr>
      </w:pPr>
    </w:p>
    <w:p w14:paraId="71F3F6B2" w14:textId="77777777" w:rsidR="009E4ADA" w:rsidRPr="00D71387" w:rsidRDefault="003A4815" w:rsidP="00D71387">
      <w:pPr>
        <w:pBdr>
          <w:top w:val="nil"/>
          <w:left w:val="nil"/>
          <w:bottom w:val="nil"/>
          <w:right w:val="nil"/>
          <w:between w:val="nil"/>
          <w:bar w:val="nil"/>
        </w:pBdr>
        <w:jc w:val="both"/>
        <w:rPr>
          <w:rFonts w:ascii="Arial" w:eastAsia="Arial" w:hAnsi="Arial" w:cs="Arial"/>
          <w:bdr w:val="nil"/>
          <w:lang w:val="en-US"/>
        </w:rPr>
      </w:pPr>
      <w:r w:rsidRPr="009E4ADA">
        <w:rPr>
          <w:rFonts w:ascii="Arial" w:eastAsia="Arial" w:hAnsi="Arial" w:cs="Arial"/>
          <w:lang w:val="en-GB"/>
        </w:rPr>
        <w:t>On November 24, 2025, we submitted to Genco’s board of directors a proposal to acquire all of the outstanding shares of Genco we did not already own for a price of $</w:t>
      </w:r>
      <w:bookmarkStart w:id="597" w:name="XBRL_CS_624dfd2de4f84f4b9c7575f8d5e79649"/>
      <w:r w:rsidRPr="009E4ADA">
        <w:rPr>
          <w:rFonts w:ascii="Arial" w:eastAsia="Arial" w:hAnsi="Arial" w:cs="Arial"/>
          <w:lang w:val="en-GB"/>
        </w:rPr>
        <w:t>20.60</w:t>
      </w:r>
      <w:bookmarkEnd w:id="597"/>
      <w:r w:rsidRPr="009E4ADA">
        <w:rPr>
          <w:rFonts w:ascii="Arial" w:eastAsia="Arial" w:hAnsi="Arial" w:cs="Arial"/>
          <w:lang w:val="en-GB"/>
        </w:rPr>
        <w:t xml:space="preserve"> per share in cash</w:t>
      </w:r>
      <w:r>
        <w:rPr>
          <w:rFonts w:ascii="Arial" w:eastAsia="Arial" w:hAnsi="Arial" w:cs="Arial"/>
          <w:lang w:val="en-GB"/>
        </w:rPr>
        <w:t xml:space="preserve"> (Note 16)</w:t>
      </w:r>
      <w:r w:rsidRPr="009E4ADA">
        <w:rPr>
          <w:rFonts w:ascii="Arial" w:eastAsia="Arial" w:hAnsi="Arial" w:cs="Arial"/>
          <w:lang w:val="en-GB"/>
        </w:rPr>
        <w:t>.</w:t>
      </w:r>
      <w:bookmarkEnd w:id="552"/>
    </w:p>
    <w:p w14:paraId="71F3F6B3"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6B4" w14:textId="77777777" w:rsidR="00D37C4F" w:rsidRPr="009F0D89" w:rsidRDefault="003A4815" w:rsidP="009F0D89">
      <w:pPr>
        <w:pStyle w:val="Header1notes"/>
        <w:keepLines/>
        <w:pBdr>
          <w:top w:val="nil"/>
          <w:left w:val="nil"/>
          <w:bottom w:val="nil"/>
          <w:right w:val="nil"/>
          <w:between w:val="nil"/>
          <w:bar w:val="nil"/>
        </w:pBdr>
        <w:spacing w:before="0" w:after="0"/>
        <w:rPr>
          <w:rFonts w:ascii="Arial" w:eastAsia="Arial" w:hAnsi="Arial" w:cs="Arial"/>
          <w:sz w:val="24"/>
          <w:szCs w:val="28"/>
          <w:bdr w:val="nil"/>
        </w:rPr>
      </w:pPr>
      <w:bookmarkStart w:id="598" w:name="RG_MARKER_23082"/>
      <w:bookmarkStart w:id="599" w:name="RG_MARKER_23176"/>
      <w:bookmarkStart w:id="600" w:name="_Ref139090524"/>
      <w:bookmarkStart w:id="601" w:name="XBRL_TS_adebb33cb0d443df9cad000a65e24c00"/>
      <w:r w:rsidRPr="009F0D89">
        <w:rPr>
          <w:rFonts w:ascii="Arial" w:eastAsia="Arial" w:hAnsi="Arial" w:cs="Arial"/>
          <w:sz w:val="24"/>
          <w:szCs w:val="28"/>
        </w:rPr>
        <w:t>6.</w:t>
      </w:r>
      <w:bookmarkEnd w:id="598"/>
      <w:bookmarkEnd w:id="599"/>
      <w:r w:rsidRPr="009F0D89">
        <w:rPr>
          <w:rFonts w:ascii="Arial" w:eastAsia="Arial" w:hAnsi="Arial" w:cs="Arial"/>
          <w:sz w:val="24"/>
          <w:szCs w:val="28"/>
        </w:rPr>
        <w:tab/>
      </w:r>
      <w:bookmarkEnd w:id="600"/>
      <w:r w:rsidR="00BD2C2D" w:rsidRPr="009F0D89">
        <w:rPr>
          <w:rFonts w:ascii="Arial" w:eastAsia="Arial" w:hAnsi="Arial" w:cs="Arial"/>
          <w:sz w:val="24"/>
          <w:szCs w:val="28"/>
          <w:bdr w:val="none" w:sz="0" w:space="0" w:color="auto" w:frame="1"/>
        </w:rPr>
        <w:t>Advance</w:t>
      </w:r>
      <w:r w:rsidR="00327995" w:rsidRPr="009F0D89">
        <w:rPr>
          <w:rFonts w:ascii="Arial" w:eastAsia="Arial" w:hAnsi="Arial" w:cs="Arial"/>
          <w:sz w:val="24"/>
          <w:szCs w:val="28"/>
          <w:bdr w:val="none" w:sz="0" w:space="0" w:color="auto" w:frame="1"/>
        </w:rPr>
        <w:t>s</w:t>
      </w:r>
      <w:r w:rsidR="00BD2C2D" w:rsidRPr="009F0D89">
        <w:rPr>
          <w:rFonts w:ascii="Arial" w:eastAsia="Arial" w:hAnsi="Arial" w:cs="Arial"/>
          <w:sz w:val="24"/>
          <w:szCs w:val="28"/>
          <w:bdr w:val="none" w:sz="0" w:space="0" w:color="auto" w:frame="1"/>
        </w:rPr>
        <w:t xml:space="preserve"> for vessel</w:t>
      </w:r>
      <w:r>
        <w:rPr>
          <w:rFonts w:ascii="Arial" w:eastAsia="Arial" w:hAnsi="Arial" w:cs="Arial"/>
          <w:sz w:val="24"/>
          <w:szCs w:val="28"/>
          <w:bdr w:val="none" w:sz="0" w:space="0" w:color="auto" w:frame="1"/>
        </w:rPr>
        <w:t>s under construction</w:t>
      </w:r>
      <w:r w:rsidR="00BD2C2D" w:rsidRPr="009F0D89">
        <w:rPr>
          <w:rFonts w:ascii="Arial" w:eastAsia="Arial" w:hAnsi="Arial" w:cs="Arial"/>
          <w:sz w:val="24"/>
          <w:szCs w:val="28"/>
          <w:bdr w:val="none" w:sz="0" w:space="0" w:color="auto" w:frame="1"/>
        </w:rPr>
        <w:t xml:space="preserve"> and Vessels, net</w:t>
      </w:r>
    </w:p>
    <w:p w14:paraId="71F3F6B5" w14:textId="77777777" w:rsidR="007B0CA4" w:rsidRPr="002174FB" w:rsidRDefault="007B0CA4" w:rsidP="009F0D89">
      <w:pPr>
        <w:pStyle w:val="Notesbody"/>
        <w:keepNext/>
        <w:keepLines/>
        <w:widowControl w:val="0"/>
        <w:pBdr>
          <w:top w:val="nil"/>
          <w:left w:val="nil"/>
          <w:bottom w:val="nil"/>
          <w:right w:val="nil"/>
          <w:between w:val="nil"/>
          <w:bar w:val="nil"/>
        </w:pBdr>
        <w:rPr>
          <w:rFonts w:ascii="Arial" w:eastAsia="Arial" w:hAnsi="Arial" w:cs="Arial"/>
          <w:color w:val="auto"/>
          <w:bdr w:val="nil"/>
          <w:lang w:val="en-GB" w:bidi="en-US"/>
        </w:rPr>
      </w:pPr>
    </w:p>
    <w:p w14:paraId="71F3F6B6" w14:textId="77777777" w:rsidR="002174FB" w:rsidRPr="0047181A" w:rsidRDefault="003A4815" w:rsidP="0047181A">
      <w:pPr>
        <w:pBdr>
          <w:top w:val="nil"/>
          <w:left w:val="nil"/>
          <w:bottom w:val="nil"/>
          <w:right w:val="nil"/>
          <w:between w:val="nil"/>
          <w:bar w:val="nil"/>
        </w:pBdr>
        <w:jc w:val="both"/>
        <w:rPr>
          <w:rFonts w:ascii="Arial" w:eastAsia="Arial" w:hAnsi="Arial" w:cs="Arial"/>
          <w:bdr w:val="nil"/>
          <w:lang w:val="en-GB"/>
        </w:rPr>
      </w:pPr>
      <w:r w:rsidRPr="002174FB">
        <w:rPr>
          <w:rFonts w:ascii="Arial" w:eastAsia="Arial" w:hAnsi="Arial" w:cs="Arial"/>
          <w:lang w:val="en-GB" w:bidi="en-US"/>
        </w:rPr>
        <w:t xml:space="preserve">It is in the Company’s normal course of business from time to time to acquire and sell vessels. Accordingly, </w:t>
      </w:r>
      <w:r>
        <w:rPr>
          <w:rFonts w:ascii="Arial" w:eastAsia="Arial" w:hAnsi="Arial" w:cs="Arial"/>
          <w:lang w:val="en-GB" w:bidi="en-US"/>
        </w:rPr>
        <w:t>in</w:t>
      </w:r>
      <w:r w:rsidRPr="002174FB">
        <w:rPr>
          <w:rFonts w:ascii="Arial" w:eastAsia="Arial" w:hAnsi="Arial" w:cs="Arial"/>
          <w:lang w:val="en-GB" w:bidi="en-US"/>
        </w:rPr>
        <w:t xml:space="preserve"> </w:t>
      </w:r>
      <w:r>
        <w:rPr>
          <w:rFonts w:ascii="Arial" w:eastAsia="Arial" w:hAnsi="Arial" w:cs="Arial"/>
          <w:lang w:val="en-GB" w:bidi="en-US"/>
        </w:rPr>
        <w:t>2025 and 2024</w:t>
      </w:r>
      <w:r w:rsidRPr="002174FB">
        <w:rPr>
          <w:rFonts w:ascii="Arial" w:eastAsia="Arial" w:hAnsi="Arial" w:cs="Arial"/>
          <w:lang w:val="en-GB" w:bidi="en-US"/>
        </w:rPr>
        <w:t>, the Company entered into the below transactions.</w:t>
      </w:r>
    </w:p>
    <w:p w14:paraId="71F3F6B7" w14:textId="77777777" w:rsidR="002174FB" w:rsidRPr="002174FB" w:rsidRDefault="002174FB" w:rsidP="003C35B0">
      <w:pPr>
        <w:pStyle w:val="Notesbody"/>
        <w:widowControl w:val="0"/>
        <w:pBdr>
          <w:top w:val="nil"/>
          <w:left w:val="nil"/>
          <w:bottom w:val="nil"/>
          <w:right w:val="nil"/>
          <w:between w:val="nil"/>
          <w:bar w:val="nil"/>
        </w:pBdr>
        <w:rPr>
          <w:rFonts w:ascii="Arial" w:eastAsia="Arial" w:hAnsi="Arial" w:cs="Arial"/>
          <w:bdr w:val="nil"/>
          <w:lang w:val="en-GB" w:bidi="en-US"/>
        </w:rPr>
      </w:pPr>
    </w:p>
    <w:p w14:paraId="71F3F6B8" w14:textId="77777777" w:rsidR="00EC4C8C" w:rsidRPr="00F46D85" w:rsidRDefault="003A4815" w:rsidP="00F46D85">
      <w:pPr>
        <w:pStyle w:val="Heading2"/>
        <w:keepLines/>
        <w:pBdr>
          <w:top w:val="nil"/>
          <w:left w:val="nil"/>
          <w:bottom w:val="nil"/>
          <w:right w:val="nil"/>
          <w:between w:val="nil"/>
          <w:bar w:val="nil"/>
        </w:pBdr>
        <w:autoSpaceDE w:val="0"/>
        <w:autoSpaceDN w:val="0"/>
        <w:rPr>
          <w:rFonts w:ascii="Arial" w:eastAsia="Arial" w:hAnsi="Arial" w:cs="Arial"/>
          <w:i w:val="0"/>
          <w:iCs w:val="0"/>
          <w:color w:val="auto"/>
          <w:sz w:val="22"/>
          <w:bdr w:val="nil"/>
          <w:lang w:bidi="en-US"/>
        </w:rPr>
      </w:pPr>
      <w:r w:rsidRPr="00F46D85">
        <w:rPr>
          <w:rFonts w:ascii="Arial" w:eastAsia="Arial" w:hAnsi="Arial" w:cs="Arial"/>
          <w:i w:val="0"/>
          <w:iCs w:val="0"/>
          <w:color w:val="auto"/>
          <w:sz w:val="22"/>
          <w:bdr w:val="none" w:sz="0" w:space="0" w:color="auto" w:frame="1"/>
          <w:lang w:bidi="en-US"/>
        </w:rPr>
        <w:t>Vessels under construction</w:t>
      </w:r>
    </w:p>
    <w:p w14:paraId="71F3F6B9" w14:textId="77777777" w:rsidR="00EC4C8C" w:rsidRPr="00F22FC5" w:rsidRDefault="00EC4C8C" w:rsidP="00EC4C8C">
      <w:pPr>
        <w:pBdr>
          <w:top w:val="nil"/>
          <w:left w:val="nil"/>
          <w:bottom w:val="nil"/>
          <w:right w:val="nil"/>
          <w:between w:val="nil"/>
          <w:bar w:val="nil"/>
        </w:pBdr>
        <w:jc w:val="both"/>
        <w:rPr>
          <w:rFonts w:ascii="Arial" w:eastAsia="Arial" w:hAnsi="Arial" w:cs="Arial"/>
          <w:bdr w:val="nil"/>
          <w:lang w:val="en-GB"/>
        </w:rPr>
      </w:pPr>
    </w:p>
    <w:p w14:paraId="71F3F6BA" w14:textId="77777777" w:rsidR="009536A2" w:rsidRPr="009536A2" w:rsidRDefault="003A4815" w:rsidP="009536A2">
      <w:pPr>
        <w:pBdr>
          <w:top w:val="nil"/>
          <w:left w:val="nil"/>
          <w:bottom w:val="nil"/>
          <w:right w:val="nil"/>
          <w:between w:val="nil"/>
          <w:bar w:val="nil"/>
        </w:pBdr>
        <w:jc w:val="both"/>
        <w:rPr>
          <w:rFonts w:ascii="Arial" w:eastAsia="Arial" w:hAnsi="Arial" w:cs="Arial"/>
          <w:bdr w:val="nil"/>
          <w:lang w:val="en-GB"/>
        </w:rPr>
      </w:pPr>
      <w:r w:rsidRPr="009536A2">
        <w:rPr>
          <w:rFonts w:ascii="Arial" w:eastAsia="Arial" w:hAnsi="Arial" w:cs="Arial"/>
          <w:lang w:val="en-GB" w:bidi="en-US"/>
        </w:rPr>
        <w:t xml:space="preserve">On February 8, 2024, the Company signed an agreement with an unaffiliated third party, for the construction of </w:t>
      </w:r>
      <w:bookmarkStart w:id="602" w:name="XBRL_CS_734e17a2f6aa48bf998430d39dbbd544"/>
      <w:r w:rsidRPr="009536A2">
        <w:rPr>
          <w:rFonts w:ascii="Arial" w:eastAsia="Arial" w:hAnsi="Arial" w:cs="Arial"/>
          <w:lang w:val="en-GB" w:bidi="en-US"/>
        </w:rPr>
        <w:t>two</w:t>
      </w:r>
      <w:bookmarkEnd w:id="602"/>
      <w:r w:rsidRPr="009536A2">
        <w:rPr>
          <w:rFonts w:ascii="Arial" w:eastAsia="Arial" w:hAnsi="Arial" w:cs="Arial"/>
          <w:lang w:val="en-GB" w:bidi="en-US"/>
        </w:rPr>
        <w:t xml:space="preserve"> 81,200 dwt methanol dual fuel new-building Kamsarmax dry bulk vessels, to be built at Tsuneishi Group (Zhoushan) Shipbuilding Inc., China. The vessels are expected to be delivered to the Company by the second half of 2027 and the first half of 2028. As of December 31, 2025 and 2024, advances for vessels under construction amounted to $</w:t>
      </w:r>
      <w:bookmarkStart w:id="603" w:name="XBRL_CS_b25965c475ea4951872f70ed202c0055"/>
      <w:r w:rsidRPr="009536A2">
        <w:rPr>
          <w:rFonts w:ascii="Arial" w:eastAsia="Arial" w:hAnsi="Arial" w:cs="Arial"/>
          <w:lang w:val="en-GB" w:bidi="en-US"/>
        </w:rPr>
        <w:t>20,877</w:t>
      </w:r>
      <w:bookmarkEnd w:id="603"/>
      <w:r w:rsidRPr="009536A2">
        <w:rPr>
          <w:rFonts w:ascii="Arial" w:eastAsia="Arial" w:hAnsi="Arial" w:cs="Arial"/>
          <w:lang w:val="en-GB" w:bidi="en-US"/>
        </w:rPr>
        <w:t xml:space="preserve"> and $</w:t>
      </w:r>
      <w:bookmarkStart w:id="604" w:name="XBRL_CS_fc303ff6a3d34ee8bbc349778ebf9e27"/>
      <w:r w:rsidRPr="009536A2">
        <w:rPr>
          <w:rFonts w:ascii="Arial" w:eastAsia="Arial" w:hAnsi="Arial" w:cs="Arial"/>
          <w:lang w:val="en-GB" w:bidi="en-US"/>
        </w:rPr>
        <w:t>19,558</w:t>
      </w:r>
      <w:bookmarkEnd w:id="604"/>
      <w:r w:rsidRPr="009536A2">
        <w:rPr>
          <w:rFonts w:ascii="Arial" w:eastAsia="Arial" w:hAnsi="Arial" w:cs="Arial"/>
          <w:lang w:val="en-GB" w:bidi="en-US"/>
        </w:rPr>
        <w:t>, respectively, of which $</w:t>
      </w:r>
      <w:bookmarkStart w:id="605" w:name="XBRL_CS_ae313b4279244b05b02ec2f9e0a404d5"/>
      <w:r w:rsidRPr="009536A2">
        <w:rPr>
          <w:rFonts w:ascii="Arial" w:eastAsia="Arial" w:hAnsi="Arial" w:cs="Arial"/>
          <w:lang w:val="en-GB" w:bidi="en-US"/>
        </w:rPr>
        <w:t>2,446</w:t>
      </w:r>
      <w:bookmarkEnd w:id="605"/>
      <w:r w:rsidRPr="009536A2">
        <w:rPr>
          <w:rFonts w:ascii="Arial" w:eastAsia="Arial" w:hAnsi="Arial" w:cs="Arial"/>
          <w:lang w:val="en-GB" w:bidi="en-US"/>
        </w:rPr>
        <w:t xml:space="preserve"> and $</w:t>
      </w:r>
      <w:bookmarkStart w:id="606" w:name="XBRL_CS_bd8360ed30cf4a038d2819fa34ae6ddf"/>
      <w:r w:rsidRPr="009536A2">
        <w:rPr>
          <w:rFonts w:ascii="Arial" w:eastAsia="Arial" w:hAnsi="Arial" w:cs="Arial"/>
          <w:lang w:val="en-GB" w:bidi="en-US"/>
        </w:rPr>
        <w:t>1,1</w:t>
      </w:r>
      <w:r w:rsidR="0091281A">
        <w:rPr>
          <w:rFonts w:ascii="Arial" w:eastAsia="Arial" w:hAnsi="Arial" w:cs="Arial"/>
          <w:lang w:val="en-GB" w:bidi="en-US"/>
        </w:rPr>
        <w:t>46</w:t>
      </w:r>
      <w:bookmarkEnd w:id="606"/>
      <w:r w:rsidRPr="009536A2">
        <w:rPr>
          <w:rFonts w:ascii="Arial" w:eastAsia="Arial" w:hAnsi="Arial" w:cs="Arial"/>
          <w:lang w:val="en-GB" w:bidi="en-US"/>
        </w:rPr>
        <w:t xml:space="preserve"> was capitalized interest. </w:t>
      </w:r>
      <w:r w:rsidR="00A717C4">
        <w:rPr>
          <w:rFonts w:ascii="Arial" w:eastAsia="Arial" w:hAnsi="Arial" w:cs="Arial"/>
          <w:lang w:val="en-GB" w:bidi="en-US"/>
        </w:rPr>
        <w:t>In</w:t>
      </w:r>
      <w:r w:rsidRPr="009536A2">
        <w:rPr>
          <w:rFonts w:ascii="Arial" w:eastAsia="Arial" w:hAnsi="Arial" w:cs="Arial"/>
          <w:lang w:val="en-GB" w:bidi="en-US"/>
        </w:rPr>
        <w:t xml:space="preserve"> 2025</w:t>
      </w:r>
      <w:r w:rsidR="00735D8B">
        <w:rPr>
          <w:rFonts w:ascii="Arial" w:eastAsia="Arial" w:hAnsi="Arial" w:cs="Arial"/>
          <w:lang w:val="en-GB" w:bidi="en-US"/>
        </w:rPr>
        <w:t xml:space="preserve"> and </w:t>
      </w:r>
      <w:r w:rsidR="00735D8B" w:rsidRPr="009536A2">
        <w:rPr>
          <w:rFonts w:ascii="Arial" w:eastAsia="Arial" w:hAnsi="Arial" w:cs="Arial"/>
          <w:lang w:val="en-GB" w:bidi="en-US"/>
        </w:rPr>
        <w:t>2024</w:t>
      </w:r>
      <w:r w:rsidRPr="009536A2">
        <w:rPr>
          <w:rFonts w:ascii="Arial" w:eastAsia="Arial" w:hAnsi="Arial" w:cs="Arial"/>
          <w:lang w:val="en-GB" w:bidi="en-US"/>
        </w:rPr>
        <w:t>, an amount of $</w:t>
      </w:r>
      <w:bookmarkStart w:id="607" w:name="XBRL_CS_7b54d48d7e0c40f29ebd8eb196bf479c"/>
      <w:r w:rsidRPr="009536A2">
        <w:rPr>
          <w:rFonts w:ascii="Arial" w:eastAsia="Arial" w:hAnsi="Arial" w:cs="Arial"/>
          <w:lang w:val="en-GB" w:bidi="en-US"/>
        </w:rPr>
        <w:t>1,</w:t>
      </w:r>
      <w:r w:rsidR="00EF58BF">
        <w:rPr>
          <w:rFonts w:ascii="Arial" w:eastAsia="Arial" w:hAnsi="Arial" w:cs="Arial"/>
          <w:lang w:val="en-GB" w:bidi="en-US"/>
        </w:rPr>
        <w:t>319</w:t>
      </w:r>
      <w:bookmarkEnd w:id="607"/>
      <w:r w:rsidR="00735D8B">
        <w:rPr>
          <w:rFonts w:ascii="Arial" w:eastAsia="Arial" w:hAnsi="Arial" w:cs="Arial"/>
          <w:lang w:val="en-GB" w:bidi="en-US"/>
        </w:rPr>
        <w:t xml:space="preserve"> and $</w:t>
      </w:r>
      <w:bookmarkStart w:id="608" w:name="XBRL_CS_2a8bedf9c2454afab847933ee5970166"/>
      <w:r w:rsidR="00735D8B">
        <w:rPr>
          <w:rFonts w:ascii="Arial" w:eastAsia="Arial" w:hAnsi="Arial" w:cs="Arial"/>
          <w:lang w:val="en-GB" w:bidi="en-US"/>
        </w:rPr>
        <w:t>1,158</w:t>
      </w:r>
      <w:bookmarkEnd w:id="608"/>
      <w:r w:rsidRPr="009536A2">
        <w:rPr>
          <w:rFonts w:ascii="Arial" w:eastAsia="Arial" w:hAnsi="Arial" w:cs="Arial"/>
          <w:lang w:val="en-GB" w:bidi="en-US"/>
        </w:rPr>
        <w:t>, including capitalized interest of $</w:t>
      </w:r>
      <w:bookmarkStart w:id="609" w:name="XBRL_CS_18707fa086b9442c9f9ccc95e4eb4d2b"/>
      <w:r w:rsidRPr="009536A2">
        <w:rPr>
          <w:rFonts w:ascii="Arial" w:eastAsia="Arial" w:hAnsi="Arial" w:cs="Arial"/>
          <w:lang w:val="en-GB" w:bidi="en-US"/>
        </w:rPr>
        <w:t>1,</w:t>
      </w:r>
      <w:r w:rsidR="00EF58BF">
        <w:rPr>
          <w:rFonts w:ascii="Arial" w:eastAsia="Arial" w:hAnsi="Arial" w:cs="Arial"/>
          <w:lang w:val="en-GB" w:bidi="en-US"/>
        </w:rPr>
        <w:t>299</w:t>
      </w:r>
      <w:bookmarkEnd w:id="609"/>
      <w:r w:rsidR="00735D8B">
        <w:rPr>
          <w:rFonts w:ascii="Arial" w:eastAsia="Arial" w:hAnsi="Arial" w:cs="Arial"/>
          <w:lang w:val="en-GB" w:bidi="en-US"/>
        </w:rPr>
        <w:t xml:space="preserve"> and $</w:t>
      </w:r>
      <w:bookmarkStart w:id="610" w:name="XBRL_CS_93d285a44f284d138a4fb1da93b28ad1"/>
      <w:r w:rsidR="00735D8B">
        <w:rPr>
          <w:rFonts w:ascii="Arial" w:eastAsia="Arial" w:hAnsi="Arial" w:cs="Arial"/>
          <w:lang w:val="en-GB" w:bidi="en-US"/>
        </w:rPr>
        <w:t>1,146</w:t>
      </w:r>
      <w:bookmarkEnd w:id="610"/>
      <w:r w:rsidRPr="009536A2">
        <w:rPr>
          <w:rFonts w:ascii="Arial" w:eastAsia="Arial" w:hAnsi="Arial" w:cs="Arial"/>
          <w:lang w:val="en-GB" w:bidi="en-US"/>
        </w:rPr>
        <w:t>,</w:t>
      </w:r>
      <w:r w:rsidR="00735D8B">
        <w:rPr>
          <w:rFonts w:ascii="Arial" w:eastAsia="Arial" w:hAnsi="Arial" w:cs="Arial"/>
          <w:lang w:val="en-GB" w:bidi="en-US"/>
        </w:rPr>
        <w:t xml:space="preserve"> respectively,</w:t>
      </w:r>
      <w:r w:rsidRPr="009536A2">
        <w:rPr>
          <w:rFonts w:ascii="Arial" w:eastAsia="Arial" w:hAnsi="Arial" w:cs="Arial"/>
          <w:lang w:val="en-GB" w:bidi="en-US"/>
        </w:rPr>
        <w:t xml:space="preserve"> was capitalized. </w:t>
      </w:r>
    </w:p>
    <w:p w14:paraId="71F3F6BB" w14:textId="77777777" w:rsidR="00E07DD6" w:rsidRPr="009536A2" w:rsidRDefault="00E07DD6" w:rsidP="00E44A86">
      <w:pPr>
        <w:pBdr>
          <w:top w:val="nil"/>
          <w:left w:val="nil"/>
          <w:bottom w:val="nil"/>
          <w:right w:val="nil"/>
          <w:between w:val="nil"/>
          <w:bar w:val="nil"/>
        </w:pBdr>
        <w:jc w:val="both"/>
        <w:rPr>
          <w:rFonts w:ascii="Arial" w:eastAsia="Arial" w:hAnsi="Arial" w:cs="Arial"/>
          <w:bdr w:val="nil"/>
          <w:lang w:val="en-GB"/>
        </w:rPr>
      </w:pPr>
    </w:p>
    <w:p w14:paraId="71F3F6BC" w14:textId="77777777" w:rsidR="007B0CA4" w:rsidRPr="009F0D89" w:rsidRDefault="003A4815" w:rsidP="00396EED">
      <w:pPr>
        <w:pStyle w:val="Heading2"/>
        <w:keepLines/>
        <w:pBdr>
          <w:top w:val="nil"/>
          <w:left w:val="nil"/>
          <w:bottom w:val="nil"/>
          <w:right w:val="nil"/>
          <w:between w:val="nil"/>
          <w:bar w:val="nil"/>
        </w:pBdr>
        <w:autoSpaceDE w:val="0"/>
        <w:autoSpaceDN w:val="0"/>
        <w:rPr>
          <w:rFonts w:ascii="Arial" w:eastAsia="Arial" w:hAnsi="Arial" w:cs="Arial"/>
          <w:i w:val="0"/>
          <w:iCs w:val="0"/>
          <w:color w:val="auto"/>
          <w:sz w:val="22"/>
          <w:bdr w:val="nil"/>
          <w:lang w:bidi="en-US"/>
        </w:rPr>
      </w:pPr>
      <w:r w:rsidRPr="009F0D89">
        <w:rPr>
          <w:rFonts w:ascii="Arial" w:eastAsia="Arial" w:hAnsi="Arial" w:cs="Arial"/>
          <w:i w:val="0"/>
          <w:iCs w:val="0"/>
          <w:color w:val="auto"/>
          <w:sz w:val="22"/>
          <w:bdr w:val="none" w:sz="0" w:space="0" w:color="auto" w:frame="1"/>
          <w:lang w:bidi="en-US"/>
        </w:rPr>
        <w:t>Vessel Disposals</w:t>
      </w:r>
    </w:p>
    <w:p w14:paraId="71F3F6BD" w14:textId="77777777" w:rsidR="009536A2" w:rsidRDefault="009536A2" w:rsidP="00396EED">
      <w:pPr>
        <w:pBdr>
          <w:top w:val="nil"/>
          <w:left w:val="nil"/>
          <w:bottom w:val="nil"/>
          <w:right w:val="nil"/>
          <w:between w:val="nil"/>
          <w:bar w:val="nil"/>
        </w:pBdr>
        <w:jc w:val="both"/>
        <w:rPr>
          <w:rFonts w:ascii="Arial" w:eastAsia="Arial" w:hAnsi="Arial" w:cs="Arial"/>
          <w:bdr w:val="nil"/>
          <w:lang w:val="en-GB"/>
        </w:rPr>
      </w:pPr>
    </w:p>
    <w:p w14:paraId="71F3F6BE" w14:textId="77777777" w:rsidR="009536A2" w:rsidRPr="009536A2" w:rsidRDefault="003A4815" w:rsidP="009536A2">
      <w:pPr>
        <w:pBdr>
          <w:top w:val="nil"/>
          <w:left w:val="nil"/>
          <w:bottom w:val="nil"/>
          <w:right w:val="nil"/>
          <w:between w:val="nil"/>
          <w:bar w:val="nil"/>
        </w:pBdr>
        <w:jc w:val="both"/>
        <w:rPr>
          <w:rFonts w:ascii="Arial" w:eastAsia="Arial" w:hAnsi="Arial" w:cs="Arial"/>
          <w:bdr w:val="nil"/>
          <w:lang w:val="en-GB"/>
        </w:rPr>
      </w:pPr>
      <w:r>
        <w:rPr>
          <w:rFonts w:ascii="Arial" w:eastAsia="Arial" w:hAnsi="Arial" w:cs="Arial"/>
          <w:lang w:val="en-GB" w:bidi="en-US"/>
        </w:rPr>
        <w:t xml:space="preserve">In </w:t>
      </w:r>
      <w:r w:rsidRPr="00F22FC5">
        <w:rPr>
          <w:rFonts w:ascii="Arial" w:eastAsia="Arial" w:hAnsi="Arial" w:cs="Arial"/>
          <w:lang w:val="en-GB" w:bidi="en-US"/>
        </w:rPr>
        <w:t>2024</w:t>
      </w:r>
      <w:r>
        <w:rPr>
          <w:rFonts w:ascii="Arial" w:eastAsia="Arial" w:hAnsi="Arial" w:cs="Arial"/>
          <w:lang w:val="en-GB" w:bidi="en-US"/>
        </w:rPr>
        <w:t xml:space="preserve">, </w:t>
      </w:r>
      <w:r w:rsidRPr="009536A2">
        <w:rPr>
          <w:rFonts w:ascii="Arial" w:eastAsia="Arial" w:hAnsi="Arial" w:cs="Arial"/>
          <w:lang w:val="en-GB" w:bidi="en-US"/>
        </w:rPr>
        <w:t xml:space="preserve">the Company sold to unrelated third parties the vessels </w:t>
      </w:r>
      <w:r w:rsidRPr="009536A2">
        <w:rPr>
          <w:rFonts w:ascii="Arial" w:eastAsia="Arial" w:hAnsi="Arial" w:cs="Arial"/>
          <w:i/>
          <w:iCs/>
          <w:lang w:val="en-GB" w:bidi="en-US"/>
        </w:rPr>
        <w:t>Artemis</w:t>
      </w:r>
      <w:r w:rsidRPr="009536A2">
        <w:rPr>
          <w:rFonts w:ascii="Arial" w:eastAsia="Arial" w:hAnsi="Arial" w:cs="Arial"/>
          <w:lang w:val="en-GB" w:bidi="en-US"/>
        </w:rPr>
        <w:t xml:space="preserve"> and </w:t>
      </w:r>
      <w:r w:rsidRPr="009536A2">
        <w:rPr>
          <w:rFonts w:ascii="Arial" w:eastAsia="Arial" w:hAnsi="Arial" w:cs="Arial"/>
          <w:i/>
          <w:iCs/>
          <w:lang w:val="en-GB" w:bidi="en-US"/>
        </w:rPr>
        <w:t>Houston</w:t>
      </w:r>
      <w:r w:rsidRPr="009536A2">
        <w:rPr>
          <w:rFonts w:ascii="Arial" w:eastAsia="Arial" w:hAnsi="Arial" w:cs="Arial"/>
          <w:lang w:val="en-US" w:bidi="en-US"/>
        </w:rPr>
        <w:t xml:space="preserve"> and recognized an aggregate gain</w:t>
      </w:r>
      <w:r>
        <w:rPr>
          <w:rFonts w:ascii="Arial" w:eastAsia="Arial" w:hAnsi="Arial" w:cs="Arial"/>
          <w:lang w:val="en-US" w:bidi="en-US"/>
        </w:rPr>
        <w:t xml:space="preserve"> on sale</w:t>
      </w:r>
      <w:r w:rsidRPr="009536A2">
        <w:rPr>
          <w:rFonts w:ascii="Arial" w:eastAsia="Arial" w:hAnsi="Arial" w:cs="Arial"/>
          <w:lang w:val="en-US" w:bidi="en-US"/>
        </w:rPr>
        <w:t xml:space="preserve"> of $</w:t>
      </w:r>
      <w:bookmarkStart w:id="611" w:name="XBRL_CS_078771ac957749a3a6d54820a74cdc05"/>
      <w:r w:rsidRPr="009536A2">
        <w:rPr>
          <w:rFonts w:ascii="Arial" w:eastAsia="Arial" w:hAnsi="Arial" w:cs="Arial"/>
          <w:lang w:val="en-US" w:bidi="en-US"/>
        </w:rPr>
        <w:t>5,799</w:t>
      </w:r>
      <w:bookmarkEnd w:id="611"/>
      <w:r w:rsidRPr="009536A2">
        <w:rPr>
          <w:rFonts w:ascii="Arial" w:eastAsia="Arial" w:hAnsi="Arial" w:cs="Arial"/>
          <w:lang w:val="en-US" w:bidi="en-US"/>
        </w:rPr>
        <w:t>.</w:t>
      </w:r>
    </w:p>
    <w:p w14:paraId="71F3F6BF" w14:textId="77777777" w:rsidR="003A56B9" w:rsidRDefault="003A4815" w:rsidP="00E44A86">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lang w:val="en-GB" w:bidi="en-US"/>
        </w:rPr>
        <w:t xml:space="preserve"> </w:t>
      </w:r>
    </w:p>
    <w:p w14:paraId="71F3F6C0" w14:textId="77777777" w:rsidR="003A56B9" w:rsidRDefault="003A4815" w:rsidP="003A56B9">
      <w:pPr>
        <w:pBdr>
          <w:top w:val="nil"/>
          <w:left w:val="nil"/>
          <w:bottom w:val="nil"/>
          <w:right w:val="nil"/>
          <w:between w:val="nil"/>
          <w:bar w:val="nil"/>
        </w:pBdr>
        <w:jc w:val="both"/>
        <w:rPr>
          <w:rFonts w:ascii="Arial" w:eastAsia="Arial" w:hAnsi="Arial" w:cs="Arial"/>
          <w:bdr w:val="nil"/>
          <w:lang w:val="en-GB"/>
        </w:rPr>
      </w:pPr>
      <w:r>
        <w:rPr>
          <w:rFonts w:ascii="Arial" w:eastAsia="Arial" w:hAnsi="Arial" w:cs="Arial"/>
          <w:lang w:val="en-GB" w:bidi="en-US"/>
        </w:rPr>
        <w:t xml:space="preserve">In </w:t>
      </w:r>
      <w:r w:rsidRPr="00F22FC5">
        <w:rPr>
          <w:rFonts w:ascii="Arial" w:eastAsia="Arial" w:hAnsi="Arial" w:cs="Arial"/>
          <w:lang w:val="en-GB" w:bidi="en-US"/>
        </w:rPr>
        <w:t>2025</w:t>
      </w:r>
      <w:r>
        <w:rPr>
          <w:rFonts w:ascii="Arial" w:eastAsia="Arial" w:hAnsi="Arial" w:cs="Arial"/>
          <w:lang w:val="en-GB" w:bidi="en-US"/>
        </w:rPr>
        <w:t>, the Company sold to unrelated third parties</w:t>
      </w:r>
      <w:r w:rsidR="007601E8">
        <w:rPr>
          <w:rFonts w:ascii="Arial" w:eastAsia="Arial" w:hAnsi="Arial" w:cs="Arial"/>
          <w:lang w:val="en-GB" w:bidi="en-US"/>
        </w:rPr>
        <w:t xml:space="preserve"> the</w:t>
      </w:r>
      <w:r>
        <w:rPr>
          <w:rFonts w:ascii="Arial" w:eastAsia="Arial" w:hAnsi="Arial" w:cs="Arial"/>
          <w:lang w:val="en-GB" w:bidi="en-US"/>
        </w:rPr>
        <w:t xml:space="preserve"> vessels </w:t>
      </w:r>
      <w:r w:rsidRPr="003A56B9">
        <w:rPr>
          <w:rFonts w:ascii="Arial" w:eastAsia="Arial" w:hAnsi="Arial" w:cs="Arial"/>
          <w:i/>
          <w:iCs/>
          <w:lang w:val="en-GB" w:bidi="en-US"/>
        </w:rPr>
        <w:t>A</w:t>
      </w:r>
      <w:r w:rsidR="009536A2">
        <w:rPr>
          <w:rFonts w:ascii="Arial" w:eastAsia="Arial" w:hAnsi="Arial" w:cs="Arial"/>
          <w:i/>
          <w:iCs/>
          <w:lang w:val="en-GB" w:bidi="en-US"/>
        </w:rPr>
        <w:t>lcmene</w:t>
      </w:r>
      <w:r>
        <w:rPr>
          <w:rFonts w:ascii="Arial" w:eastAsia="Arial" w:hAnsi="Arial" w:cs="Arial"/>
          <w:lang w:val="en-GB" w:bidi="en-US"/>
        </w:rPr>
        <w:t xml:space="preserve"> and </w:t>
      </w:r>
      <w:r w:rsidR="009536A2">
        <w:rPr>
          <w:rFonts w:ascii="Arial" w:eastAsia="Arial" w:hAnsi="Arial" w:cs="Arial"/>
          <w:i/>
          <w:iCs/>
          <w:lang w:val="en-GB" w:bidi="en-US"/>
        </w:rPr>
        <w:t>Selina</w:t>
      </w:r>
      <w:r w:rsidRPr="003A56B9">
        <w:rPr>
          <w:rFonts w:ascii="Arial" w:eastAsia="Arial" w:hAnsi="Arial" w:cs="Arial"/>
          <w:szCs w:val="24"/>
          <w:bdr w:val="none" w:sz="0" w:space="0" w:color="auto" w:frame="1"/>
          <w:lang w:val="en-US" w:bidi="en-US"/>
        </w:rPr>
        <w:t xml:space="preserve"> </w:t>
      </w:r>
      <w:r w:rsidR="007601E8">
        <w:rPr>
          <w:rFonts w:ascii="Arial" w:eastAsia="Arial" w:hAnsi="Arial" w:cs="Arial"/>
          <w:szCs w:val="24"/>
          <w:bdr w:val="none" w:sz="0" w:space="0" w:color="auto" w:frame="1"/>
          <w:lang w:val="en-US" w:bidi="en-US"/>
        </w:rPr>
        <w:t xml:space="preserve">and recognized an aggregate </w:t>
      </w:r>
      <w:r w:rsidRPr="002133F2">
        <w:rPr>
          <w:rFonts w:ascii="Arial" w:eastAsia="Arial" w:hAnsi="Arial" w:cs="Arial"/>
          <w:szCs w:val="24"/>
          <w:bdr w:val="none" w:sz="0" w:space="0" w:color="auto" w:frame="1"/>
          <w:lang w:val="en-US" w:bidi="en-US"/>
        </w:rPr>
        <w:t>gain</w:t>
      </w:r>
      <w:r w:rsidR="003E749A">
        <w:rPr>
          <w:rFonts w:ascii="Arial" w:eastAsia="Arial" w:hAnsi="Arial" w:cs="Arial"/>
          <w:szCs w:val="24"/>
          <w:bdr w:val="none" w:sz="0" w:space="0" w:color="auto" w:frame="1"/>
          <w:lang w:val="en-US" w:bidi="en-US"/>
        </w:rPr>
        <w:t xml:space="preserve"> on sale</w:t>
      </w:r>
      <w:r w:rsidRPr="002133F2">
        <w:rPr>
          <w:rFonts w:ascii="Arial" w:eastAsia="Arial" w:hAnsi="Arial" w:cs="Arial"/>
          <w:szCs w:val="24"/>
          <w:bdr w:val="none" w:sz="0" w:space="0" w:color="auto" w:frame="1"/>
          <w:lang w:val="en-US" w:bidi="en-US"/>
        </w:rPr>
        <w:t xml:space="preserve"> </w:t>
      </w:r>
      <w:r>
        <w:rPr>
          <w:rFonts w:ascii="Arial" w:eastAsia="Arial" w:hAnsi="Arial" w:cs="Arial"/>
          <w:szCs w:val="24"/>
          <w:bdr w:val="none" w:sz="0" w:space="0" w:color="auto" w:frame="1"/>
          <w:lang w:val="en-US" w:bidi="en-US"/>
        </w:rPr>
        <w:t>of</w:t>
      </w:r>
      <w:r w:rsidRPr="002133F2">
        <w:rPr>
          <w:rFonts w:ascii="Arial" w:eastAsia="Arial" w:hAnsi="Arial" w:cs="Arial"/>
          <w:szCs w:val="24"/>
          <w:bdr w:val="none" w:sz="0" w:space="0" w:color="auto" w:frame="1"/>
          <w:lang w:val="en-US" w:bidi="en-US"/>
        </w:rPr>
        <w:t xml:space="preserve"> </w:t>
      </w:r>
      <w:r w:rsidRPr="00E64388">
        <w:rPr>
          <w:rFonts w:ascii="Arial" w:eastAsia="Arial" w:hAnsi="Arial" w:cs="Arial"/>
          <w:szCs w:val="24"/>
          <w:bdr w:val="none" w:sz="0" w:space="0" w:color="auto" w:frame="1"/>
          <w:lang w:val="en-US" w:bidi="en-US"/>
        </w:rPr>
        <w:t>$</w:t>
      </w:r>
      <w:bookmarkStart w:id="612" w:name="XBRL_CS_5385c8fff3b0486a8f70db2516b3c653"/>
      <w:r w:rsidR="00E64388" w:rsidRPr="00E64388">
        <w:rPr>
          <w:rFonts w:ascii="Arial" w:eastAsia="Arial" w:hAnsi="Arial" w:cs="Arial"/>
          <w:szCs w:val="24"/>
          <w:bdr w:val="none" w:sz="0" w:space="0" w:color="auto" w:frame="1"/>
          <w:lang w:val="en-US" w:bidi="en-US"/>
        </w:rPr>
        <w:t>3</w:t>
      </w:r>
      <w:r w:rsidR="007601E8" w:rsidRPr="00E64388">
        <w:rPr>
          <w:rFonts w:ascii="Arial" w:eastAsia="Arial" w:hAnsi="Arial" w:cs="Arial"/>
          <w:szCs w:val="24"/>
          <w:bdr w:val="none" w:sz="0" w:space="0" w:color="auto" w:frame="1"/>
          <w:lang w:val="en-US" w:bidi="en-US"/>
        </w:rPr>
        <w:t>,</w:t>
      </w:r>
      <w:r w:rsidR="00E64388" w:rsidRPr="00E64388">
        <w:rPr>
          <w:rFonts w:ascii="Arial" w:eastAsia="Arial" w:hAnsi="Arial" w:cs="Arial"/>
          <w:szCs w:val="24"/>
          <w:bdr w:val="none" w:sz="0" w:space="0" w:color="auto" w:frame="1"/>
          <w:lang w:val="en-US" w:bidi="en-US"/>
        </w:rPr>
        <w:t>6</w:t>
      </w:r>
      <w:r w:rsidR="001E5D77">
        <w:rPr>
          <w:rFonts w:ascii="Arial" w:eastAsia="Arial" w:hAnsi="Arial" w:cs="Arial"/>
          <w:szCs w:val="24"/>
          <w:bdr w:val="none" w:sz="0" w:space="0" w:color="auto" w:frame="1"/>
          <w:lang w:val="en-US" w:bidi="en-US"/>
        </w:rPr>
        <w:t>63</w:t>
      </w:r>
      <w:bookmarkEnd w:id="612"/>
      <w:r w:rsidRPr="00E64388">
        <w:rPr>
          <w:rFonts w:ascii="Arial" w:eastAsia="Arial" w:hAnsi="Arial" w:cs="Arial"/>
          <w:szCs w:val="24"/>
          <w:bdr w:val="none" w:sz="0" w:space="0" w:color="auto" w:frame="1"/>
          <w:lang w:val="en-US" w:bidi="en-US"/>
        </w:rPr>
        <w:t>.</w:t>
      </w:r>
    </w:p>
    <w:p w14:paraId="71F3F6C1" w14:textId="77777777" w:rsidR="0053093E" w:rsidRPr="00834490" w:rsidRDefault="0053093E" w:rsidP="009F0D89">
      <w:pPr>
        <w:pStyle w:val="Notesbody"/>
        <w:widowControl w:val="0"/>
        <w:pBdr>
          <w:top w:val="nil"/>
          <w:left w:val="nil"/>
          <w:bottom w:val="nil"/>
          <w:right w:val="nil"/>
          <w:between w:val="nil"/>
          <w:bar w:val="nil"/>
        </w:pBdr>
        <w:rPr>
          <w:rFonts w:ascii="Arial" w:eastAsia="Arial" w:hAnsi="Arial" w:cs="Arial"/>
          <w:color w:val="auto"/>
          <w:szCs w:val="24"/>
          <w:bdr w:val="nil"/>
          <w:lang w:bidi="en-US"/>
        </w:rPr>
      </w:pPr>
    </w:p>
    <w:p w14:paraId="71F3F6C2" w14:textId="77777777" w:rsidR="007B0CA4" w:rsidRPr="002133F2" w:rsidRDefault="003A4815" w:rsidP="009F0D89">
      <w:pPr>
        <w:pBdr>
          <w:top w:val="nil"/>
          <w:left w:val="nil"/>
          <w:bottom w:val="nil"/>
          <w:right w:val="nil"/>
          <w:between w:val="nil"/>
          <w:bar w:val="nil"/>
        </w:pBdr>
        <w:jc w:val="both"/>
        <w:rPr>
          <w:rFonts w:ascii="Arial" w:eastAsia="Arial" w:hAnsi="Arial" w:cs="Arial"/>
          <w:bdr w:val="nil"/>
          <w:lang w:val="en-US"/>
        </w:rPr>
      </w:pPr>
      <w:r w:rsidRPr="002133F2">
        <w:rPr>
          <w:rFonts w:ascii="Arial" w:eastAsia="Arial" w:hAnsi="Arial" w:cs="Arial"/>
          <w:szCs w:val="24"/>
          <w:bdr w:val="none" w:sz="0" w:space="0" w:color="auto" w:frame="1"/>
          <w:lang w:val="en-US" w:bidi="en-US"/>
        </w:rPr>
        <w:t xml:space="preserve">The amount reflected in Vessels, net in the accompanying consolidated balance sheets </w:t>
      </w:r>
      <w:r>
        <w:rPr>
          <w:rFonts w:ascii="Arial" w:eastAsia="Arial" w:hAnsi="Arial" w:cs="Arial"/>
          <w:szCs w:val="24"/>
          <w:bdr w:val="none" w:sz="0" w:space="0" w:color="auto" w:frame="1"/>
          <w:lang w:val="en-US" w:bidi="en-US"/>
        </w:rPr>
        <w:t>is</w:t>
      </w:r>
      <w:r w:rsidRPr="002133F2">
        <w:rPr>
          <w:rFonts w:ascii="Arial" w:eastAsia="Arial" w:hAnsi="Arial" w:cs="Arial"/>
          <w:szCs w:val="24"/>
          <w:bdr w:val="none" w:sz="0" w:space="0" w:color="auto" w:frame="1"/>
          <w:lang w:val="en-US" w:bidi="en-US"/>
        </w:rPr>
        <w:t xml:space="preserve"> analyzed as follows:</w:t>
      </w:r>
      <w:bookmarkEnd w:id="601"/>
    </w:p>
    <w:tbl>
      <w:tblPr>
        <w:tblStyle w:val="CDMRange2"/>
        <w:tblW w:w="10260" w:type="dxa"/>
        <w:tblLayout w:type="fixed"/>
        <w:tblLook w:val="0600" w:firstRow="0" w:lastRow="0" w:firstColumn="0" w:lastColumn="0" w:noHBand="1" w:noVBand="1"/>
      </w:tblPr>
      <w:tblGrid>
        <w:gridCol w:w="285"/>
        <w:gridCol w:w="5115"/>
        <w:gridCol w:w="180"/>
        <w:gridCol w:w="1440"/>
        <w:gridCol w:w="180"/>
        <w:gridCol w:w="1440"/>
        <w:gridCol w:w="180"/>
        <w:gridCol w:w="1440"/>
      </w:tblGrid>
      <w:tr w:rsidR="00510CAA" w14:paraId="71F3F6CB" w14:textId="77777777">
        <w:trPr>
          <w:cantSplit/>
          <w:trHeight w:hRule="exact" w:val="510"/>
        </w:trPr>
        <w:tc>
          <w:tcPr>
            <w:tcW w:w="285" w:type="dxa"/>
            <w:tcBorders>
              <w:top w:val="nil"/>
              <w:left w:val="nil"/>
              <w:bottom w:val="nil"/>
              <w:right w:val="nil"/>
              <w:tl2br w:val="nil"/>
              <w:tr2bl w:val="nil"/>
            </w:tcBorders>
            <w:tcMar>
              <w:left w:w="0" w:type="dxa"/>
              <w:right w:w="0" w:type="dxa"/>
            </w:tcMar>
            <w:vAlign w:val="bottom"/>
          </w:tcPr>
          <w:p w14:paraId="71F3F6C3" w14:textId="77777777" w:rsidR="00510CAA" w:rsidRDefault="00510CAA">
            <w:pPr>
              <w:keepNext/>
              <w:rPr>
                <w:rFonts w:ascii="Arial" w:eastAsia="Arial" w:hAnsi="Arial" w:cs="Arial"/>
                <w:color w:val="000000"/>
                <w:sz w:val="20"/>
              </w:rPr>
            </w:pPr>
            <w:bookmarkStart w:id="613" w:name="RG_MARKER_23116"/>
            <w:bookmarkEnd w:id="613"/>
          </w:p>
        </w:tc>
        <w:tc>
          <w:tcPr>
            <w:tcW w:w="5115" w:type="dxa"/>
            <w:tcBorders>
              <w:top w:val="nil"/>
              <w:left w:val="nil"/>
              <w:bottom w:val="nil"/>
              <w:right w:val="nil"/>
              <w:tl2br w:val="nil"/>
              <w:tr2bl w:val="nil"/>
            </w:tcBorders>
            <w:tcMar>
              <w:left w:w="0" w:type="dxa"/>
              <w:right w:w="0" w:type="dxa"/>
            </w:tcMar>
            <w:vAlign w:val="bottom"/>
          </w:tcPr>
          <w:p w14:paraId="71F3F6C4"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6C5"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6C6"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Vessel Cost</w:t>
            </w:r>
          </w:p>
        </w:tc>
        <w:tc>
          <w:tcPr>
            <w:tcW w:w="180" w:type="dxa"/>
            <w:tcBorders>
              <w:top w:val="nil"/>
              <w:left w:val="nil"/>
              <w:bottom w:val="nil"/>
              <w:right w:val="nil"/>
              <w:tl2br w:val="nil"/>
              <w:tr2bl w:val="nil"/>
            </w:tcBorders>
            <w:noWrap/>
            <w:tcMar>
              <w:left w:w="0" w:type="dxa"/>
              <w:right w:w="0" w:type="dxa"/>
            </w:tcMar>
            <w:vAlign w:val="bottom"/>
          </w:tcPr>
          <w:p w14:paraId="71F3F6C7"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6C8"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Accumulated Depreciation</w:t>
            </w:r>
          </w:p>
        </w:tc>
        <w:tc>
          <w:tcPr>
            <w:tcW w:w="180" w:type="dxa"/>
            <w:tcBorders>
              <w:top w:val="nil"/>
              <w:left w:val="nil"/>
              <w:bottom w:val="nil"/>
              <w:right w:val="nil"/>
              <w:tl2br w:val="nil"/>
              <w:tr2bl w:val="nil"/>
            </w:tcBorders>
            <w:noWrap/>
            <w:tcMar>
              <w:left w:w="0" w:type="dxa"/>
              <w:right w:w="0" w:type="dxa"/>
            </w:tcMar>
            <w:vAlign w:val="bottom"/>
          </w:tcPr>
          <w:p w14:paraId="71F3F6C9"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6C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Net Book Value</w:t>
            </w:r>
          </w:p>
        </w:tc>
      </w:tr>
      <w:tr w:rsidR="00510CAA" w14:paraId="71F3F6D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0"/>
        </w:trPr>
        <w:tc>
          <w:tcPr>
            <w:tcW w:w="285" w:type="dxa"/>
            <w:tcBorders>
              <w:top w:val="nil"/>
              <w:left w:val="nil"/>
              <w:bottom w:val="nil"/>
              <w:right w:val="nil"/>
              <w:tl2br w:val="nil"/>
              <w:tr2bl w:val="nil"/>
            </w:tcBorders>
            <w:noWrap/>
            <w:tcMar>
              <w:left w:w="0" w:type="dxa"/>
              <w:right w:w="0" w:type="dxa"/>
            </w:tcMar>
            <w:vAlign w:val="bottom"/>
          </w:tcPr>
          <w:p w14:paraId="71F3F6CC"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6CD"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6CE"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6CF"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6D0"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6D1"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6D2"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6D3" w14:textId="77777777" w:rsidR="00510CAA" w:rsidRDefault="00510CAA">
            <w:pPr>
              <w:keepNext/>
              <w:jc w:val="right"/>
              <w:rPr>
                <w:rFonts w:ascii="Arial" w:eastAsia="Arial" w:hAnsi="Arial" w:cs="Arial"/>
                <w:color w:val="000000"/>
                <w:sz w:val="20"/>
              </w:rPr>
            </w:pPr>
          </w:p>
        </w:tc>
      </w:tr>
      <w:tr w:rsidR="00510CAA" w14:paraId="71F3F6D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285" w:type="dxa"/>
            <w:tcBorders>
              <w:top w:val="nil"/>
              <w:left w:val="nil"/>
              <w:bottom w:val="nil"/>
              <w:right w:val="nil"/>
              <w:tl2br w:val="nil"/>
              <w:tr2bl w:val="nil"/>
            </w:tcBorders>
            <w:noWrap/>
            <w:tcMar>
              <w:left w:w="0" w:type="dxa"/>
              <w:right w:w="0" w:type="dxa"/>
            </w:tcMar>
            <w:vAlign w:val="bottom"/>
          </w:tcPr>
          <w:p w14:paraId="71F3F6D5"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6D6"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2023</w:t>
            </w:r>
          </w:p>
        </w:tc>
        <w:tc>
          <w:tcPr>
            <w:tcW w:w="180" w:type="dxa"/>
            <w:tcBorders>
              <w:top w:val="nil"/>
              <w:left w:val="nil"/>
              <w:bottom w:val="nil"/>
              <w:right w:val="nil"/>
              <w:tl2br w:val="nil"/>
              <w:tr2bl w:val="nil"/>
            </w:tcBorders>
            <w:noWrap/>
            <w:tcMar>
              <w:left w:w="0" w:type="dxa"/>
              <w:right w:w="0" w:type="dxa"/>
            </w:tcMar>
            <w:vAlign w:val="bottom"/>
          </w:tcPr>
          <w:p w14:paraId="71F3F6D7"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double" w:sz="6" w:space="0" w:color="000000"/>
              <w:right w:val="nil"/>
              <w:tl2br w:val="nil"/>
              <w:tr2bl w:val="nil"/>
            </w:tcBorders>
            <w:noWrap/>
            <w:tcMar>
              <w:left w:w="0" w:type="dxa"/>
              <w:right w:w="60" w:type="dxa"/>
            </w:tcMar>
            <w:vAlign w:val="center"/>
          </w:tcPr>
          <w:p w14:paraId="71F3F6D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1,114,247</w:t>
            </w:r>
          </w:p>
        </w:tc>
        <w:tc>
          <w:tcPr>
            <w:tcW w:w="180" w:type="dxa"/>
            <w:tcBorders>
              <w:top w:val="nil"/>
              <w:left w:val="nil"/>
              <w:bottom w:val="nil"/>
              <w:right w:val="nil"/>
              <w:tl2br w:val="nil"/>
              <w:tr2bl w:val="nil"/>
            </w:tcBorders>
            <w:noWrap/>
            <w:tcMar>
              <w:left w:w="0" w:type="dxa"/>
              <w:right w:w="0" w:type="dxa"/>
            </w:tcMar>
            <w:vAlign w:val="center"/>
          </w:tcPr>
          <w:p w14:paraId="71F3F6D9"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double" w:sz="6" w:space="0" w:color="000000"/>
              <w:right w:val="nil"/>
              <w:tl2br w:val="nil"/>
              <w:tr2bl w:val="nil"/>
            </w:tcBorders>
            <w:noWrap/>
            <w:tcMar>
              <w:left w:w="0" w:type="dxa"/>
              <w:right w:w="0" w:type="dxa"/>
            </w:tcMar>
            <w:vAlign w:val="center"/>
          </w:tcPr>
          <w:p w14:paraId="71F3F6D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(214,055)</w:t>
            </w:r>
          </w:p>
        </w:tc>
        <w:tc>
          <w:tcPr>
            <w:tcW w:w="180" w:type="dxa"/>
            <w:tcBorders>
              <w:top w:val="nil"/>
              <w:left w:val="nil"/>
              <w:bottom w:val="nil"/>
              <w:right w:val="nil"/>
              <w:tl2br w:val="nil"/>
              <w:tr2bl w:val="nil"/>
            </w:tcBorders>
            <w:noWrap/>
            <w:tcMar>
              <w:left w:w="0" w:type="dxa"/>
              <w:right w:w="0" w:type="dxa"/>
            </w:tcMar>
            <w:vAlign w:val="bottom"/>
          </w:tcPr>
          <w:p w14:paraId="71F3F6DB"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6D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900,192</w:t>
            </w:r>
          </w:p>
        </w:tc>
      </w:tr>
      <w:tr w:rsidR="00510CAA" w14:paraId="71F3F6E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bottom"/>
          </w:tcPr>
          <w:p w14:paraId="71F3F6DE" w14:textId="77777777" w:rsidR="00510CAA" w:rsidRDefault="003A4815">
            <w:pPr>
              <w:keepNext/>
              <w:rPr>
                <w:rFonts w:ascii="Arial" w:eastAsia="Arial" w:hAnsi="Arial" w:cs="Arial"/>
                <w:color w:val="000000"/>
                <w:sz w:val="20"/>
              </w:rPr>
            </w:pPr>
            <w:r>
              <w:rPr>
                <w:rFonts w:ascii="Arial" w:eastAsia="Arial" w:hAnsi="Arial" w:cs="Arial"/>
                <w:color w:val="000000"/>
                <w:sz w:val="20"/>
              </w:rPr>
              <w:t>- Additions for vessel improvements</w:t>
            </w:r>
          </w:p>
        </w:tc>
        <w:tc>
          <w:tcPr>
            <w:tcW w:w="180" w:type="dxa"/>
            <w:tcBorders>
              <w:top w:val="nil"/>
              <w:left w:val="nil"/>
              <w:bottom w:val="nil"/>
              <w:right w:val="nil"/>
              <w:tl2br w:val="nil"/>
              <w:tr2bl w:val="nil"/>
            </w:tcBorders>
            <w:noWrap/>
            <w:tcMar>
              <w:left w:w="0" w:type="dxa"/>
              <w:right w:w="0" w:type="dxa"/>
            </w:tcMar>
            <w:vAlign w:val="bottom"/>
          </w:tcPr>
          <w:p w14:paraId="71F3F6DF"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6E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958</w:t>
            </w:r>
          </w:p>
        </w:tc>
        <w:tc>
          <w:tcPr>
            <w:tcW w:w="180" w:type="dxa"/>
            <w:tcBorders>
              <w:top w:val="nil"/>
              <w:left w:val="nil"/>
              <w:bottom w:val="nil"/>
              <w:right w:val="nil"/>
              <w:tl2br w:val="nil"/>
              <w:tr2bl w:val="nil"/>
            </w:tcBorders>
            <w:noWrap/>
            <w:tcMar>
              <w:left w:w="0" w:type="dxa"/>
              <w:right w:w="0" w:type="dxa"/>
            </w:tcMar>
            <w:vAlign w:val="bottom"/>
          </w:tcPr>
          <w:p w14:paraId="71F3F6E1"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6E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6E3"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6E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958</w:t>
            </w:r>
          </w:p>
        </w:tc>
      </w:tr>
      <w:tr w:rsidR="00510CAA" w14:paraId="71F3F6E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center"/>
          </w:tcPr>
          <w:p w14:paraId="71F3F6E6" w14:textId="77777777" w:rsidR="00510CAA" w:rsidRDefault="003A4815">
            <w:pPr>
              <w:keepNext/>
              <w:rPr>
                <w:rFonts w:ascii="Arial" w:eastAsia="Arial" w:hAnsi="Arial" w:cs="Arial"/>
                <w:color w:val="000000"/>
                <w:sz w:val="20"/>
              </w:rPr>
            </w:pPr>
            <w:r>
              <w:rPr>
                <w:rFonts w:ascii="Arial" w:eastAsia="Arial" w:hAnsi="Arial" w:cs="Arial"/>
                <w:color w:val="000000"/>
                <w:sz w:val="20"/>
              </w:rPr>
              <w:t>- Vessel disposals</w:t>
            </w:r>
          </w:p>
        </w:tc>
        <w:tc>
          <w:tcPr>
            <w:tcW w:w="180" w:type="dxa"/>
            <w:tcBorders>
              <w:top w:val="nil"/>
              <w:left w:val="nil"/>
              <w:bottom w:val="nil"/>
              <w:right w:val="nil"/>
              <w:tl2br w:val="nil"/>
              <w:tr2bl w:val="nil"/>
            </w:tcBorders>
            <w:noWrap/>
            <w:tcMar>
              <w:left w:w="0" w:type="dxa"/>
              <w:right w:w="0" w:type="dxa"/>
            </w:tcMar>
            <w:vAlign w:val="bottom"/>
          </w:tcPr>
          <w:p w14:paraId="71F3F6E7"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6E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(46,001)</w:t>
            </w:r>
          </w:p>
        </w:tc>
        <w:tc>
          <w:tcPr>
            <w:tcW w:w="180" w:type="dxa"/>
            <w:tcBorders>
              <w:top w:val="nil"/>
              <w:left w:val="nil"/>
              <w:bottom w:val="nil"/>
              <w:right w:val="nil"/>
              <w:tl2br w:val="nil"/>
              <w:tr2bl w:val="nil"/>
            </w:tcBorders>
            <w:noWrap/>
            <w:tcMar>
              <w:left w:w="0" w:type="dxa"/>
              <w:right w:w="0" w:type="dxa"/>
            </w:tcMar>
            <w:vAlign w:val="bottom"/>
          </w:tcPr>
          <w:p w14:paraId="71F3F6E9"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6E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16,849</w:t>
            </w:r>
          </w:p>
        </w:tc>
        <w:tc>
          <w:tcPr>
            <w:tcW w:w="180" w:type="dxa"/>
            <w:tcBorders>
              <w:top w:val="nil"/>
              <w:left w:val="nil"/>
              <w:bottom w:val="nil"/>
              <w:right w:val="nil"/>
              <w:tl2br w:val="nil"/>
              <w:tr2bl w:val="nil"/>
            </w:tcBorders>
            <w:noWrap/>
            <w:tcMar>
              <w:left w:w="0" w:type="dxa"/>
              <w:right w:w="0" w:type="dxa"/>
            </w:tcMar>
            <w:vAlign w:val="bottom"/>
          </w:tcPr>
          <w:p w14:paraId="71F3F6EB"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6E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(29,152)</w:t>
            </w:r>
          </w:p>
        </w:tc>
      </w:tr>
      <w:tr w:rsidR="00510CAA" w14:paraId="71F3F6F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center"/>
          </w:tcPr>
          <w:p w14:paraId="71F3F6EE" w14:textId="77777777" w:rsidR="00510CAA" w:rsidRDefault="003A4815">
            <w:pPr>
              <w:keepNext/>
              <w:rPr>
                <w:rFonts w:ascii="Arial" w:eastAsia="Arial" w:hAnsi="Arial" w:cs="Arial"/>
                <w:color w:val="000000"/>
                <w:sz w:val="20"/>
              </w:rPr>
            </w:pPr>
            <w:r>
              <w:rPr>
                <w:rFonts w:ascii="Arial" w:eastAsia="Arial" w:hAnsi="Arial" w:cs="Arial"/>
                <w:color w:val="000000"/>
                <w:sz w:val="20"/>
              </w:rPr>
              <w:t>- Depreciation for the year</w:t>
            </w:r>
          </w:p>
        </w:tc>
        <w:tc>
          <w:tcPr>
            <w:tcW w:w="180" w:type="dxa"/>
            <w:tcBorders>
              <w:top w:val="nil"/>
              <w:left w:val="nil"/>
              <w:bottom w:val="nil"/>
              <w:right w:val="nil"/>
              <w:tl2br w:val="nil"/>
              <w:tr2bl w:val="nil"/>
            </w:tcBorders>
            <w:noWrap/>
            <w:tcMar>
              <w:left w:w="0" w:type="dxa"/>
              <w:right w:w="0" w:type="dxa"/>
            </w:tcMar>
            <w:vAlign w:val="bottom"/>
          </w:tcPr>
          <w:p w14:paraId="71F3F6EF"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60" w:type="dxa"/>
            </w:tcMar>
            <w:vAlign w:val="bottom"/>
          </w:tcPr>
          <w:p w14:paraId="71F3F6F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6F1"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6F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(38,586)</w:t>
            </w:r>
          </w:p>
        </w:tc>
        <w:tc>
          <w:tcPr>
            <w:tcW w:w="180" w:type="dxa"/>
            <w:tcBorders>
              <w:top w:val="nil"/>
              <w:left w:val="nil"/>
              <w:bottom w:val="nil"/>
              <w:right w:val="nil"/>
              <w:tl2br w:val="nil"/>
              <w:tr2bl w:val="nil"/>
            </w:tcBorders>
            <w:noWrap/>
            <w:tcMar>
              <w:left w:w="0" w:type="dxa"/>
              <w:right w:w="0" w:type="dxa"/>
            </w:tcMar>
            <w:vAlign w:val="bottom"/>
          </w:tcPr>
          <w:p w14:paraId="71F3F6F3"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6F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(38,586)</w:t>
            </w:r>
          </w:p>
        </w:tc>
      </w:tr>
      <w:tr w:rsidR="00510CAA" w14:paraId="71F3F6F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285" w:type="dxa"/>
            <w:tcBorders>
              <w:top w:val="nil"/>
              <w:left w:val="nil"/>
              <w:bottom w:val="nil"/>
              <w:right w:val="nil"/>
              <w:tl2br w:val="nil"/>
              <w:tr2bl w:val="nil"/>
            </w:tcBorders>
            <w:noWrap/>
            <w:tcMar>
              <w:left w:w="0" w:type="dxa"/>
              <w:right w:w="0" w:type="dxa"/>
            </w:tcMar>
            <w:vAlign w:val="bottom"/>
          </w:tcPr>
          <w:p w14:paraId="71F3F6F6"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6F7"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2024</w:t>
            </w:r>
          </w:p>
        </w:tc>
        <w:tc>
          <w:tcPr>
            <w:tcW w:w="180" w:type="dxa"/>
            <w:tcBorders>
              <w:top w:val="nil"/>
              <w:left w:val="nil"/>
              <w:bottom w:val="nil"/>
              <w:right w:val="nil"/>
              <w:tl2br w:val="nil"/>
              <w:tr2bl w:val="nil"/>
            </w:tcBorders>
            <w:noWrap/>
            <w:tcMar>
              <w:left w:w="0" w:type="dxa"/>
              <w:right w:w="0" w:type="dxa"/>
            </w:tcMar>
            <w:vAlign w:val="bottom"/>
          </w:tcPr>
          <w:p w14:paraId="71F3F6F8"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6F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1,069,204</w:t>
            </w:r>
          </w:p>
        </w:tc>
        <w:tc>
          <w:tcPr>
            <w:tcW w:w="180" w:type="dxa"/>
            <w:tcBorders>
              <w:top w:val="nil"/>
              <w:left w:val="nil"/>
              <w:bottom w:val="nil"/>
              <w:right w:val="nil"/>
              <w:tl2br w:val="nil"/>
              <w:tr2bl w:val="nil"/>
            </w:tcBorders>
            <w:noWrap/>
            <w:tcMar>
              <w:left w:w="0" w:type="dxa"/>
              <w:right w:w="0" w:type="dxa"/>
            </w:tcMar>
            <w:vAlign w:val="center"/>
          </w:tcPr>
          <w:p w14:paraId="71F3F6FA"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F6F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(235,792)</w:t>
            </w:r>
          </w:p>
        </w:tc>
        <w:tc>
          <w:tcPr>
            <w:tcW w:w="180" w:type="dxa"/>
            <w:tcBorders>
              <w:top w:val="nil"/>
              <w:left w:val="nil"/>
              <w:bottom w:val="nil"/>
              <w:right w:val="nil"/>
              <w:tl2br w:val="nil"/>
              <w:tr2bl w:val="nil"/>
            </w:tcBorders>
            <w:noWrap/>
            <w:tcMar>
              <w:left w:w="0" w:type="dxa"/>
              <w:right w:w="0" w:type="dxa"/>
            </w:tcMar>
            <w:vAlign w:val="bottom"/>
          </w:tcPr>
          <w:p w14:paraId="71F3F6FC"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6FD"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833,412</w:t>
            </w:r>
          </w:p>
        </w:tc>
      </w:tr>
      <w:tr w:rsidR="00510CAA" w14:paraId="71F3F70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90"/>
        </w:trPr>
        <w:tc>
          <w:tcPr>
            <w:tcW w:w="5400" w:type="dxa"/>
            <w:gridSpan w:val="2"/>
            <w:tcBorders>
              <w:top w:val="nil"/>
              <w:left w:val="nil"/>
              <w:bottom w:val="nil"/>
              <w:right w:val="nil"/>
              <w:tl2br w:val="nil"/>
              <w:tr2bl w:val="nil"/>
            </w:tcBorders>
            <w:tcMar>
              <w:left w:w="0" w:type="dxa"/>
              <w:right w:w="0" w:type="dxa"/>
            </w:tcMar>
            <w:vAlign w:val="bottom"/>
          </w:tcPr>
          <w:p w14:paraId="71F3F6FF" w14:textId="77777777" w:rsidR="00510CAA" w:rsidRDefault="003A4815">
            <w:pPr>
              <w:keepNext/>
              <w:rPr>
                <w:rFonts w:ascii="Arial" w:eastAsia="Arial" w:hAnsi="Arial" w:cs="Arial"/>
                <w:color w:val="000000"/>
                <w:sz w:val="20"/>
              </w:rPr>
            </w:pPr>
            <w:r>
              <w:rPr>
                <w:rFonts w:ascii="Arial" w:eastAsia="Arial" w:hAnsi="Arial" w:cs="Arial"/>
                <w:color w:val="000000"/>
                <w:sz w:val="20"/>
              </w:rPr>
              <w:t>- Additions for vessel improvements</w:t>
            </w:r>
          </w:p>
        </w:tc>
        <w:tc>
          <w:tcPr>
            <w:tcW w:w="180" w:type="dxa"/>
            <w:tcBorders>
              <w:top w:val="nil"/>
              <w:left w:val="nil"/>
              <w:bottom w:val="nil"/>
              <w:right w:val="nil"/>
              <w:tl2br w:val="nil"/>
              <w:tr2bl w:val="nil"/>
            </w:tcBorders>
            <w:noWrap/>
            <w:tcMar>
              <w:left w:w="0" w:type="dxa"/>
              <w:right w:w="0" w:type="dxa"/>
            </w:tcMar>
            <w:vAlign w:val="bottom"/>
          </w:tcPr>
          <w:p w14:paraId="71F3F700"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70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183</w:t>
            </w:r>
          </w:p>
        </w:tc>
        <w:tc>
          <w:tcPr>
            <w:tcW w:w="180" w:type="dxa"/>
            <w:tcBorders>
              <w:top w:val="nil"/>
              <w:left w:val="nil"/>
              <w:bottom w:val="nil"/>
              <w:right w:val="nil"/>
              <w:tl2br w:val="nil"/>
              <w:tr2bl w:val="nil"/>
            </w:tcBorders>
            <w:noWrap/>
            <w:tcMar>
              <w:left w:w="0" w:type="dxa"/>
              <w:right w:w="0" w:type="dxa"/>
            </w:tcMar>
            <w:vAlign w:val="bottom"/>
          </w:tcPr>
          <w:p w14:paraId="71F3F702"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70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704"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tcMar>
              <w:left w:w="0" w:type="dxa"/>
              <w:right w:w="60" w:type="dxa"/>
            </w:tcMar>
            <w:vAlign w:val="bottom"/>
          </w:tcPr>
          <w:p w14:paraId="71F3F705"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183</w:t>
            </w:r>
          </w:p>
        </w:tc>
      </w:tr>
      <w:tr w:rsidR="00510CAA" w14:paraId="71F3F70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center"/>
          </w:tcPr>
          <w:p w14:paraId="71F3F707" w14:textId="77777777" w:rsidR="00510CAA" w:rsidRDefault="003A4815">
            <w:pPr>
              <w:keepNext/>
              <w:rPr>
                <w:rFonts w:ascii="Arial" w:eastAsia="Arial" w:hAnsi="Arial" w:cs="Arial"/>
                <w:color w:val="000000"/>
                <w:sz w:val="20"/>
              </w:rPr>
            </w:pPr>
            <w:r>
              <w:rPr>
                <w:rFonts w:ascii="Arial" w:eastAsia="Arial" w:hAnsi="Arial" w:cs="Arial"/>
                <w:color w:val="000000"/>
                <w:sz w:val="20"/>
              </w:rPr>
              <w:t>- Vessel disposals</w:t>
            </w:r>
          </w:p>
        </w:tc>
        <w:tc>
          <w:tcPr>
            <w:tcW w:w="180" w:type="dxa"/>
            <w:tcBorders>
              <w:top w:val="nil"/>
              <w:left w:val="nil"/>
              <w:bottom w:val="nil"/>
              <w:right w:val="nil"/>
              <w:tl2br w:val="nil"/>
              <w:tr2bl w:val="nil"/>
            </w:tcBorders>
            <w:noWrap/>
            <w:tcMar>
              <w:left w:w="0" w:type="dxa"/>
              <w:right w:w="0" w:type="dxa"/>
            </w:tcMar>
            <w:vAlign w:val="bottom"/>
          </w:tcPr>
          <w:p w14:paraId="71F3F708"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70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(23,875)</w:t>
            </w:r>
          </w:p>
        </w:tc>
        <w:tc>
          <w:tcPr>
            <w:tcW w:w="180" w:type="dxa"/>
            <w:tcBorders>
              <w:top w:val="nil"/>
              <w:left w:val="nil"/>
              <w:bottom w:val="nil"/>
              <w:right w:val="nil"/>
              <w:tl2br w:val="nil"/>
              <w:tr2bl w:val="nil"/>
            </w:tcBorders>
            <w:noWrap/>
            <w:tcMar>
              <w:left w:w="0" w:type="dxa"/>
              <w:right w:w="0" w:type="dxa"/>
            </w:tcMar>
            <w:vAlign w:val="bottom"/>
          </w:tcPr>
          <w:p w14:paraId="71F3F70A"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70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6,201</w:t>
            </w:r>
          </w:p>
        </w:tc>
        <w:tc>
          <w:tcPr>
            <w:tcW w:w="180" w:type="dxa"/>
            <w:tcBorders>
              <w:top w:val="nil"/>
              <w:left w:val="nil"/>
              <w:bottom w:val="nil"/>
              <w:right w:val="nil"/>
              <w:tl2br w:val="nil"/>
              <w:tr2bl w:val="nil"/>
            </w:tcBorders>
            <w:noWrap/>
            <w:tcMar>
              <w:left w:w="0" w:type="dxa"/>
              <w:right w:w="0" w:type="dxa"/>
            </w:tcMar>
            <w:vAlign w:val="bottom"/>
          </w:tcPr>
          <w:p w14:paraId="71F3F70C"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70D"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(17,674)</w:t>
            </w:r>
          </w:p>
        </w:tc>
      </w:tr>
      <w:tr w:rsidR="00510CAA" w14:paraId="71F3F71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center"/>
          </w:tcPr>
          <w:p w14:paraId="71F3F70F" w14:textId="77777777" w:rsidR="00510CAA" w:rsidRDefault="003A4815">
            <w:pPr>
              <w:keepNext/>
              <w:rPr>
                <w:rFonts w:ascii="Arial" w:eastAsia="Arial" w:hAnsi="Arial" w:cs="Arial"/>
                <w:color w:val="000000"/>
                <w:sz w:val="20"/>
              </w:rPr>
            </w:pPr>
            <w:r>
              <w:rPr>
                <w:rFonts w:ascii="Arial" w:eastAsia="Arial" w:hAnsi="Arial" w:cs="Arial"/>
                <w:color w:val="000000"/>
                <w:sz w:val="20"/>
              </w:rPr>
              <w:t>- Depreciation for the year</w:t>
            </w:r>
          </w:p>
        </w:tc>
        <w:tc>
          <w:tcPr>
            <w:tcW w:w="180" w:type="dxa"/>
            <w:tcBorders>
              <w:top w:val="nil"/>
              <w:left w:val="nil"/>
              <w:bottom w:val="nil"/>
              <w:right w:val="nil"/>
              <w:tl2br w:val="nil"/>
              <w:tr2bl w:val="nil"/>
            </w:tcBorders>
            <w:noWrap/>
            <w:tcMar>
              <w:left w:w="0" w:type="dxa"/>
              <w:right w:w="0" w:type="dxa"/>
            </w:tcMar>
            <w:vAlign w:val="bottom"/>
          </w:tcPr>
          <w:p w14:paraId="71F3F710"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71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712"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71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(37,983)</w:t>
            </w:r>
          </w:p>
        </w:tc>
        <w:tc>
          <w:tcPr>
            <w:tcW w:w="180" w:type="dxa"/>
            <w:tcBorders>
              <w:top w:val="nil"/>
              <w:left w:val="nil"/>
              <w:bottom w:val="nil"/>
              <w:right w:val="nil"/>
              <w:tl2br w:val="nil"/>
              <w:tr2bl w:val="nil"/>
            </w:tcBorders>
            <w:noWrap/>
            <w:tcMar>
              <w:left w:w="0" w:type="dxa"/>
              <w:right w:w="0" w:type="dxa"/>
            </w:tcMar>
            <w:vAlign w:val="bottom"/>
          </w:tcPr>
          <w:p w14:paraId="71F3F714"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715"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(37,983)</w:t>
            </w:r>
          </w:p>
        </w:tc>
      </w:tr>
      <w:tr w:rsidR="00510CAA" w14:paraId="71F3F71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285" w:type="dxa"/>
            <w:tcBorders>
              <w:top w:val="nil"/>
              <w:left w:val="nil"/>
              <w:bottom w:val="nil"/>
              <w:right w:val="nil"/>
              <w:tl2br w:val="nil"/>
              <w:tr2bl w:val="nil"/>
            </w:tcBorders>
            <w:noWrap/>
            <w:tcMar>
              <w:left w:w="0" w:type="dxa"/>
              <w:right w:w="0" w:type="dxa"/>
            </w:tcMar>
            <w:vAlign w:val="bottom"/>
          </w:tcPr>
          <w:p w14:paraId="71F3F717"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718"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2025</w:t>
            </w:r>
          </w:p>
        </w:tc>
        <w:tc>
          <w:tcPr>
            <w:tcW w:w="180" w:type="dxa"/>
            <w:tcBorders>
              <w:top w:val="nil"/>
              <w:left w:val="nil"/>
              <w:bottom w:val="nil"/>
              <w:right w:val="nil"/>
              <w:tl2br w:val="nil"/>
              <w:tr2bl w:val="nil"/>
            </w:tcBorders>
            <w:noWrap/>
            <w:tcMar>
              <w:left w:w="0" w:type="dxa"/>
              <w:right w:w="0" w:type="dxa"/>
            </w:tcMar>
            <w:vAlign w:val="bottom"/>
          </w:tcPr>
          <w:p w14:paraId="71F3F719"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1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1,045,512</w:t>
            </w:r>
          </w:p>
        </w:tc>
        <w:tc>
          <w:tcPr>
            <w:tcW w:w="180" w:type="dxa"/>
            <w:tcBorders>
              <w:top w:val="nil"/>
              <w:left w:val="nil"/>
              <w:bottom w:val="nil"/>
              <w:right w:val="nil"/>
              <w:tl2br w:val="nil"/>
              <w:tr2bl w:val="nil"/>
            </w:tcBorders>
            <w:noWrap/>
            <w:tcMar>
              <w:left w:w="0" w:type="dxa"/>
              <w:right w:w="0" w:type="dxa"/>
            </w:tcMar>
            <w:vAlign w:val="bottom"/>
          </w:tcPr>
          <w:p w14:paraId="71F3F71B"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F71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(267,574)</w:t>
            </w:r>
          </w:p>
        </w:tc>
        <w:tc>
          <w:tcPr>
            <w:tcW w:w="180" w:type="dxa"/>
            <w:tcBorders>
              <w:top w:val="nil"/>
              <w:left w:val="nil"/>
              <w:bottom w:val="nil"/>
              <w:right w:val="nil"/>
              <w:tl2br w:val="nil"/>
              <w:tr2bl w:val="nil"/>
            </w:tcBorders>
            <w:noWrap/>
            <w:tcMar>
              <w:left w:w="0" w:type="dxa"/>
              <w:right w:w="0" w:type="dxa"/>
            </w:tcMar>
            <w:vAlign w:val="bottom"/>
          </w:tcPr>
          <w:p w14:paraId="71F3F71D"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1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777,938</w:t>
            </w:r>
          </w:p>
        </w:tc>
      </w:tr>
    </w:tbl>
    <w:p w14:paraId="71F3F720" w14:textId="77777777" w:rsidR="00510CAA" w:rsidRDefault="00510CAA">
      <w:pPr>
        <w:pBdr>
          <w:top w:val="nil"/>
          <w:left w:val="nil"/>
          <w:bottom w:val="nil"/>
          <w:right w:val="nil"/>
          <w:between w:val="nil"/>
          <w:bar w:val="nil"/>
        </w:pBdr>
        <w:rPr>
          <w:rFonts w:ascii="Arial" w:eastAsia="Arial" w:hAnsi="Arial" w:cs="Arial"/>
          <w:bdr w:val="nil"/>
        </w:rPr>
      </w:pPr>
    </w:p>
    <w:p w14:paraId="71F3F721" w14:textId="77777777" w:rsidR="00675D01" w:rsidRPr="00BE07F5" w:rsidRDefault="003A4815" w:rsidP="00BE07F5">
      <w:pPr>
        <w:pStyle w:val="Header1notes"/>
        <w:keepLines/>
        <w:pBdr>
          <w:top w:val="nil"/>
          <w:left w:val="nil"/>
          <w:bottom w:val="nil"/>
          <w:right w:val="nil"/>
          <w:between w:val="nil"/>
          <w:bar w:val="nil"/>
        </w:pBdr>
        <w:spacing w:before="0" w:after="0"/>
        <w:ind w:left="567" w:hanging="567"/>
        <w:rPr>
          <w:rFonts w:ascii="Arial" w:eastAsia="Arial" w:hAnsi="Arial" w:cs="Arial"/>
          <w:sz w:val="24"/>
          <w:bdr w:val="nil"/>
        </w:rPr>
      </w:pPr>
      <w:bookmarkStart w:id="614" w:name="RG_MARKER_22954"/>
      <w:bookmarkStart w:id="615" w:name="RG_MARKER_23177"/>
      <w:bookmarkStart w:id="616" w:name="XBRL_TS_7e907d03de074b0895f452d56cb652ee"/>
      <w:r w:rsidRPr="00BE07F5">
        <w:rPr>
          <w:rFonts w:ascii="Arial" w:eastAsia="Arial" w:hAnsi="Arial" w:cs="Arial"/>
          <w:sz w:val="24"/>
        </w:rPr>
        <w:t>7.</w:t>
      </w:r>
      <w:bookmarkEnd w:id="614"/>
      <w:bookmarkEnd w:id="615"/>
      <w:r w:rsidRPr="00BE07F5">
        <w:rPr>
          <w:rFonts w:ascii="Arial" w:eastAsia="Arial" w:hAnsi="Arial" w:cs="Arial"/>
          <w:sz w:val="24"/>
        </w:rPr>
        <w:tab/>
        <w:t>Property and Equipment, net</w:t>
      </w:r>
    </w:p>
    <w:p w14:paraId="71F3F722" w14:textId="77777777" w:rsidR="00554843" w:rsidRPr="00BE07F5" w:rsidRDefault="00554843" w:rsidP="00BE07F5">
      <w:pPr>
        <w:pBdr>
          <w:top w:val="nil"/>
          <w:left w:val="nil"/>
          <w:bottom w:val="nil"/>
          <w:right w:val="nil"/>
          <w:between w:val="nil"/>
          <w:bar w:val="nil"/>
        </w:pBdr>
        <w:rPr>
          <w:rFonts w:ascii="Arial" w:eastAsia="Arial" w:hAnsi="Arial" w:cs="Arial"/>
          <w:bdr w:val="nil"/>
          <w:lang w:val="en-US" w:eastAsia="el-GR"/>
        </w:rPr>
      </w:pPr>
    </w:p>
    <w:p w14:paraId="71F3F723" w14:textId="77777777" w:rsidR="00C063BA" w:rsidRDefault="003A4815" w:rsidP="00BE07F5">
      <w:pPr>
        <w:pBdr>
          <w:top w:val="nil"/>
          <w:left w:val="nil"/>
          <w:bottom w:val="nil"/>
          <w:right w:val="nil"/>
          <w:between w:val="nil"/>
          <w:bar w:val="nil"/>
        </w:pBdr>
        <w:jc w:val="both"/>
        <w:rPr>
          <w:rFonts w:ascii="Arial" w:eastAsia="Arial" w:hAnsi="Arial" w:cs="Arial"/>
          <w:bdr w:val="nil"/>
          <w:lang w:val="en-US" w:eastAsia="el-GR"/>
        </w:rPr>
      </w:pPr>
      <w:r w:rsidRPr="00BE07F5">
        <w:rPr>
          <w:rFonts w:ascii="Arial" w:eastAsia="Arial" w:hAnsi="Arial" w:cs="Arial"/>
          <w:bdr w:val="none" w:sz="0" w:space="0" w:color="auto" w:frame="1"/>
          <w:lang w:val="en-US" w:eastAsia="el-GR"/>
        </w:rPr>
        <w:t>The Company owns the land and building of its principal corporate offices in Athens, Greece</w:t>
      </w:r>
      <w:r>
        <w:rPr>
          <w:rFonts w:ascii="Arial" w:eastAsia="Arial" w:hAnsi="Arial" w:cs="Arial"/>
          <w:bdr w:val="none" w:sz="0" w:space="0" w:color="auto" w:frame="1"/>
          <w:lang w:val="en-US" w:eastAsia="el-GR"/>
        </w:rPr>
        <w:t xml:space="preserve"> and three plots of land acquired </w:t>
      </w:r>
      <w:r>
        <w:rPr>
          <w:rFonts w:ascii="Arial" w:eastAsia="Arial" w:hAnsi="Arial" w:cs="Arial"/>
          <w:lang w:val="en-US"/>
        </w:rPr>
        <w:t>for corporate purposes</w:t>
      </w:r>
      <w:r w:rsidR="00F374AD">
        <w:rPr>
          <w:rFonts w:ascii="Arial" w:eastAsia="Arial" w:hAnsi="Arial" w:cs="Arial"/>
          <w:lang w:val="en-US"/>
        </w:rPr>
        <w:t xml:space="preserve">. </w:t>
      </w:r>
      <w:r w:rsidR="001E6F75" w:rsidRPr="00BE07F5">
        <w:rPr>
          <w:rFonts w:ascii="Arial" w:eastAsia="Arial" w:hAnsi="Arial" w:cs="Arial"/>
          <w:bdr w:val="none" w:sz="0" w:space="0" w:color="auto" w:frame="1"/>
          <w:lang w:val="en-US" w:eastAsia="el-GR"/>
        </w:rPr>
        <w:t xml:space="preserve">Other assets consist of </w:t>
      </w:r>
      <w:r w:rsidR="001E6F75" w:rsidRPr="00BE07F5">
        <w:rPr>
          <w:rFonts w:ascii="Arial" w:eastAsia="Arial" w:hAnsi="Arial" w:cs="Arial"/>
          <w:bdr w:val="none" w:sz="0" w:space="0" w:color="auto" w:frame="1"/>
          <w:lang w:val="en-US"/>
        </w:rPr>
        <w:t xml:space="preserve">office furniture and equipment, computer software and hardware and vehicles. </w:t>
      </w:r>
      <w:r w:rsidRPr="00BE07F5">
        <w:rPr>
          <w:rFonts w:ascii="Arial" w:eastAsia="Arial" w:hAnsi="Arial" w:cs="Arial"/>
          <w:bdr w:val="none" w:sz="0" w:space="0" w:color="auto" w:frame="1"/>
          <w:lang w:val="en-US" w:eastAsia="el-GR"/>
        </w:rPr>
        <w:t xml:space="preserve">The amount reflected in “Property and equipment, net” is </w:t>
      </w:r>
      <w:r w:rsidR="001E6F75" w:rsidRPr="00BE07F5">
        <w:rPr>
          <w:rFonts w:ascii="Arial" w:eastAsia="Arial" w:hAnsi="Arial" w:cs="Arial"/>
          <w:bdr w:val="none" w:sz="0" w:space="0" w:color="auto" w:frame="1"/>
          <w:lang w:val="en-US" w:eastAsia="el-GR"/>
        </w:rPr>
        <w:t>analyzed as follows:</w:t>
      </w:r>
      <w:bookmarkEnd w:id="616"/>
    </w:p>
    <w:p w14:paraId="71F3F724" w14:textId="77777777" w:rsidR="003356C2" w:rsidRPr="00BE07F5" w:rsidRDefault="003356C2" w:rsidP="00BE07F5">
      <w:pPr>
        <w:pBdr>
          <w:top w:val="nil"/>
          <w:left w:val="nil"/>
          <w:bottom w:val="nil"/>
          <w:right w:val="nil"/>
          <w:between w:val="nil"/>
          <w:bar w:val="nil"/>
        </w:pBdr>
        <w:jc w:val="both"/>
        <w:rPr>
          <w:rFonts w:ascii="Arial" w:eastAsia="Arial" w:hAnsi="Arial" w:cs="Arial"/>
          <w:bdr w:val="nil"/>
          <w:lang w:val="en-US" w:eastAsia="el-GR"/>
        </w:rPr>
      </w:pPr>
    </w:p>
    <w:tbl>
      <w:tblPr>
        <w:tblStyle w:val="CDMRange1"/>
        <w:tblW w:w="10260" w:type="dxa"/>
        <w:tblLayout w:type="fixed"/>
        <w:tblLook w:val="0600" w:firstRow="0" w:lastRow="0" w:firstColumn="0" w:lastColumn="0" w:noHBand="1" w:noVBand="1"/>
      </w:tblPr>
      <w:tblGrid>
        <w:gridCol w:w="285"/>
        <w:gridCol w:w="5115"/>
        <w:gridCol w:w="180"/>
        <w:gridCol w:w="1440"/>
        <w:gridCol w:w="180"/>
        <w:gridCol w:w="1440"/>
        <w:gridCol w:w="180"/>
        <w:gridCol w:w="1440"/>
      </w:tblGrid>
      <w:tr w:rsidR="00510CAA" w14:paraId="71F3F72D" w14:textId="77777777">
        <w:trPr>
          <w:cantSplit/>
          <w:trHeight w:hRule="exact" w:val="510"/>
        </w:trPr>
        <w:tc>
          <w:tcPr>
            <w:tcW w:w="285" w:type="dxa"/>
            <w:tcBorders>
              <w:top w:val="nil"/>
              <w:left w:val="nil"/>
              <w:bottom w:val="nil"/>
              <w:right w:val="nil"/>
              <w:tl2br w:val="nil"/>
              <w:tr2bl w:val="nil"/>
            </w:tcBorders>
            <w:tcMar>
              <w:left w:w="0" w:type="dxa"/>
              <w:right w:w="0" w:type="dxa"/>
            </w:tcMar>
            <w:vAlign w:val="bottom"/>
          </w:tcPr>
          <w:p w14:paraId="71F3F725" w14:textId="77777777" w:rsidR="00510CAA" w:rsidRDefault="00510CAA">
            <w:pPr>
              <w:keepNext/>
              <w:rPr>
                <w:rFonts w:ascii="Arial" w:eastAsia="Arial" w:hAnsi="Arial" w:cs="Arial"/>
                <w:color w:val="000000"/>
                <w:sz w:val="20"/>
              </w:rPr>
            </w:pPr>
            <w:bookmarkStart w:id="617" w:name="RG_MARKER_23199"/>
            <w:bookmarkEnd w:id="617"/>
          </w:p>
        </w:tc>
        <w:tc>
          <w:tcPr>
            <w:tcW w:w="5115" w:type="dxa"/>
            <w:tcBorders>
              <w:top w:val="nil"/>
              <w:left w:val="nil"/>
              <w:bottom w:val="nil"/>
              <w:right w:val="nil"/>
              <w:tl2br w:val="nil"/>
              <w:tr2bl w:val="nil"/>
            </w:tcBorders>
            <w:tcMar>
              <w:left w:w="0" w:type="dxa"/>
              <w:right w:w="0" w:type="dxa"/>
            </w:tcMar>
            <w:vAlign w:val="bottom"/>
          </w:tcPr>
          <w:p w14:paraId="71F3F726"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27"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728"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Property and Equipment</w:t>
            </w:r>
          </w:p>
        </w:tc>
        <w:tc>
          <w:tcPr>
            <w:tcW w:w="180" w:type="dxa"/>
            <w:tcBorders>
              <w:top w:val="nil"/>
              <w:left w:val="nil"/>
              <w:bottom w:val="nil"/>
              <w:right w:val="nil"/>
              <w:tl2br w:val="nil"/>
              <w:tr2bl w:val="nil"/>
            </w:tcBorders>
            <w:noWrap/>
            <w:tcMar>
              <w:left w:w="0" w:type="dxa"/>
              <w:right w:w="0" w:type="dxa"/>
            </w:tcMar>
            <w:vAlign w:val="bottom"/>
          </w:tcPr>
          <w:p w14:paraId="71F3F729"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72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Accumulated Depreciation</w:t>
            </w:r>
          </w:p>
        </w:tc>
        <w:tc>
          <w:tcPr>
            <w:tcW w:w="180" w:type="dxa"/>
            <w:tcBorders>
              <w:top w:val="nil"/>
              <w:left w:val="nil"/>
              <w:bottom w:val="nil"/>
              <w:right w:val="nil"/>
              <w:tl2br w:val="nil"/>
              <w:tr2bl w:val="nil"/>
            </w:tcBorders>
            <w:noWrap/>
            <w:tcMar>
              <w:left w:w="0" w:type="dxa"/>
              <w:right w:w="0" w:type="dxa"/>
            </w:tcMar>
            <w:vAlign w:val="bottom"/>
          </w:tcPr>
          <w:p w14:paraId="71F3F72B"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72C"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Net Book Value</w:t>
            </w:r>
          </w:p>
        </w:tc>
      </w:tr>
      <w:tr w:rsidR="00510CAA" w14:paraId="71F3F73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75"/>
        </w:trPr>
        <w:tc>
          <w:tcPr>
            <w:tcW w:w="285" w:type="dxa"/>
            <w:tcBorders>
              <w:top w:val="nil"/>
              <w:left w:val="nil"/>
              <w:bottom w:val="nil"/>
              <w:right w:val="nil"/>
              <w:tl2br w:val="nil"/>
              <w:tr2bl w:val="nil"/>
            </w:tcBorders>
            <w:noWrap/>
            <w:tcMar>
              <w:left w:w="0" w:type="dxa"/>
              <w:right w:w="0" w:type="dxa"/>
            </w:tcMar>
            <w:vAlign w:val="bottom"/>
          </w:tcPr>
          <w:p w14:paraId="71F3F72E"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72F"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30"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731"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32"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733"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34" w14:textId="77777777" w:rsidR="00510CAA" w:rsidRDefault="00510CAA">
            <w:pPr>
              <w:keepNext/>
              <w:jc w:val="center"/>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735" w14:textId="77777777" w:rsidR="00510CAA" w:rsidRDefault="00510CAA">
            <w:pPr>
              <w:keepNext/>
              <w:jc w:val="right"/>
              <w:rPr>
                <w:rFonts w:ascii="Arial" w:eastAsia="Arial" w:hAnsi="Arial" w:cs="Arial"/>
                <w:color w:val="000000"/>
                <w:sz w:val="20"/>
              </w:rPr>
            </w:pPr>
          </w:p>
        </w:tc>
      </w:tr>
      <w:tr w:rsidR="00510CAA" w14:paraId="71F3F73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285" w:type="dxa"/>
            <w:tcBorders>
              <w:top w:val="nil"/>
              <w:left w:val="nil"/>
              <w:bottom w:val="nil"/>
              <w:right w:val="nil"/>
              <w:tl2br w:val="nil"/>
              <w:tr2bl w:val="nil"/>
            </w:tcBorders>
            <w:noWrap/>
            <w:tcMar>
              <w:left w:w="0" w:type="dxa"/>
              <w:right w:w="0" w:type="dxa"/>
            </w:tcMar>
            <w:vAlign w:val="bottom"/>
          </w:tcPr>
          <w:p w14:paraId="71F3F737"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738"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2023</w:t>
            </w:r>
          </w:p>
        </w:tc>
        <w:tc>
          <w:tcPr>
            <w:tcW w:w="180" w:type="dxa"/>
            <w:tcBorders>
              <w:top w:val="nil"/>
              <w:left w:val="nil"/>
              <w:bottom w:val="nil"/>
              <w:right w:val="nil"/>
              <w:tl2br w:val="nil"/>
              <w:tr2bl w:val="nil"/>
            </w:tcBorders>
            <w:noWrap/>
            <w:tcMar>
              <w:left w:w="0" w:type="dxa"/>
              <w:right w:w="0" w:type="dxa"/>
            </w:tcMar>
            <w:vAlign w:val="bottom"/>
          </w:tcPr>
          <w:p w14:paraId="71F3F739"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center"/>
          </w:tcPr>
          <w:p w14:paraId="71F3F73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30,942</w:t>
            </w:r>
          </w:p>
        </w:tc>
        <w:tc>
          <w:tcPr>
            <w:tcW w:w="180" w:type="dxa"/>
            <w:tcBorders>
              <w:top w:val="nil"/>
              <w:left w:val="nil"/>
              <w:bottom w:val="nil"/>
              <w:right w:val="nil"/>
              <w:tl2br w:val="nil"/>
              <w:tr2bl w:val="nil"/>
            </w:tcBorders>
            <w:noWrap/>
            <w:tcMar>
              <w:left w:w="0" w:type="dxa"/>
              <w:right w:w="0" w:type="dxa"/>
            </w:tcMar>
            <w:vAlign w:val="center"/>
          </w:tcPr>
          <w:p w14:paraId="71F3F73B"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0" w:type="dxa"/>
            </w:tcMar>
            <w:vAlign w:val="center"/>
          </w:tcPr>
          <w:p w14:paraId="71F3F73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(6,660)</w:t>
            </w:r>
          </w:p>
        </w:tc>
        <w:tc>
          <w:tcPr>
            <w:tcW w:w="180" w:type="dxa"/>
            <w:tcBorders>
              <w:top w:val="nil"/>
              <w:left w:val="nil"/>
              <w:bottom w:val="nil"/>
              <w:right w:val="nil"/>
              <w:tl2br w:val="nil"/>
              <w:tr2bl w:val="nil"/>
            </w:tcBorders>
            <w:noWrap/>
            <w:tcMar>
              <w:left w:w="0" w:type="dxa"/>
              <w:right w:w="0" w:type="dxa"/>
            </w:tcMar>
            <w:vAlign w:val="bottom"/>
          </w:tcPr>
          <w:p w14:paraId="71F3F73D"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F73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24,282</w:t>
            </w:r>
          </w:p>
        </w:tc>
      </w:tr>
      <w:tr w:rsidR="00510CAA" w14:paraId="71F3F74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bottom"/>
          </w:tcPr>
          <w:p w14:paraId="71F3F740" w14:textId="77777777" w:rsidR="00510CAA" w:rsidRDefault="003A4815">
            <w:pPr>
              <w:keepNext/>
              <w:rPr>
                <w:rFonts w:ascii="Arial" w:eastAsia="Arial" w:hAnsi="Arial" w:cs="Arial"/>
                <w:color w:val="000000"/>
                <w:sz w:val="20"/>
              </w:rPr>
            </w:pPr>
            <w:r>
              <w:rPr>
                <w:rFonts w:ascii="Arial" w:eastAsia="Arial" w:hAnsi="Arial" w:cs="Arial"/>
                <w:color w:val="000000"/>
                <w:sz w:val="20"/>
              </w:rPr>
              <w:t>- Additions in property and equipment</w:t>
            </w:r>
          </w:p>
        </w:tc>
        <w:tc>
          <w:tcPr>
            <w:tcW w:w="180" w:type="dxa"/>
            <w:tcBorders>
              <w:top w:val="nil"/>
              <w:left w:val="nil"/>
              <w:bottom w:val="nil"/>
              <w:right w:val="nil"/>
              <w:tl2br w:val="nil"/>
              <w:tr2bl w:val="nil"/>
            </w:tcBorders>
            <w:noWrap/>
            <w:tcMar>
              <w:left w:w="0" w:type="dxa"/>
              <w:right w:w="0" w:type="dxa"/>
            </w:tcMar>
            <w:vAlign w:val="bottom"/>
          </w:tcPr>
          <w:p w14:paraId="71F3F741"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center"/>
          </w:tcPr>
          <w:p w14:paraId="71F3F74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3,718</w:t>
            </w:r>
          </w:p>
        </w:tc>
        <w:tc>
          <w:tcPr>
            <w:tcW w:w="180" w:type="dxa"/>
            <w:tcBorders>
              <w:top w:val="nil"/>
              <w:left w:val="nil"/>
              <w:bottom w:val="nil"/>
              <w:right w:val="nil"/>
              <w:tl2br w:val="nil"/>
              <w:tr2bl w:val="nil"/>
            </w:tcBorders>
            <w:noWrap/>
            <w:tcMar>
              <w:left w:w="0" w:type="dxa"/>
              <w:right w:w="0" w:type="dxa"/>
            </w:tcMar>
            <w:vAlign w:val="center"/>
          </w:tcPr>
          <w:p w14:paraId="71F3F743"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center"/>
          </w:tcPr>
          <w:p w14:paraId="71F3F74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center"/>
          </w:tcPr>
          <w:p w14:paraId="71F3F745" w14:textId="77777777" w:rsidR="00510CAA" w:rsidRDefault="00510CAA">
            <w:pPr>
              <w:keepNext/>
              <w:jc w:val="center"/>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F74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3,718</w:t>
            </w:r>
          </w:p>
        </w:tc>
      </w:tr>
      <w:tr w:rsidR="00510CAA" w14:paraId="71F3F74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bottom"/>
          </w:tcPr>
          <w:p w14:paraId="71F3F748" w14:textId="77777777" w:rsidR="00510CAA" w:rsidRDefault="003A4815">
            <w:pPr>
              <w:keepNext/>
              <w:rPr>
                <w:rFonts w:ascii="Arial" w:eastAsia="Arial" w:hAnsi="Arial" w:cs="Arial"/>
                <w:color w:val="000000"/>
                <w:sz w:val="20"/>
              </w:rPr>
            </w:pPr>
            <w:r>
              <w:rPr>
                <w:rFonts w:ascii="Arial" w:eastAsia="Arial" w:hAnsi="Arial" w:cs="Arial"/>
                <w:color w:val="000000"/>
                <w:sz w:val="20"/>
              </w:rPr>
              <w:t>- Depreciation for the year</w:t>
            </w:r>
          </w:p>
        </w:tc>
        <w:tc>
          <w:tcPr>
            <w:tcW w:w="180" w:type="dxa"/>
            <w:tcBorders>
              <w:top w:val="nil"/>
              <w:left w:val="nil"/>
              <w:bottom w:val="nil"/>
              <w:right w:val="nil"/>
              <w:tl2br w:val="nil"/>
              <w:tr2bl w:val="nil"/>
            </w:tcBorders>
            <w:noWrap/>
            <w:tcMar>
              <w:left w:w="0" w:type="dxa"/>
              <w:right w:w="0" w:type="dxa"/>
            </w:tcMar>
            <w:vAlign w:val="bottom"/>
          </w:tcPr>
          <w:p w14:paraId="71F3F749"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center"/>
          </w:tcPr>
          <w:p w14:paraId="71F3F74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center"/>
          </w:tcPr>
          <w:p w14:paraId="71F3F74B"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center"/>
          </w:tcPr>
          <w:p w14:paraId="71F3F74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(825)</w:t>
            </w:r>
          </w:p>
        </w:tc>
        <w:tc>
          <w:tcPr>
            <w:tcW w:w="180" w:type="dxa"/>
            <w:tcBorders>
              <w:top w:val="nil"/>
              <w:left w:val="nil"/>
              <w:bottom w:val="nil"/>
              <w:right w:val="nil"/>
              <w:tl2br w:val="nil"/>
              <w:tr2bl w:val="nil"/>
            </w:tcBorders>
            <w:noWrap/>
            <w:tcMar>
              <w:left w:w="0" w:type="dxa"/>
              <w:right w:w="0" w:type="dxa"/>
            </w:tcMar>
            <w:vAlign w:val="center"/>
          </w:tcPr>
          <w:p w14:paraId="71F3F74D"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74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(825)</w:t>
            </w:r>
          </w:p>
        </w:tc>
      </w:tr>
      <w:tr w:rsidR="00510CAA" w14:paraId="71F3F75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285" w:type="dxa"/>
            <w:tcBorders>
              <w:top w:val="nil"/>
              <w:left w:val="nil"/>
              <w:bottom w:val="nil"/>
              <w:right w:val="nil"/>
              <w:tl2br w:val="nil"/>
              <w:tr2bl w:val="nil"/>
            </w:tcBorders>
            <w:noWrap/>
            <w:tcMar>
              <w:left w:w="0" w:type="dxa"/>
              <w:right w:w="0" w:type="dxa"/>
            </w:tcMar>
            <w:vAlign w:val="bottom"/>
          </w:tcPr>
          <w:p w14:paraId="71F3F750"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751"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2024</w:t>
            </w:r>
          </w:p>
        </w:tc>
        <w:tc>
          <w:tcPr>
            <w:tcW w:w="180" w:type="dxa"/>
            <w:tcBorders>
              <w:top w:val="nil"/>
              <w:left w:val="nil"/>
              <w:bottom w:val="nil"/>
              <w:right w:val="nil"/>
              <w:tl2br w:val="nil"/>
              <w:tr2bl w:val="nil"/>
            </w:tcBorders>
            <w:noWrap/>
            <w:tcMar>
              <w:left w:w="0" w:type="dxa"/>
              <w:right w:w="0" w:type="dxa"/>
            </w:tcMar>
            <w:vAlign w:val="bottom"/>
          </w:tcPr>
          <w:p w14:paraId="71F3F752"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5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34,660</w:t>
            </w:r>
          </w:p>
        </w:tc>
        <w:tc>
          <w:tcPr>
            <w:tcW w:w="180" w:type="dxa"/>
            <w:tcBorders>
              <w:top w:val="nil"/>
              <w:left w:val="nil"/>
              <w:bottom w:val="nil"/>
              <w:right w:val="nil"/>
              <w:tl2br w:val="nil"/>
              <w:tr2bl w:val="nil"/>
            </w:tcBorders>
            <w:noWrap/>
            <w:tcMar>
              <w:left w:w="0" w:type="dxa"/>
              <w:right w:w="0" w:type="dxa"/>
            </w:tcMar>
            <w:vAlign w:val="bottom"/>
          </w:tcPr>
          <w:p w14:paraId="71F3F754"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F755"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(7,485)</w:t>
            </w:r>
          </w:p>
        </w:tc>
        <w:tc>
          <w:tcPr>
            <w:tcW w:w="180" w:type="dxa"/>
            <w:tcBorders>
              <w:top w:val="nil"/>
              <w:left w:val="nil"/>
              <w:bottom w:val="nil"/>
              <w:right w:val="nil"/>
              <w:tl2br w:val="nil"/>
              <w:tr2bl w:val="nil"/>
            </w:tcBorders>
            <w:noWrap/>
            <w:tcMar>
              <w:left w:w="0" w:type="dxa"/>
              <w:right w:w="0" w:type="dxa"/>
            </w:tcMar>
            <w:vAlign w:val="bottom"/>
          </w:tcPr>
          <w:p w14:paraId="71F3F756"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5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27,175</w:t>
            </w:r>
          </w:p>
        </w:tc>
      </w:tr>
      <w:tr w:rsidR="00510CAA" w14:paraId="71F3F76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60"/>
        </w:trPr>
        <w:tc>
          <w:tcPr>
            <w:tcW w:w="5400" w:type="dxa"/>
            <w:gridSpan w:val="2"/>
            <w:tcBorders>
              <w:top w:val="nil"/>
              <w:left w:val="nil"/>
              <w:bottom w:val="nil"/>
              <w:right w:val="nil"/>
              <w:tl2br w:val="nil"/>
              <w:tr2bl w:val="nil"/>
            </w:tcBorders>
            <w:tcMar>
              <w:left w:w="0" w:type="dxa"/>
              <w:right w:w="0" w:type="dxa"/>
            </w:tcMar>
            <w:vAlign w:val="bottom"/>
          </w:tcPr>
          <w:p w14:paraId="71F3F759" w14:textId="77777777" w:rsidR="00510CAA" w:rsidRDefault="003A4815">
            <w:pPr>
              <w:keepNext/>
              <w:rPr>
                <w:rFonts w:ascii="Arial" w:eastAsia="Arial" w:hAnsi="Arial" w:cs="Arial"/>
                <w:color w:val="000000"/>
                <w:sz w:val="20"/>
              </w:rPr>
            </w:pPr>
            <w:r>
              <w:rPr>
                <w:rFonts w:ascii="Arial" w:eastAsia="Arial" w:hAnsi="Arial" w:cs="Arial"/>
                <w:color w:val="000000"/>
                <w:sz w:val="20"/>
              </w:rPr>
              <w:t>- Additions in property and equipment</w:t>
            </w:r>
          </w:p>
        </w:tc>
        <w:tc>
          <w:tcPr>
            <w:tcW w:w="180" w:type="dxa"/>
            <w:tcBorders>
              <w:top w:val="nil"/>
              <w:left w:val="nil"/>
              <w:bottom w:val="nil"/>
              <w:right w:val="nil"/>
              <w:tl2br w:val="nil"/>
              <w:tr2bl w:val="nil"/>
            </w:tcBorders>
            <w:noWrap/>
            <w:tcMar>
              <w:left w:w="0" w:type="dxa"/>
              <w:right w:w="0" w:type="dxa"/>
            </w:tcMar>
            <w:vAlign w:val="bottom"/>
          </w:tcPr>
          <w:p w14:paraId="71F3F75A"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60" w:type="dxa"/>
            </w:tcMar>
            <w:vAlign w:val="bottom"/>
          </w:tcPr>
          <w:p w14:paraId="71F3F75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1,671</w:t>
            </w:r>
          </w:p>
        </w:tc>
        <w:tc>
          <w:tcPr>
            <w:tcW w:w="180" w:type="dxa"/>
            <w:tcBorders>
              <w:top w:val="nil"/>
              <w:left w:val="nil"/>
              <w:bottom w:val="nil"/>
              <w:right w:val="nil"/>
              <w:tl2br w:val="nil"/>
              <w:tr2bl w:val="nil"/>
            </w:tcBorders>
            <w:noWrap/>
            <w:tcMar>
              <w:left w:w="0" w:type="dxa"/>
              <w:right w:w="0" w:type="dxa"/>
            </w:tcMar>
            <w:vAlign w:val="bottom"/>
          </w:tcPr>
          <w:p w14:paraId="71F3F75C"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60" w:type="dxa"/>
            </w:tcMar>
            <w:vAlign w:val="bottom"/>
          </w:tcPr>
          <w:p w14:paraId="71F3F75D"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75E" w14:textId="77777777" w:rsidR="00510CAA" w:rsidRDefault="00510CAA">
            <w:pPr>
              <w:keepNext/>
              <w:jc w:val="center"/>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60" w:type="dxa"/>
            </w:tcMar>
            <w:vAlign w:val="bottom"/>
          </w:tcPr>
          <w:p w14:paraId="71F3F75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1,671</w:t>
            </w:r>
          </w:p>
        </w:tc>
      </w:tr>
      <w:tr w:rsidR="00510CAA" w14:paraId="71F3F7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400" w:type="dxa"/>
            <w:gridSpan w:val="2"/>
            <w:tcBorders>
              <w:top w:val="nil"/>
              <w:left w:val="nil"/>
              <w:bottom w:val="nil"/>
              <w:right w:val="nil"/>
              <w:tl2br w:val="nil"/>
              <w:tr2bl w:val="nil"/>
            </w:tcBorders>
            <w:tcMar>
              <w:left w:w="0" w:type="dxa"/>
              <w:right w:w="0" w:type="dxa"/>
            </w:tcMar>
            <w:vAlign w:val="bottom"/>
          </w:tcPr>
          <w:p w14:paraId="71F3F761" w14:textId="77777777" w:rsidR="00510CAA" w:rsidRDefault="003A4815">
            <w:pPr>
              <w:keepNext/>
              <w:rPr>
                <w:rFonts w:ascii="Arial" w:eastAsia="Arial" w:hAnsi="Arial" w:cs="Arial"/>
                <w:color w:val="000000"/>
                <w:sz w:val="20"/>
              </w:rPr>
            </w:pPr>
            <w:r>
              <w:rPr>
                <w:rFonts w:ascii="Arial" w:eastAsia="Arial" w:hAnsi="Arial" w:cs="Arial"/>
                <w:color w:val="000000"/>
                <w:sz w:val="20"/>
              </w:rPr>
              <w:t>- Depreciation for the year</w:t>
            </w:r>
          </w:p>
        </w:tc>
        <w:tc>
          <w:tcPr>
            <w:tcW w:w="180" w:type="dxa"/>
            <w:tcBorders>
              <w:top w:val="nil"/>
              <w:left w:val="nil"/>
              <w:bottom w:val="nil"/>
              <w:right w:val="nil"/>
              <w:tl2br w:val="nil"/>
              <w:tr2bl w:val="nil"/>
            </w:tcBorders>
            <w:noWrap/>
            <w:tcMar>
              <w:left w:w="0" w:type="dxa"/>
              <w:right w:w="0" w:type="dxa"/>
            </w:tcMar>
            <w:vAlign w:val="bottom"/>
          </w:tcPr>
          <w:p w14:paraId="71F3F762"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76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764"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765"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(998)</w:t>
            </w:r>
          </w:p>
        </w:tc>
        <w:tc>
          <w:tcPr>
            <w:tcW w:w="180" w:type="dxa"/>
            <w:tcBorders>
              <w:top w:val="nil"/>
              <w:left w:val="nil"/>
              <w:bottom w:val="nil"/>
              <w:right w:val="nil"/>
              <w:tl2br w:val="nil"/>
              <w:tr2bl w:val="nil"/>
            </w:tcBorders>
            <w:noWrap/>
            <w:tcMar>
              <w:left w:w="0" w:type="dxa"/>
              <w:right w:w="0" w:type="dxa"/>
            </w:tcMar>
            <w:vAlign w:val="bottom"/>
          </w:tcPr>
          <w:p w14:paraId="71F3F766" w14:textId="77777777" w:rsidR="00510CAA" w:rsidRDefault="00510CAA">
            <w:pPr>
              <w:keepNext/>
              <w:jc w:val="center"/>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76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(998)</w:t>
            </w:r>
          </w:p>
        </w:tc>
      </w:tr>
      <w:tr w:rsidR="00510CAA" w14:paraId="71F3F77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285" w:type="dxa"/>
            <w:tcBorders>
              <w:top w:val="nil"/>
              <w:left w:val="nil"/>
              <w:bottom w:val="nil"/>
              <w:right w:val="nil"/>
              <w:tl2br w:val="nil"/>
              <w:tr2bl w:val="nil"/>
            </w:tcBorders>
            <w:noWrap/>
            <w:tcMar>
              <w:left w:w="0" w:type="dxa"/>
              <w:right w:w="0" w:type="dxa"/>
            </w:tcMar>
            <w:vAlign w:val="bottom"/>
          </w:tcPr>
          <w:p w14:paraId="71F3F769"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tcMar>
              <w:left w:w="0" w:type="dxa"/>
              <w:right w:w="0" w:type="dxa"/>
            </w:tcMar>
            <w:vAlign w:val="bottom"/>
          </w:tcPr>
          <w:p w14:paraId="71F3F76A" w14:textId="77777777" w:rsidR="00510CAA" w:rsidRDefault="003A4815">
            <w:pPr>
              <w:keepNext/>
              <w:rPr>
                <w:rFonts w:ascii="Arial" w:eastAsia="Arial" w:hAnsi="Arial" w:cs="Arial"/>
                <w:b/>
                <w:color w:val="000000"/>
                <w:sz w:val="20"/>
              </w:rPr>
            </w:pPr>
            <w:r>
              <w:rPr>
                <w:rFonts w:ascii="Arial" w:eastAsia="Arial" w:hAnsi="Arial" w:cs="Arial"/>
                <w:b/>
                <w:color w:val="000000"/>
                <w:sz w:val="20"/>
              </w:rPr>
              <w:t>Balance, December 31, 2025</w:t>
            </w:r>
          </w:p>
        </w:tc>
        <w:tc>
          <w:tcPr>
            <w:tcW w:w="180" w:type="dxa"/>
            <w:tcBorders>
              <w:top w:val="nil"/>
              <w:left w:val="nil"/>
              <w:bottom w:val="nil"/>
              <w:right w:val="nil"/>
              <w:tl2br w:val="nil"/>
              <w:tr2bl w:val="nil"/>
            </w:tcBorders>
            <w:noWrap/>
            <w:tcMar>
              <w:left w:w="0" w:type="dxa"/>
              <w:right w:w="0" w:type="dxa"/>
            </w:tcMar>
            <w:vAlign w:val="bottom"/>
          </w:tcPr>
          <w:p w14:paraId="71F3F76B"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6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36,331</w:t>
            </w:r>
          </w:p>
        </w:tc>
        <w:tc>
          <w:tcPr>
            <w:tcW w:w="180" w:type="dxa"/>
            <w:tcBorders>
              <w:top w:val="nil"/>
              <w:left w:val="nil"/>
              <w:bottom w:val="nil"/>
              <w:right w:val="nil"/>
              <w:tl2br w:val="nil"/>
              <w:tr2bl w:val="nil"/>
            </w:tcBorders>
            <w:noWrap/>
            <w:tcMar>
              <w:left w:w="0" w:type="dxa"/>
              <w:right w:w="0" w:type="dxa"/>
            </w:tcMar>
            <w:vAlign w:val="bottom"/>
          </w:tcPr>
          <w:p w14:paraId="71F3F76D"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0" w:type="dxa"/>
            </w:tcMar>
            <w:vAlign w:val="bottom"/>
          </w:tcPr>
          <w:p w14:paraId="71F3F76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(8,483)</w:t>
            </w:r>
          </w:p>
        </w:tc>
        <w:tc>
          <w:tcPr>
            <w:tcW w:w="180" w:type="dxa"/>
            <w:tcBorders>
              <w:top w:val="nil"/>
              <w:left w:val="nil"/>
              <w:bottom w:val="nil"/>
              <w:right w:val="nil"/>
              <w:tl2br w:val="nil"/>
              <w:tr2bl w:val="nil"/>
            </w:tcBorders>
            <w:noWrap/>
            <w:tcMar>
              <w:left w:w="0" w:type="dxa"/>
              <w:right w:w="0" w:type="dxa"/>
            </w:tcMar>
            <w:vAlign w:val="bottom"/>
          </w:tcPr>
          <w:p w14:paraId="71F3F76F" w14:textId="77777777" w:rsidR="00510CAA" w:rsidRDefault="003A4815">
            <w:pPr>
              <w:keepNext/>
              <w:jc w:val="center"/>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77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27,848</w:t>
            </w:r>
          </w:p>
        </w:tc>
      </w:tr>
    </w:tbl>
    <w:p w14:paraId="71F3F772"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773" w14:textId="77777777" w:rsidR="00DA5325" w:rsidRPr="00002DD5" w:rsidRDefault="003A4815" w:rsidP="00002DD5">
      <w:pPr>
        <w:pStyle w:val="Header1notes"/>
        <w:keepLines/>
        <w:pBdr>
          <w:top w:val="nil"/>
          <w:left w:val="nil"/>
          <w:bottom w:val="nil"/>
          <w:right w:val="nil"/>
          <w:between w:val="nil"/>
          <w:bar w:val="nil"/>
        </w:pBdr>
        <w:spacing w:before="0" w:after="0"/>
        <w:rPr>
          <w:rFonts w:ascii="Arial" w:eastAsia="Arial" w:hAnsi="Arial" w:cs="Arial"/>
          <w:sz w:val="24"/>
          <w:bdr w:val="nil"/>
        </w:rPr>
      </w:pPr>
      <w:bookmarkStart w:id="618" w:name="RG_MARKER_23104"/>
      <w:bookmarkStart w:id="619" w:name="RG_MARKER_23178"/>
      <w:bookmarkStart w:id="620" w:name="_Ref110137617"/>
      <w:bookmarkStart w:id="621" w:name="_Ref146439085"/>
      <w:bookmarkStart w:id="622" w:name="_Ref188948897"/>
      <w:bookmarkStart w:id="623" w:name="XBRL_TS_ada4a82982974cf0bd72bb125f987cba"/>
      <w:r w:rsidRPr="00002DD5">
        <w:rPr>
          <w:rFonts w:ascii="Arial" w:eastAsia="Arial" w:hAnsi="Arial" w:cs="Arial"/>
          <w:sz w:val="24"/>
        </w:rPr>
        <w:t>8.</w:t>
      </w:r>
      <w:bookmarkEnd w:id="618"/>
      <w:bookmarkEnd w:id="619"/>
      <w:r w:rsidRPr="00002DD5">
        <w:rPr>
          <w:rFonts w:ascii="Arial" w:eastAsia="Arial" w:hAnsi="Arial" w:cs="Arial"/>
          <w:sz w:val="24"/>
        </w:rPr>
        <w:tab/>
        <w:t>Long-term debt</w:t>
      </w:r>
      <w:bookmarkEnd w:id="620"/>
      <w:bookmarkEnd w:id="621"/>
      <w:bookmarkEnd w:id="622"/>
    </w:p>
    <w:p w14:paraId="71F3F774" w14:textId="77777777" w:rsidR="00E46CB8" w:rsidRPr="00002DD5" w:rsidRDefault="00E46CB8" w:rsidP="00002DD5">
      <w:pPr>
        <w:keepNext/>
        <w:keepLines/>
        <w:pBdr>
          <w:top w:val="nil"/>
          <w:left w:val="nil"/>
          <w:bottom w:val="nil"/>
          <w:right w:val="nil"/>
          <w:between w:val="nil"/>
          <w:bar w:val="nil"/>
        </w:pBdr>
        <w:jc w:val="both"/>
        <w:rPr>
          <w:rFonts w:ascii="Arial" w:eastAsia="Arial" w:hAnsi="Arial" w:cs="Arial"/>
          <w:bdr w:val="nil"/>
          <w:lang w:val="en-US"/>
        </w:rPr>
      </w:pPr>
    </w:p>
    <w:p w14:paraId="71F3F775" w14:textId="77777777" w:rsidR="00DA5325" w:rsidRPr="00002DD5" w:rsidRDefault="003A4815" w:rsidP="00002DD5">
      <w:pPr>
        <w:pBdr>
          <w:top w:val="nil"/>
          <w:left w:val="nil"/>
          <w:bottom w:val="nil"/>
          <w:right w:val="nil"/>
          <w:between w:val="nil"/>
          <w:bar w:val="nil"/>
        </w:pBdr>
        <w:jc w:val="both"/>
        <w:rPr>
          <w:rFonts w:ascii="Arial" w:eastAsia="Arial" w:hAnsi="Arial" w:cs="Arial"/>
          <w:bdr w:val="nil"/>
          <w:lang w:val="en-US"/>
        </w:rPr>
      </w:pPr>
      <w:r w:rsidRPr="00002DD5">
        <w:rPr>
          <w:rFonts w:ascii="Arial" w:eastAsia="Arial" w:hAnsi="Arial" w:cs="Arial"/>
          <w:lang w:val="en-US" w:bidi="en-US"/>
        </w:rPr>
        <w:t>The amount of long-term debt shown in the accompanying consolidated balance sheets is analyzed as follows</w:t>
      </w:r>
      <w:r>
        <w:rPr>
          <w:rFonts w:ascii="Arial" w:eastAsia="Arial" w:hAnsi="Arial" w:cs="Arial"/>
          <w:lang w:val="en-US" w:bidi="en-US"/>
        </w:rPr>
        <w:t>:</w:t>
      </w:r>
    </w:p>
    <w:tbl>
      <w:tblPr>
        <w:tblStyle w:val="CDMRange2"/>
        <w:tblW w:w="10215" w:type="dxa"/>
        <w:tblLayout w:type="fixed"/>
        <w:tblLook w:val="0600" w:firstRow="0" w:lastRow="0" w:firstColumn="0" w:lastColumn="0" w:noHBand="1" w:noVBand="1"/>
      </w:tblPr>
      <w:tblGrid>
        <w:gridCol w:w="285"/>
        <w:gridCol w:w="5640"/>
        <w:gridCol w:w="180"/>
        <w:gridCol w:w="1965"/>
        <w:gridCol w:w="180"/>
        <w:gridCol w:w="1965"/>
      </w:tblGrid>
      <w:tr w:rsidR="00510CAA" w14:paraId="71F3F77C" w14:textId="77777777">
        <w:trPr>
          <w:cantSplit/>
          <w:trHeight w:hRule="exact" w:val="264"/>
        </w:trPr>
        <w:tc>
          <w:tcPr>
            <w:tcW w:w="285" w:type="dxa"/>
            <w:tcBorders>
              <w:top w:val="nil"/>
              <w:left w:val="nil"/>
              <w:bottom w:val="nil"/>
              <w:right w:val="nil"/>
              <w:tl2br w:val="nil"/>
              <w:tr2bl w:val="nil"/>
            </w:tcBorders>
            <w:tcMar>
              <w:left w:w="0" w:type="dxa"/>
              <w:right w:w="0" w:type="dxa"/>
            </w:tcMar>
            <w:vAlign w:val="bottom"/>
          </w:tcPr>
          <w:p w14:paraId="71F3F776" w14:textId="77777777" w:rsidR="00510CAA" w:rsidRDefault="00510CAA">
            <w:pPr>
              <w:keepNext/>
              <w:rPr>
                <w:rFonts w:ascii="Arial" w:eastAsia="Arial" w:hAnsi="Arial" w:cs="Arial"/>
                <w:color w:val="000000"/>
                <w:sz w:val="20"/>
              </w:rPr>
            </w:pPr>
            <w:bookmarkStart w:id="624" w:name="RG_MARKER_23083"/>
            <w:bookmarkEnd w:id="623"/>
            <w:bookmarkEnd w:id="624"/>
          </w:p>
        </w:tc>
        <w:tc>
          <w:tcPr>
            <w:tcW w:w="5640" w:type="dxa"/>
            <w:tcBorders>
              <w:top w:val="nil"/>
              <w:left w:val="nil"/>
              <w:bottom w:val="nil"/>
              <w:right w:val="nil"/>
              <w:tl2br w:val="nil"/>
              <w:tr2bl w:val="nil"/>
            </w:tcBorders>
            <w:tcMar>
              <w:left w:w="0" w:type="dxa"/>
              <w:right w:w="0" w:type="dxa"/>
            </w:tcMar>
            <w:vAlign w:val="bottom"/>
          </w:tcPr>
          <w:p w14:paraId="71F3F777"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F778" w14:textId="77777777" w:rsidR="00510CAA" w:rsidRDefault="00510CAA">
            <w:pPr>
              <w:keepNext/>
              <w:rPr>
                <w:rFonts w:ascii="Arial" w:eastAsia="Arial" w:hAnsi="Arial" w:cs="Arial"/>
                <w:color w:val="000000"/>
                <w:sz w:val="20"/>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F779"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December 31, 2025</w:t>
            </w:r>
          </w:p>
        </w:tc>
        <w:tc>
          <w:tcPr>
            <w:tcW w:w="180" w:type="dxa"/>
            <w:tcBorders>
              <w:top w:val="nil"/>
              <w:left w:val="nil"/>
              <w:bottom w:val="nil"/>
              <w:right w:val="nil"/>
              <w:tl2br w:val="nil"/>
              <w:tr2bl w:val="nil"/>
            </w:tcBorders>
            <w:tcMar>
              <w:left w:w="0" w:type="dxa"/>
              <w:right w:w="0" w:type="dxa"/>
            </w:tcMar>
            <w:vAlign w:val="bottom"/>
          </w:tcPr>
          <w:p w14:paraId="71F3F77A" w14:textId="77777777" w:rsidR="00510CAA" w:rsidRDefault="00510CAA">
            <w:pPr>
              <w:keepNext/>
              <w:rPr>
                <w:rFonts w:ascii="Arial" w:eastAsia="Arial" w:hAnsi="Arial" w:cs="Arial"/>
                <w:color w:val="000000"/>
                <w:sz w:val="20"/>
              </w:rPr>
            </w:pPr>
          </w:p>
        </w:tc>
        <w:tc>
          <w:tcPr>
            <w:tcW w:w="1965" w:type="dxa"/>
            <w:tcBorders>
              <w:top w:val="nil"/>
              <w:left w:val="nil"/>
              <w:bottom w:val="single" w:sz="4" w:space="0" w:color="000000"/>
              <w:right w:val="nil"/>
              <w:tl2br w:val="nil"/>
              <w:tr2bl w:val="nil"/>
            </w:tcBorders>
            <w:tcMar>
              <w:left w:w="40" w:type="dxa"/>
              <w:right w:w="40" w:type="dxa"/>
            </w:tcMar>
            <w:vAlign w:val="bottom"/>
          </w:tcPr>
          <w:p w14:paraId="71F3F77B"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December 31, 2024</w:t>
            </w:r>
          </w:p>
        </w:tc>
      </w:tr>
      <w:tr w:rsidR="00510CAA" w14:paraId="71F3F78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25" w:type="dxa"/>
            <w:gridSpan w:val="2"/>
            <w:tcBorders>
              <w:top w:val="nil"/>
              <w:left w:val="nil"/>
              <w:bottom w:val="nil"/>
              <w:right w:val="nil"/>
              <w:tl2br w:val="nil"/>
              <w:tr2bl w:val="nil"/>
            </w:tcBorders>
            <w:tcMar>
              <w:left w:w="40" w:type="dxa"/>
              <w:right w:w="40" w:type="dxa"/>
            </w:tcMar>
            <w:vAlign w:val="bottom"/>
          </w:tcPr>
          <w:p w14:paraId="71F3F77D" w14:textId="77777777" w:rsidR="00510CAA" w:rsidRDefault="003A4815">
            <w:pPr>
              <w:keepNext/>
              <w:rPr>
                <w:rFonts w:ascii="Arial" w:eastAsia="Arial" w:hAnsi="Arial" w:cs="Arial"/>
                <w:color w:val="000000"/>
                <w:sz w:val="20"/>
              </w:rPr>
            </w:pPr>
            <w:r>
              <w:rPr>
                <w:rFonts w:ascii="Arial" w:eastAsia="Arial" w:hAnsi="Arial" w:cs="Arial"/>
                <w:color w:val="000000"/>
                <w:sz w:val="20"/>
              </w:rPr>
              <w:t>Senior unsecured bond</w:t>
            </w:r>
          </w:p>
        </w:tc>
        <w:tc>
          <w:tcPr>
            <w:tcW w:w="180" w:type="dxa"/>
            <w:tcBorders>
              <w:top w:val="nil"/>
              <w:left w:val="nil"/>
              <w:bottom w:val="nil"/>
              <w:right w:val="nil"/>
              <w:tl2br w:val="nil"/>
              <w:tr2bl w:val="nil"/>
            </w:tcBorders>
            <w:tcMar>
              <w:left w:w="0" w:type="dxa"/>
              <w:right w:w="0" w:type="dxa"/>
            </w:tcMar>
            <w:vAlign w:val="bottom"/>
          </w:tcPr>
          <w:p w14:paraId="71F3F77E" w14:textId="77777777" w:rsidR="00510CAA" w:rsidRDefault="00510CAA">
            <w:pPr>
              <w:keepNext/>
              <w:rPr>
                <w:rFonts w:ascii="Arial" w:eastAsia="Arial" w:hAnsi="Arial" w:cs="Arial"/>
                <w:color w:val="000000"/>
                <w:sz w:val="20"/>
              </w:rPr>
            </w:pPr>
          </w:p>
        </w:tc>
        <w:tc>
          <w:tcPr>
            <w:tcW w:w="1965" w:type="dxa"/>
            <w:tcBorders>
              <w:top w:val="single" w:sz="4" w:space="0" w:color="000000"/>
              <w:left w:val="nil"/>
              <w:bottom w:val="nil"/>
              <w:right w:val="nil"/>
              <w:tl2br w:val="nil"/>
              <w:tr2bl w:val="nil"/>
            </w:tcBorders>
            <w:tcMar>
              <w:left w:w="40" w:type="dxa"/>
              <w:right w:w="100" w:type="dxa"/>
            </w:tcMar>
            <w:vAlign w:val="bottom"/>
          </w:tcPr>
          <w:p w14:paraId="71F3F77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175,000</w:t>
            </w:r>
          </w:p>
        </w:tc>
        <w:tc>
          <w:tcPr>
            <w:tcW w:w="180" w:type="dxa"/>
            <w:tcBorders>
              <w:top w:val="nil"/>
              <w:left w:val="nil"/>
              <w:bottom w:val="nil"/>
              <w:right w:val="nil"/>
              <w:tl2br w:val="nil"/>
              <w:tr2bl w:val="nil"/>
            </w:tcBorders>
            <w:tcMar>
              <w:left w:w="0" w:type="dxa"/>
              <w:right w:w="0" w:type="dxa"/>
            </w:tcMar>
            <w:vAlign w:val="bottom"/>
          </w:tcPr>
          <w:p w14:paraId="71F3F780" w14:textId="77777777" w:rsidR="00510CAA" w:rsidRDefault="00510CAA">
            <w:pPr>
              <w:keepNext/>
              <w:rPr>
                <w:rFonts w:ascii="Arial" w:eastAsia="Arial" w:hAnsi="Arial" w:cs="Arial"/>
                <w:color w:val="000000"/>
                <w:sz w:val="20"/>
              </w:rPr>
            </w:pPr>
          </w:p>
        </w:tc>
        <w:tc>
          <w:tcPr>
            <w:tcW w:w="1965" w:type="dxa"/>
            <w:tcBorders>
              <w:top w:val="single" w:sz="4" w:space="0" w:color="000000"/>
              <w:left w:val="nil"/>
              <w:bottom w:val="nil"/>
              <w:right w:val="nil"/>
              <w:tl2br w:val="nil"/>
              <w:tr2bl w:val="nil"/>
            </w:tcBorders>
            <w:tcMar>
              <w:left w:w="40" w:type="dxa"/>
              <w:right w:w="100" w:type="dxa"/>
            </w:tcMar>
            <w:vAlign w:val="bottom"/>
          </w:tcPr>
          <w:p w14:paraId="71F3F78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175,000</w:t>
            </w:r>
          </w:p>
        </w:tc>
      </w:tr>
      <w:tr w:rsidR="00510CAA" w14:paraId="71F3F78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25" w:type="dxa"/>
            <w:gridSpan w:val="2"/>
            <w:tcBorders>
              <w:top w:val="nil"/>
              <w:left w:val="nil"/>
              <w:bottom w:val="nil"/>
              <w:right w:val="nil"/>
              <w:tl2br w:val="nil"/>
              <w:tr2bl w:val="nil"/>
            </w:tcBorders>
            <w:tcMar>
              <w:left w:w="40" w:type="dxa"/>
              <w:right w:w="40" w:type="dxa"/>
            </w:tcMar>
            <w:vAlign w:val="bottom"/>
          </w:tcPr>
          <w:p w14:paraId="71F3F783" w14:textId="77777777" w:rsidR="00510CAA" w:rsidRDefault="003A4815">
            <w:pPr>
              <w:keepNext/>
              <w:rPr>
                <w:rFonts w:ascii="Arial" w:eastAsia="Arial" w:hAnsi="Arial" w:cs="Arial"/>
                <w:color w:val="000000"/>
                <w:sz w:val="20"/>
              </w:rPr>
            </w:pPr>
            <w:r>
              <w:rPr>
                <w:rFonts w:ascii="Arial" w:eastAsia="Arial" w:hAnsi="Arial" w:cs="Arial"/>
                <w:color w:val="000000"/>
                <w:sz w:val="20"/>
              </w:rPr>
              <w:t>Secured long-term debt</w:t>
            </w:r>
          </w:p>
        </w:tc>
        <w:tc>
          <w:tcPr>
            <w:tcW w:w="180" w:type="dxa"/>
            <w:tcBorders>
              <w:top w:val="nil"/>
              <w:left w:val="nil"/>
              <w:bottom w:val="nil"/>
              <w:right w:val="nil"/>
              <w:tl2br w:val="nil"/>
              <w:tr2bl w:val="nil"/>
            </w:tcBorders>
            <w:tcMar>
              <w:left w:w="0" w:type="dxa"/>
              <w:right w:w="0" w:type="dxa"/>
            </w:tcMar>
            <w:vAlign w:val="bottom"/>
          </w:tcPr>
          <w:p w14:paraId="71F3F784"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tcMar>
              <w:left w:w="40" w:type="dxa"/>
              <w:right w:w="100" w:type="dxa"/>
            </w:tcMar>
            <w:vAlign w:val="bottom"/>
          </w:tcPr>
          <w:p w14:paraId="71F3F785"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354,189</w:t>
            </w:r>
          </w:p>
        </w:tc>
        <w:tc>
          <w:tcPr>
            <w:tcW w:w="180" w:type="dxa"/>
            <w:tcBorders>
              <w:top w:val="nil"/>
              <w:left w:val="nil"/>
              <w:bottom w:val="nil"/>
              <w:right w:val="nil"/>
              <w:tl2br w:val="nil"/>
              <w:tr2bl w:val="nil"/>
            </w:tcBorders>
            <w:tcMar>
              <w:left w:w="0" w:type="dxa"/>
              <w:right w:w="0" w:type="dxa"/>
            </w:tcMar>
            <w:vAlign w:val="bottom"/>
          </w:tcPr>
          <w:p w14:paraId="71F3F786" w14:textId="77777777" w:rsidR="00510CAA" w:rsidRDefault="00510CAA">
            <w:pPr>
              <w:keepNext/>
              <w:jc w:val="right"/>
              <w:rPr>
                <w:rFonts w:ascii="Arial" w:eastAsia="Arial" w:hAnsi="Arial" w:cs="Arial"/>
                <w:color w:val="000000"/>
                <w:sz w:val="20"/>
              </w:rPr>
            </w:pPr>
          </w:p>
        </w:tc>
        <w:tc>
          <w:tcPr>
            <w:tcW w:w="1965" w:type="dxa"/>
            <w:tcBorders>
              <w:top w:val="nil"/>
              <w:left w:val="nil"/>
              <w:bottom w:val="nil"/>
              <w:right w:val="nil"/>
              <w:tl2br w:val="nil"/>
              <w:tr2bl w:val="nil"/>
            </w:tcBorders>
            <w:tcMar>
              <w:left w:w="40" w:type="dxa"/>
              <w:right w:w="100" w:type="dxa"/>
            </w:tcMar>
            <w:vAlign w:val="bottom"/>
          </w:tcPr>
          <w:p w14:paraId="71F3F78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347,590</w:t>
            </w:r>
          </w:p>
        </w:tc>
      </w:tr>
      <w:tr w:rsidR="00510CAA" w14:paraId="71F3F78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30"/>
        </w:trPr>
        <w:tc>
          <w:tcPr>
            <w:tcW w:w="285" w:type="dxa"/>
            <w:tcBorders>
              <w:top w:val="nil"/>
              <w:left w:val="nil"/>
              <w:bottom w:val="nil"/>
              <w:right w:val="nil"/>
              <w:tl2br w:val="nil"/>
              <w:tr2bl w:val="nil"/>
            </w:tcBorders>
            <w:tcMar>
              <w:left w:w="0" w:type="dxa"/>
              <w:right w:w="0" w:type="dxa"/>
            </w:tcMar>
            <w:vAlign w:val="bottom"/>
          </w:tcPr>
          <w:p w14:paraId="71F3F789" w14:textId="77777777" w:rsidR="00510CAA" w:rsidRDefault="00510CAA">
            <w:pPr>
              <w:keepNext/>
              <w:rPr>
                <w:rFonts w:ascii="Arial" w:eastAsia="Arial" w:hAnsi="Arial" w:cs="Arial"/>
                <w:b/>
                <w:color w:val="000000"/>
                <w:sz w:val="20"/>
              </w:rPr>
            </w:pPr>
          </w:p>
        </w:tc>
        <w:tc>
          <w:tcPr>
            <w:tcW w:w="5640" w:type="dxa"/>
            <w:tcBorders>
              <w:top w:val="nil"/>
              <w:left w:val="nil"/>
              <w:bottom w:val="nil"/>
              <w:right w:val="nil"/>
              <w:tl2br w:val="nil"/>
              <w:tr2bl w:val="nil"/>
            </w:tcBorders>
            <w:tcMar>
              <w:left w:w="40" w:type="dxa"/>
              <w:right w:w="40" w:type="dxa"/>
            </w:tcMar>
            <w:vAlign w:val="bottom"/>
          </w:tcPr>
          <w:p w14:paraId="71F3F78A" w14:textId="77777777" w:rsidR="00510CAA" w:rsidRDefault="003A4815">
            <w:pPr>
              <w:keepNext/>
              <w:rPr>
                <w:rFonts w:ascii="Arial" w:eastAsia="Arial" w:hAnsi="Arial" w:cs="Arial"/>
                <w:b/>
                <w:color w:val="000000"/>
                <w:sz w:val="20"/>
              </w:rPr>
            </w:pPr>
            <w:r>
              <w:rPr>
                <w:rFonts w:ascii="Arial" w:eastAsia="Arial" w:hAnsi="Arial" w:cs="Arial"/>
                <w:b/>
                <w:color w:val="000000"/>
                <w:sz w:val="20"/>
              </w:rPr>
              <w:t>Total long-term debt</w:t>
            </w:r>
          </w:p>
        </w:tc>
        <w:tc>
          <w:tcPr>
            <w:tcW w:w="180" w:type="dxa"/>
            <w:tcBorders>
              <w:top w:val="nil"/>
              <w:left w:val="nil"/>
              <w:bottom w:val="nil"/>
              <w:right w:val="nil"/>
              <w:tl2br w:val="nil"/>
              <w:tr2bl w:val="nil"/>
            </w:tcBorders>
            <w:tcMar>
              <w:left w:w="40" w:type="dxa"/>
              <w:right w:w="40" w:type="dxa"/>
            </w:tcMar>
            <w:vAlign w:val="bottom"/>
          </w:tcPr>
          <w:p w14:paraId="71F3F78B"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single" w:sz="12" w:space="0" w:color="000000"/>
              <w:right w:val="nil"/>
              <w:tl2br w:val="nil"/>
              <w:tr2bl w:val="nil"/>
            </w:tcBorders>
            <w:tcMar>
              <w:left w:w="40" w:type="dxa"/>
              <w:right w:w="100" w:type="dxa"/>
            </w:tcMar>
            <w:vAlign w:val="bottom"/>
          </w:tcPr>
          <w:p w14:paraId="71F3F78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529,189</w:t>
            </w:r>
          </w:p>
        </w:tc>
        <w:tc>
          <w:tcPr>
            <w:tcW w:w="180" w:type="dxa"/>
            <w:tcBorders>
              <w:top w:val="nil"/>
              <w:left w:val="nil"/>
              <w:bottom w:val="nil"/>
              <w:right w:val="nil"/>
              <w:tl2br w:val="nil"/>
              <w:tr2bl w:val="nil"/>
            </w:tcBorders>
            <w:tcMar>
              <w:left w:w="40" w:type="dxa"/>
              <w:right w:w="40" w:type="dxa"/>
            </w:tcMar>
            <w:vAlign w:val="bottom"/>
          </w:tcPr>
          <w:p w14:paraId="71F3F78D"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single" w:sz="12" w:space="0" w:color="000000"/>
              <w:right w:val="nil"/>
              <w:tl2br w:val="nil"/>
              <w:tr2bl w:val="nil"/>
            </w:tcBorders>
            <w:tcMar>
              <w:left w:w="40" w:type="dxa"/>
              <w:right w:w="100" w:type="dxa"/>
            </w:tcMar>
            <w:vAlign w:val="bottom"/>
          </w:tcPr>
          <w:p w14:paraId="71F3F78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522,590</w:t>
            </w:r>
          </w:p>
        </w:tc>
      </w:tr>
      <w:tr w:rsidR="00510CAA" w14:paraId="71F3F79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25" w:type="dxa"/>
            <w:gridSpan w:val="2"/>
            <w:tcBorders>
              <w:top w:val="nil"/>
              <w:left w:val="nil"/>
              <w:bottom w:val="nil"/>
              <w:right w:val="nil"/>
              <w:tl2br w:val="nil"/>
              <w:tr2bl w:val="nil"/>
            </w:tcBorders>
            <w:tcMar>
              <w:left w:w="40" w:type="dxa"/>
              <w:right w:w="40" w:type="dxa"/>
            </w:tcMar>
            <w:vAlign w:val="bottom"/>
          </w:tcPr>
          <w:p w14:paraId="71F3F790" w14:textId="77777777" w:rsidR="00510CAA" w:rsidRDefault="003A4815">
            <w:pPr>
              <w:keepNext/>
              <w:rPr>
                <w:rFonts w:ascii="Arial" w:eastAsia="Arial" w:hAnsi="Arial" w:cs="Arial"/>
                <w:color w:val="000000"/>
                <w:sz w:val="20"/>
              </w:rPr>
            </w:pPr>
            <w:r>
              <w:rPr>
                <w:rFonts w:ascii="Arial" w:eastAsia="Arial" w:hAnsi="Arial" w:cs="Arial"/>
                <w:color w:val="000000"/>
                <w:sz w:val="20"/>
              </w:rPr>
              <w:t xml:space="preserve">Less: Deferred financing costs  </w:t>
            </w:r>
          </w:p>
        </w:tc>
        <w:tc>
          <w:tcPr>
            <w:tcW w:w="180" w:type="dxa"/>
            <w:tcBorders>
              <w:top w:val="nil"/>
              <w:left w:val="nil"/>
              <w:bottom w:val="nil"/>
              <w:right w:val="nil"/>
              <w:tl2br w:val="nil"/>
              <w:tr2bl w:val="nil"/>
            </w:tcBorders>
            <w:tcMar>
              <w:left w:w="0" w:type="dxa"/>
              <w:right w:w="0" w:type="dxa"/>
            </w:tcMar>
            <w:vAlign w:val="bottom"/>
          </w:tcPr>
          <w:p w14:paraId="71F3F791" w14:textId="77777777" w:rsidR="00510CAA" w:rsidRDefault="00510CAA">
            <w:pPr>
              <w:keepNext/>
              <w:rPr>
                <w:rFonts w:ascii="Arial" w:eastAsia="Arial" w:hAnsi="Arial" w:cs="Arial"/>
                <w:color w:val="000000"/>
                <w:sz w:val="20"/>
              </w:rPr>
            </w:pPr>
          </w:p>
        </w:tc>
        <w:tc>
          <w:tcPr>
            <w:tcW w:w="1965" w:type="dxa"/>
            <w:tcBorders>
              <w:top w:val="single" w:sz="12" w:space="0" w:color="000000"/>
              <w:left w:val="nil"/>
              <w:bottom w:val="single" w:sz="4" w:space="0" w:color="000000"/>
              <w:right w:val="nil"/>
              <w:tl2br w:val="nil"/>
              <w:tr2bl w:val="nil"/>
            </w:tcBorders>
            <w:tcMar>
              <w:left w:w="40" w:type="dxa"/>
              <w:right w:w="40" w:type="dxa"/>
            </w:tcMar>
            <w:vAlign w:val="bottom"/>
          </w:tcPr>
          <w:p w14:paraId="71F3F79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(6,380)</w:t>
            </w:r>
          </w:p>
        </w:tc>
        <w:tc>
          <w:tcPr>
            <w:tcW w:w="180" w:type="dxa"/>
            <w:tcBorders>
              <w:top w:val="nil"/>
              <w:left w:val="nil"/>
              <w:bottom w:val="nil"/>
              <w:right w:val="nil"/>
              <w:tl2br w:val="nil"/>
              <w:tr2bl w:val="nil"/>
            </w:tcBorders>
            <w:tcMar>
              <w:left w:w="0" w:type="dxa"/>
              <w:right w:w="0" w:type="dxa"/>
            </w:tcMar>
            <w:vAlign w:val="bottom"/>
          </w:tcPr>
          <w:p w14:paraId="71F3F793" w14:textId="77777777" w:rsidR="00510CAA" w:rsidRDefault="00510CAA">
            <w:pPr>
              <w:keepNext/>
              <w:jc w:val="right"/>
              <w:rPr>
                <w:rFonts w:ascii="Arial" w:eastAsia="Arial" w:hAnsi="Arial" w:cs="Arial"/>
                <w:color w:val="000000"/>
                <w:sz w:val="20"/>
              </w:rPr>
            </w:pPr>
          </w:p>
        </w:tc>
        <w:tc>
          <w:tcPr>
            <w:tcW w:w="1965" w:type="dxa"/>
            <w:tcBorders>
              <w:top w:val="single" w:sz="12" w:space="0" w:color="000000"/>
              <w:left w:val="nil"/>
              <w:bottom w:val="single" w:sz="4" w:space="0" w:color="000000"/>
              <w:right w:val="nil"/>
              <w:tl2br w:val="nil"/>
              <w:tr2bl w:val="nil"/>
            </w:tcBorders>
            <w:tcMar>
              <w:left w:w="40" w:type="dxa"/>
              <w:right w:w="40" w:type="dxa"/>
            </w:tcMar>
            <w:vAlign w:val="bottom"/>
          </w:tcPr>
          <w:p w14:paraId="71F3F79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(7,973)</w:t>
            </w:r>
          </w:p>
        </w:tc>
      </w:tr>
      <w:tr w:rsidR="00510CAA" w14:paraId="71F3F79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30"/>
        </w:trPr>
        <w:tc>
          <w:tcPr>
            <w:tcW w:w="285" w:type="dxa"/>
            <w:tcBorders>
              <w:top w:val="nil"/>
              <w:left w:val="nil"/>
              <w:bottom w:val="nil"/>
              <w:right w:val="nil"/>
              <w:tl2br w:val="nil"/>
              <w:tr2bl w:val="nil"/>
            </w:tcBorders>
            <w:tcMar>
              <w:left w:w="0" w:type="dxa"/>
              <w:right w:w="0" w:type="dxa"/>
            </w:tcMar>
            <w:vAlign w:val="bottom"/>
          </w:tcPr>
          <w:p w14:paraId="71F3F796" w14:textId="77777777" w:rsidR="00510CAA" w:rsidRDefault="00510CAA">
            <w:pPr>
              <w:keepNext/>
              <w:rPr>
                <w:rFonts w:ascii="Arial" w:eastAsia="Arial" w:hAnsi="Arial" w:cs="Arial"/>
                <w:color w:val="000000"/>
                <w:sz w:val="20"/>
              </w:rPr>
            </w:pPr>
          </w:p>
        </w:tc>
        <w:tc>
          <w:tcPr>
            <w:tcW w:w="5640" w:type="dxa"/>
            <w:tcBorders>
              <w:top w:val="nil"/>
              <w:left w:val="nil"/>
              <w:bottom w:val="nil"/>
              <w:right w:val="nil"/>
              <w:tl2br w:val="nil"/>
              <w:tr2bl w:val="nil"/>
            </w:tcBorders>
            <w:noWrap/>
            <w:tcMar>
              <w:left w:w="40" w:type="dxa"/>
              <w:right w:w="40" w:type="dxa"/>
            </w:tcMar>
            <w:vAlign w:val="bottom"/>
          </w:tcPr>
          <w:p w14:paraId="71F3F797" w14:textId="77777777" w:rsidR="00510CAA" w:rsidRDefault="003A4815">
            <w:pPr>
              <w:keepNext/>
              <w:rPr>
                <w:rFonts w:ascii="Arial" w:eastAsia="Arial" w:hAnsi="Arial" w:cs="Arial"/>
                <w:b/>
                <w:color w:val="000000"/>
                <w:sz w:val="20"/>
              </w:rPr>
            </w:pPr>
            <w:r>
              <w:rPr>
                <w:rFonts w:ascii="Arial" w:eastAsia="Arial" w:hAnsi="Arial" w:cs="Arial"/>
                <w:b/>
                <w:color w:val="000000"/>
                <w:sz w:val="20"/>
              </w:rPr>
              <w:t>Long-term debt, net of deferred financing costs</w:t>
            </w:r>
          </w:p>
        </w:tc>
        <w:tc>
          <w:tcPr>
            <w:tcW w:w="180" w:type="dxa"/>
            <w:tcBorders>
              <w:top w:val="nil"/>
              <w:left w:val="nil"/>
              <w:bottom w:val="nil"/>
              <w:right w:val="nil"/>
              <w:tl2br w:val="nil"/>
              <w:tr2bl w:val="nil"/>
            </w:tcBorders>
            <w:tcMar>
              <w:left w:w="40" w:type="dxa"/>
              <w:right w:w="40" w:type="dxa"/>
            </w:tcMar>
            <w:vAlign w:val="bottom"/>
          </w:tcPr>
          <w:p w14:paraId="71F3F798"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single" w:sz="12" w:space="0" w:color="000000"/>
              <w:right w:val="nil"/>
              <w:tl2br w:val="nil"/>
              <w:tr2bl w:val="nil"/>
            </w:tcBorders>
            <w:tcMar>
              <w:left w:w="40" w:type="dxa"/>
              <w:right w:w="100" w:type="dxa"/>
            </w:tcMar>
            <w:vAlign w:val="bottom"/>
          </w:tcPr>
          <w:p w14:paraId="71F3F79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522,809</w:t>
            </w:r>
          </w:p>
        </w:tc>
        <w:tc>
          <w:tcPr>
            <w:tcW w:w="180" w:type="dxa"/>
            <w:tcBorders>
              <w:top w:val="nil"/>
              <w:left w:val="nil"/>
              <w:bottom w:val="nil"/>
              <w:right w:val="nil"/>
              <w:tl2br w:val="nil"/>
              <w:tr2bl w:val="nil"/>
            </w:tcBorders>
            <w:tcMar>
              <w:left w:w="40" w:type="dxa"/>
              <w:right w:w="40" w:type="dxa"/>
            </w:tcMar>
            <w:vAlign w:val="bottom"/>
          </w:tcPr>
          <w:p w14:paraId="71F3F79A"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single" w:sz="12" w:space="0" w:color="000000"/>
              <w:right w:val="nil"/>
              <w:tl2br w:val="nil"/>
              <w:tr2bl w:val="nil"/>
            </w:tcBorders>
            <w:tcMar>
              <w:left w:w="40" w:type="dxa"/>
              <w:right w:w="100" w:type="dxa"/>
            </w:tcMar>
            <w:vAlign w:val="bottom"/>
          </w:tcPr>
          <w:p w14:paraId="71F3F79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514,617</w:t>
            </w:r>
          </w:p>
        </w:tc>
      </w:tr>
      <w:tr w:rsidR="00510CAA" w14:paraId="71F3F7A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555"/>
        </w:trPr>
        <w:tc>
          <w:tcPr>
            <w:tcW w:w="5925" w:type="dxa"/>
            <w:gridSpan w:val="2"/>
            <w:tcBorders>
              <w:top w:val="nil"/>
              <w:left w:val="nil"/>
              <w:bottom w:val="nil"/>
              <w:right w:val="nil"/>
              <w:tl2br w:val="nil"/>
              <w:tr2bl w:val="nil"/>
            </w:tcBorders>
            <w:tcMar>
              <w:left w:w="40" w:type="dxa"/>
              <w:right w:w="40" w:type="dxa"/>
            </w:tcMar>
            <w:vAlign w:val="bottom"/>
          </w:tcPr>
          <w:p w14:paraId="71F3F79D" w14:textId="77777777" w:rsidR="00510CAA" w:rsidRDefault="003A4815">
            <w:pPr>
              <w:keepNext/>
              <w:rPr>
                <w:rFonts w:ascii="Arial" w:eastAsia="Arial" w:hAnsi="Arial" w:cs="Arial"/>
                <w:color w:val="000000"/>
                <w:sz w:val="20"/>
              </w:rPr>
            </w:pPr>
            <w:r>
              <w:rPr>
                <w:rFonts w:ascii="Arial" w:eastAsia="Arial" w:hAnsi="Arial" w:cs="Arial"/>
                <w:color w:val="000000"/>
                <w:sz w:val="20"/>
              </w:rPr>
              <w:t>Less: Current long-term debt, net of deferred financing costs, current</w:t>
            </w:r>
          </w:p>
        </w:tc>
        <w:tc>
          <w:tcPr>
            <w:tcW w:w="180" w:type="dxa"/>
            <w:tcBorders>
              <w:top w:val="nil"/>
              <w:left w:val="nil"/>
              <w:bottom w:val="nil"/>
              <w:right w:val="nil"/>
              <w:tl2br w:val="nil"/>
              <w:tr2bl w:val="nil"/>
            </w:tcBorders>
            <w:noWrap/>
            <w:tcMar>
              <w:left w:w="0" w:type="dxa"/>
              <w:right w:w="0" w:type="dxa"/>
            </w:tcMar>
            <w:vAlign w:val="bottom"/>
          </w:tcPr>
          <w:p w14:paraId="71F3F79E" w14:textId="77777777" w:rsidR="00510CAA" w:rsidRDefault="00510CAA">
            <w:pPr>
              <w:keepNext/>
              <w:rPr>
                <w:rFonts w:ascii="Arial" w:eastAsia="Arial" w:hAnsi="Arial" w:cs="Arial"/>
                <w:color w:val="000000"/>
                <w:sz w:val="20"/>
              </w:rPr>
            </w:pPr>
          </w:p>
        </w:tc>
        <w:tc>
          <w:tcPr>
            <w:tcW w:w="1965" w:type="dxa"/>
            <w:tcBorders>
              <w:top w:val="single" w:sz="12" w:space="0" w:color="000000"/>
              <w:left w:val="nil"/>
              <w:bottom w:val="single" w:sz="4" w:space="0" w:color="000000"/>
              <w:right w:val="nil"/>
              <w:tl2br w:val="nil"/>
              <w:tr2bl w:val="nil"/>
            </w:tcBorders>
            <w:tcMar>
              <w:left w:w="40" w:type="dxa"/>
              <w:right w:w="40" w:type="dxa"/>
            </w:tcMar>
            <w:vAlign w:val="bottom"/>
          </w:tcPr>
          <w:p w14:paraId="71F3F79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(50,281)</w:t>
            </w:r>
          </w:p>
        </w:tc>
        <w:tc>
          <w:tcPr>
            <w:tcW w:w="180" w:type="dxa"/>
            <w:tcBorders>
              <w:top w:val="nil"/>
              <w:left w:val="nil"/>
              <w:bottom w:val="nil"/>
              <w:right w:val="nil"/>
              <w:tl2br w:val="nil"/>
              <w:tr2bl w:val="nil"/>
            </w:tcBorders>
            <w:noWrap/>
            <w:tcMar>
              <w:left w:w="0" w:type="dxa"/>
              <w:right w:w="0" w:type="dxa"/>
            </w:tcMar>
            <w:vAlign w:val="bottom"/>
          </w:tcPr>
          <w:p w14:paraId="71F3F7A0" w14:textId="77777777" w:rsidR="00510CAA" w:rsidRDefault="00510CAA">
            <w:pPr>
              <w:keepNext/>
              <w:rPr>
                <w:rFonts w:ascii="Arial" w:eastAsia="Arial" w:hAnsi="Arial" w:cs="Arial"/>
                <w:color w:val="000000"/>
                <w:sz w:val="20"/>
              </w:rPr>
            </w:pPr>
          </w:p>
        </w:tc>
        <w:tc>
          <w:tcPr>
            <w:tcW w:w="1965" w:type="dxa"/>
            <w:tcBorders>
              <w:top w:val="single" w:sz="12" w:space="0" w:color="000000"/>
              <w:left w:val="nil"/>
              <w:bottom w:val="single" w:sz="4" w:space="0" w:color="000000"/>
              <w:right w:val="nil"/>
              <w:tl2br w:val="nil"/>
              <w:tr2bl w:val="nil"/>
            </w:tcBorders>
            <w:tcMar>
              <w:left w:w="40" w:type="dxa"/>
              <w:right w:w="40" w:type="dxa"/>
            </w:tcMar>
            <w:vAlign w:val="bottom"/>
          </w:tcPr>
          <w:p w14:paraId="71F3F7A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(45,230)</w:t>
            </w:r>
          </w:p>
        </w:tc>
      </w:tr>
      <w:tr w:rsidR="00510CAA" w14:paraId="71F3F7A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315"/>
        </w:trPr>
        <w:tc>
          <w:tcPr>
            <w:tcW w:w="285" w:type="dxa"/>
            <w:tcBorders>
              <w:top w:val="nil"/>
              <w:left w:val="nil"/>
              <w:bottom w:val="nil"/>
              <w:right w:val="nil"/>
              <w:tl2br w:val="nil"/>
              <w:tr2bl w:val="nil"/>
            </w:tcBorders>
            <w:noWrap/>
            <w:tcMar>
              <w:left w:w="0" w:type="dxa"/>
              <w:right w:w="0" w:type="dxa"/>
            </w:tcMar>
            <w:vAlign w:val="bottom"/>
          </w:tcPr>
          <w:p w14:paraId="71F3F7A3" w14:textId="77777777" w:rsidR="00510CAA" w:rsidRDefault="00510CAA">
            <w:pPr>
              <w:keepNext/>
              <w:rPr>
                <w:rFonts w:ascii="Arial" w:eastAsia="Arial" w:hAnsi="Arial" w:cs="Arial"/>
                <w:color w:val="000000"/>
              </w:rPr>
            </w:pPr>
          </w:p>
        </w:tc>
        <w:tc>
          <w:tcPr>
            <w:tcW w:w="5640" w:type="dxa"/>
            <w:tcBorders>
              <w:top w:val="nil"/>
              <w:left w:val="nil"/>
              <w:bottom w:val="nil"/>
              <w:right w:val="nil"/>
              <w:tl2br w:val="nil"/>
              <w:tr2bl w:val="nil"/>
            </w:tcBorders>
            <w:noWrap/>
            <w:tcMar>
              <w:left w:w="40" w:type="dxa"/>
              <w:right w:w="40" w:type="dxa"/>
            </w:tcMar>
            <w:vAlign w:val="bottom"/>
          </w:tcPr>
          <w:p w14:paraId="71F3F7A4" w14:textId="77777777" w:rsidR="00510CAA" w:rsidRDefault="003A4815">
            <w:pPr>
              <w:keepNext/>
              <w:rPr>
                <w:rFonts w:ascii="Arial" w:eastAsia="Arial" w:hAnsi="Arial" w:cs="Arial"/>
                <w:b/>
                <w:color w:val="000000"/>
                <w:sz w:val="20"/>
              </w:rPr>
            </w:pPr>
            <w:r>
              <w:rPr>
                <w:rFonts w:ascii="Arial" w:eastAsia="Arial" w:hAnsi="Arial" w:cs="Arial"/>
                <w:b/>
                <w:color w:val="000000"/>
                <w:sz w:val="20"/>
              </w:rPr>
              <w:t>Long-term debt, excluding current maturities</w:t>
            </w:r>
          </w:p>
        </w:tc>
        <w:tc>
          <w:tcPr>
            <w:tcW w:w="180" w:type="dxa"/>
            <w:tcBorders>
              <w:top w:val="nil"/>
              <w:left w:val="nil"/>
              <w:bottom w:val="nil"/>
              <w:right w:val="nil"/>
              <w:tl2br w:val="nil"/>
              <w:tr2bl w:val="nil"/>
            </w:tcBorders>
            <w:tcMar>
              <w:left w:w="40" w:type="dxa"/>
              <w:right w:w="40" w:type="dxa"/>
            </w:tcMar>
            <w:vAlign w:val="bottom"/>
          </w:tcPr>
          <w:p w14:paraId="71F3F7A5"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double" w:sz="6" w:space="0" w:color="000000"/>
              <w:right w:val="nil"/>
              <w:tl2br w:val="nil"/>
              <w:tr2bl w:val="nil"/>
            </w:tcBorders>
            <w:noWrap/>
            <w:tcMar>
              <w:left w:w="40" w:type="dxa"/>
              <w:right w:w="100" w:type="dxa"/>
            </w:tcMar>
            <w:vAlign w:val="bottom"/>
          </w:tcPr>
          <w:p w14:paraId="71F3F7A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472,528</w:t>
            </w:r>
          </w:p>
        </w:tc>
        <w:tc>
          <w:tcPr>
            <w:tcW w:w="180" w:type="dxa"/>
            <w:tcBorders>
              <w:top w:val="nil"/>
              <w:left w:val="nil"/>
              <w:bottom w:val="nil"/>
              <w:right w:val="nil"/>
              <w:tl2br w:val="nil"/>
              <w:tr2bl w:val="nil"/>
            </w:tcBorders>
            <w:tcMar>
              <w:left w:w="40" w:type="dxa"/>
              <w:right w:w="40" w:type="dxa"/>
            </w:tcMar>
            <w:vAlign w:val="bottom"/>
          </w:tcPr>
          <w:p w14:paraId="71F3F7A7"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double" w:sz="6" w:space="0" w:color="000000"/>
              <w:right w:val="nil"/>
              <w:tl2br w:val="nil"/>
              <w:tr2bl w:val="nil"/>
            </w:tcBorders>
            <w:noWrap/>
            <w:tcMar>
              <w:left w:w="40" w:type="dxa"/>
              <w:right w:w="100" w:type="dxa"/>
            </w:tcMar>
            <w:vAlign w:val="bottom"/>
          </w:tcPr>
          <w:p w14:paraId="71F3F7A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469,387</w:t>
            </w:r>
          </w:p>
        </w:tc>
      </w:tr>
    </w:tbl>
    <w:p w14:paraId="71F3F7AA" w14:textId="77777777" w:rsidR="00510CAA" w:rsidRDefault="00510CAA">
      <w:pPr>
        <w:pBdr>
          <w:top w:val="nil"/>
          <w:left w:val="nil"/>
          <w:bottom w:val="nil"/>
          <w:right w:val="nil"/>
          <w:between w:val="nil"/>
          <w:bar w:val="nil"/>
        </w:pBdr>
        <w:rPr>
          <w:rFonts w:eastAsia="Times New Roman"/>
          <w:bdr w:val="nil"/>
          <w:lang w:val="en-US"/>
        </w:rPr>
      </w:pPr>
    </w:p>
    <w:p w14:paraId="71F3F7AB" w14:textId="77777777" w:rsidR="0030153D" w:rsidRPr="0030153D" w:rsidRDefault="003A4815" w:rsidP="0030153D">
      <w:pPr>
        <w:keepNext/>
        <w:keepLines/>
        <w:pBdr>
          <w:top w:val="nil"/>
          <w:left w:val="nil"/>
          <w:bottom w:val="nil"/>
          <w:right w:val="nil"/>
          <w:between w:val="nil"/>
          <w:bar w:val="nil"/>
        </w:pBdr>
        <w:jc w:val="both"/>
        <w:rPr>
          <w:rFonts w:ascii="Arial" w:eastAsia="Arial" w:hAnsi="Arial" w:cs="Arial"/>
          <w:b/>
          <w:iCs/>
          <w:bdr w:val="nil"/>
          <w:lang w:val="en-US"/>
        </w:rPr>
      </w:pPr>
      <w:bookmarkStart w:id="625" w:name="RG_MARKER_23085"/>
      <w:bookmarkStart w:id="626" w:name="RG_MARKER_19873"/>
      <w:bookmarkStart w:id="627" w:name="_Hlk188370170"/>
      <w:bookmarkStart w:id="628" w:name="XBRL_TS_d3405ea8b6cf46608e3c77e71ae33433"/>
      <w:r w:rsidRPr="0030153D">
        <w:rPr>
          <w:rFonts w:ascii="Arial" w:eastAsia="Arial" w:hAnsi="Arial" w:cs="Arial"/>
          <w:b/>
          <w:iCs/>
          <w:lang w:val="en-US"/>
        </w:rPr>
        <w:t xml:space="preserve">8.375% </w:t>
      </w:r>
      <w:bookmarkEnd w:id="625"/>
      <w:bookmarkEnd w:id="626"/>
      <w:r w:rsidRPr="0030153D">
        <w:rPr>
          <w:rFonts w:ascii="Arial" w:eastAsia="Arial" w:hAnsi="Arial" w:cs="Arial"/>
          <w:b/>
          <w:iCs/>
          <w:lang w:val="en-US"/>
        </w:rPr>
        <w:t xml:space="preserve">Senior Unsecured Bond: </w:t>
      </w:r>
    </w:p>
    <w:p w14:paraId="71F3F7AC" w14:textId="77777777" w:rsidR="0030153D" w:rsidRPr="0030153D" w:rsidRDefault="0030153D" w:rsidP="0030153D">
      <w:pPr>
        <w:keepNext/>
        <w:keepLines/>
        <w:pBdr>
          <w:top w:val="nil"/>
          <w:left w:val="nil"/>
          <w:bottom w:val="nil"/>
          <w:right w:val="nil"/>
          <w:between w:val="nil"/>
          <w:bar w:val="nil"/>
        </w:pBdr>
        <w:jc w:val="both"/>
        <w:rPr>
          <w:rFonts w:ascii="Arial" w:eastAsia="Arial" w:hAnsi="Arial" w:cs="Arial"/>
          <w:b/>
          <w:iCs/>
          <w:bdr w:val="nil"/>
          <w:lang w:val="en-US"/>
        </w:rPr>
      </w:pPr>
    </w:p>
    <w:p w14:paraId="71F3F7AD" w14:textId="77777777" w:rsidR="00D53B9F" w:rsidRDefault="003A4815" w:rsidP="008A270D">
      <w:pPr>
        <w:keepNext/>
        <w:keepLines/>
        <w:pBdr>
          <w:top w:val="nil"/>
          <w:left w:val="nil"/>
          <w:bottom w:val="nil"/>
          <w:right w:val="nil"/>
          <w:between w:val="nil"/>
          <w:bar w:val="nil"/>
        </w:pBdr>
        <w:jc w:val="both"/>
        <w:rPr>
          <w:rFonts w:ascii="Arial" w:eastAsia="Arial" w:hAnsi="Arial" w:cs="Arial"/>
          <w:bdr w:val="nil"/>
          <w:lang w:val="en-US"/>
        </w:rPr>
      </w:pPr>
      <w:r w:rsidRPr="0030153D">
        <w:rPr>
          <w:rFonts w:ascii="Arial" w:eastAsia="Arial" w:hAnsi="Arial" w:cs="Arial"/>
          <w:lang w:val="en-US"/>
        </w:rPr>
        <w:t xml:space="preserve">On </w:t>
      </w:r>
      <w:bookmarkStart w:id="629" w:name="XBRL_CS_a271f3f10d9f46e9a4f1a6f1257637d7"/>
      <w:r w:rsidRPr="0030153D">
        <w:rPr>
          <w:rFonts w:ascii="Arial" w:eastAsia="Arial" w:hAnsi="Arial" w:cs="Arial"/>
          <w:lang w:val="en-US"/>
        </w:rPr>
        <w:t>June 22, 2021</w:t>
      </w:r>
      <w:bookmarkEnd w:id="629"/>
      <w:r w:rsidRPr="0030153D">
        <w:rPr>
          <w:rFonts w:ascii="Arial" w:eastAsia="Arial" w:hAnsi="Arial" w:cs="Arial"/>
          <w:lang w:val="en-US"/>
        </w:rPr>
        <w:t>, the Company issued a $</w:t>
      </w:r>
      <w:bookmarkStart w:id="630" w:name="XBRL_CS_1de6d7d344b44eb78f63d9a655192dd1"/>
      <w:r w:rsidRPr="0030153D">
        <w:rPr>
          <w:rFonts w:ascii="Arial" w:eastAsia="Arial" w:hAnsi="Arial" w:cs="Arial"/>
          <w:lang w:val="en-US"/>
        </w:rPr>
        <w:t>125,000</w:t>
      </w:r>
      <w:bookmarkEnd w:id="630"/>
      <w:r w:rsidRPr="0030153D">
        <w:rPr>
          <w:rFonts w:ascii="Arial" w:eastAsia="Arial" w:hAnsi="Arial" w:cs="Arial"/>
          <w:lang w:val="en-US"/>
        </w:rPr>
        <w:t xml:space="preserve"> senior unsecured bond maturing in June 2026. The bond rank</w:t>
      </w:r>
      <w:r>
        <w:rPr>
          <w:rFonts w:ascii="Arial" w:eastAsia="Arial" w:hAnsi="Arial" w:cs="Arial"/>
          <w:lang w:val="en-US"/>
        </w:rPr>
        <w:t>ed</w:t>
      </w:r>
      <w:r w:rsidRPr="0030153D">
        <w:rPr>
          <w:rFonts w:ascii="Arial" w:eastAsia="Arial" w:hAnsi="Arial" w:cs="Arial"/>
          <w:lang w:val="en-US"/>
        </w:rPr>
        <w:t xml:space="preserve"> ahead of subordinated capital and rank</w:t>
      </w:r>
      <w:r>
        <w:rPr>
          <w:rFonts w:ascii="Arial" w:eastAsia="Arial" w:hAnsi="Arial" w:cs="Arial"/>
          <w:lang w:val="en-US"/>
        </w:rPr>
        <w:t>ed</w:t>
      </w:r>
      <w:r w:rsidRPr="0030153D">
        <w:rPr>
          <w:rFonts w:ascii="Arial" w:eastAsia="Arial" w:hAnsi="Arial" w:cs="Arial"/>
          <w:lang w:val="en-US"/>
        </w:rPr>
        <w:t xml:space="preserve"> the same with all other senior unsecured obligations of the Company other than obligations which </w:t>
      </w:r>
      <w:r>
        <w:rPr>
          <w:rFonts w:ascii="Arial" w:eastAsia="Arial" w:hAnsi="Arial" w:cs="Arial"/>
          <w:lang w:val="en-US"/>
        </w:rPr>
        <w:t>were</w:t>
      </w:r>
      <w:r w:rsidRPr="0030153D">
        <w:rPr>
          <w:rFonts w:ascii="Arial" w:eastAsia="Arial" w:hAnsi="Arial" w:cs="Arial"/>
          <w:lang w:val="en-US"/>
        </w:rPr>
        <w:t xml:space="preserve"> mandatorily preferred by law. Entities affiliated with executive officers and directors of the Company purchased an aggregate of $</w:t>
      </w:r>
      <w:bookmarkStart w:id="631" w:name="XBRL_CS_dcbd221216ff4c1eab8cd14471140eec"/>
      <w:r w:rsidRPr="0030153D">
        <w:rPr>
          <w:rFonts w:ascii="Arial" w:eastAsia="Arial" w:hAnsi="Arial" w:cs="Arial"/>
          <w:lang w:val="en-US"/>
        </w:rPr>
        <w:t>21,000</w:t>
      </w:r>
      <w:bookmarkEnd w:id="631"/>
      <w:r w:rsidRPr="0030153D">
        <w:rPr>
          <w:rFonts w:ascii="Arial" w:eastAsia="Arial" w:hAnsi="Arial" w:cs="Arial"/>
          <w:lang w:val="en-US"/>
        </w:rPr>
        <w:t xml:space="preserve"> principal amount of the bond. </w:t>
      </w:r>
    </w:p>
    <w:p w14:paraId="71F3F7AE" w14:textId="77777777" w:rsidR="00D53B9F" w:rsidRDefault="00D53B9F" w:rsidP="008A270D">
      <w:pPr>
        <w:keepNext/>
        <w:keepLines/>
        <w:pBdr>
          <w:top w:val="nil"/>
          <w:left w:val="nil"/>
          <w:bottom w:val="nil"/>
          <w:right w:val="nil"/>
          <w:between w:val="nil"/>
          <w:bar w:val="nil"/>
        </w:pBdr>
        <w:jc w:val="both"/>
        <w:rPr>
          <w:rFonts w:ascii="Arial" w:eastAsia="Arial" w:hAnsi="Arial" w:cs="Arial"/>
          <w:bdr w:val="nil"/>
          <w:lang w:val="en-US"/>
        </w:rPr>
      </w:pPr>
    </w:p>
    <w:p w14:paraId="71F3F7AF" w14:textId="77777777" w:rsidR="0030153D" w:rsidRPr="0030153D" w:rsidRDefault="003A4815" w:rsidP="008A270D">
      <w:pPr>
        <w:keepNext/>
        <w:keepLines/>
        <w:pBdr>
          <w:top w:val="nil"/>
          <w:left w:val="nil"/>
          <w:bottom w:val="nil"/>
          <w:right w:val="nil"/>
          <w:between w:val="nil"/>
          <w:bar w:val="nil"/>
        </w:pBdr>
        <w:jc w:val="both"/>
        <w:rPr>
          <w:rFonts w:ascii="Arial" w:eastAsia="Arial" w:hAnsi="Arial" w:cs="Arial"/>
          <w:bdr w:val="nil"/>
          <w:lang w:val="en-US"/>
        </w:rPr>
      </w:pPr>
      <w:r w:rsidRPr="0030153D">
        <w:rPr>
          <w:rFonts w:ascii="Arial" w:eastAsia="Arial" w:hAnsi="Arial" w:cs="Arial"/>
          <w:lang w:val="en-US"/>
        </w:rPr>
        <w:t>On June 29, 2023, the Company repurchased $</w:t>
      </w:r>
      <w:bookmarkStart w:id="632" w:name="XBRL_CS_fe4797c7052f467fac97d7b6dae28cca"/>
      <w:r w:rsidRPr="0030153D">
        <w:rPr>
          <w:rFonts w:ascii="Arial" w:eastAsia="Arial" w:hAnsi="Arial" w:cs="Arial"/>
          <w:lang w:val="en-US"/>
        </w:rPr>
        <w:t>5,900</w:t>
      </w:r>
      <w:bookmarkEnd w:id="632"/>
      <w:r w:rsidRPr="0030153D">
        <w:rPr>
          <w:rFonts w:ascii="Arial" w:eastAsia="Arial" w:hAnsi="Arial" w:cs="Arial"/>
          <w:lang w:val="en-US"/>
        </w:rPr>
        <w:t xml:space="preserve"> nominal value of the bond for $</w:t>
      </w:r>
      <w:bookmarkStart w:id="633" w:name="XBRL_CS_179cca3a88fc42a4a1e2857d21e04635"/>
      <w:r w:rsidRPr="0030153D">
        <w:rPr>
          <w:rFonts w:ascii="Arial" w:eastAsia="Arial" w:hAnsi="Arial" w:cs="Arial"/>
          <w:lang w:val="en-US"/>
        </w:rPr>
        <w:t>5,851</w:t>
      </w:r>
      <w:bookmarkEnd w:id="633"/>
      <w:r w:rsidRPr="0030153D">
        <w:rPr>
          <w:rFonts w:ascii="Arial" w:eastAsia="Arial" w:hAnsi="Arial" w:cs="Arial"/>
          <w:lang w:val="en-US"/>
        </w:rPr>
        <w:t xml:space="preserve"> </w:t>
      </w:r>
      <w:r w:rsidR="00D53B9F">
        <w:rPr>
          <w:rFonts w:ascii="Arial" w:eastAsia="Arial" w:hAnsi="Arial" w:cs="Arial"/>
          <w:lang w:val="en-US"/>
        </w:rPr>
        <w:t>resulting in</w:t>
      </w:r>
      <w:r w:rsidRPr="0030153D">
        <w:rPr>
          <w:rFonts w:ascii="Arial" w:eastAsia="Arial" w:hAnsi="Arial" w:cs="Arial"/>
          <w:lang w:val="en-US"/>
        </w:rPr>
        <w:t xml:space="preserve"> </w:t>
      </w:r>
      <w:r w:rsidR="00D53B9F">
        <w:rPr>
          <w:rFonts w:ascii="Arial" w:eastAsia="Arial" w:hAnsi="Arial" w:cs="Arial"/>
          <w:lang w:val="en-US"/>
        </w:rPr>
        <w:t xml:space="preserve">a </w:t>
      </w:r>
      <w:r w:rsidR="00D53B9F" w:rsidRPr="0030153D">
        <w:rPr>
          <w:rFonts w:ascii="Arial" w:eastAsia="Arial" w:hAnsi="Arial" w:cs="Arial"/>
          <w:lang w:val="en-US"/>
        </w:rPr>
        <w:t xml:space="preserve">loss on debt extinguishment </w:t>
      </w:r>
      <w:r w:rsidRPr="0030153D">
        <w:rPr>
          <w:rFonts w:ascii="Arial" w:eastAsia="Arial" w:hAnsi="Arial" w:cs="Arial"/>
          <w:lang w:val="en-US"/>
        </w:rPr>
        <w:t>of $</w:t>
      </w:r>
      <w:bookmarkStart w:id="634" w:name="XBRL_CS_407fa651162248cf9243a9aaf3677080"/>
      <w:r w:rsidRPr="0030153D">
        <w:rPr>
          <w:rFonts w:ascii="Arial" w:eastAsia="Arial" w:hAnsi="Arial" w:cs="Arial"/>
          <w:lang w:val="en-US"/>
        </w:rPr>
        <w:t>159</w:t>
      </w:r>
      <w:bookmarkEnd w:id="634"/>
      <w:r w:rsidRPr="0030153D">
        <w:rPr>
          <w:rFonts w:ascii="Arial" w:eastAsia="Arial" w:hAnsi="Arial" w:cs="Arial"/>
          <w:lang w:val="en-US"/>
        </w:rPr>
        <w:t>, representing the difference between the reacquisition price of $</w:t>
      </w:r>
      <w:bookmarkStart w:id="635" w:name="XBRL_CS_42344c1b8f5744e3ad200bcf743fd7f1"/>
      <w:r w:rsidRPr="0030153D">
        <w:rPr>
          <w:rFonts w:ascii="Arial" w:eastAsia="Arial" w:hAnsi="Arial" w:cs="Arial"/>
          <w:lang w:val="en-US"/>
        </w:rPr>
        <w:t>5,851</w:t>
      </w:r>
      <w:bookmarkEnd w:id="635"/>
      <w:r w:rsidRPr="0030153D">
        <w:rPr>
          <w:rFonts w:ascii="Arial" w:eastAsia="Arial" w:hAnsi="Arial" w:cs="Arial"/>
          <w:lang w:val="en-US"/>
        </w:rPr>
        <w:t xml:space="preserve"> and the net carrying amount of the debt extinguished of $</w:t>
      </w:r>
      <w:bookmarkStart w:id="636" w:name="XBRL_CS_f3cad3eb6fca429c9e8e2eed2bf40566"/>
      <w:r w:rsidRPr="0030153D">
        <w:rPr>
          <w:rFonts w:ascii="Arial" w:eastAsia="Arial" w:hAnsi="Arial" w:cs="Arial"/>
          <w:lang w:val="en-US"/>
        </w:rPr>
        <w:t>5,900</w:t>
      </w:r>
      <w:bookmarkEnd w:id="636"/>
      <w:r w:rsidRPr="0030153D">
        <w:rPr>
          <w:rFonts w:ascii="Arial" w:eastAsia="Arial" w:hAnsi="Arial" w:cs="Arial"/>
          <w:lang w:val="en-US"/>
        </w:rPr>
        <w:t xml:space="preserve"> less deferred financing fees of $</w:t>
      </w:r>
      <w:bookmarkStart w:id="637" w:name="XBRL_CS_d499c6c0ba494752bee87672eda302be"/>
      <w:r w:rsidRPr="0030153D">
        <w:rPr>
          <w:rFonts w:ascii="Arial" w:eastAsia="Arial" w:hAnsi="Arial" w:cs="Arial"/>
          <w:lang w:val="en-US"/>
        </w:rPr>
        <w:t>208</w:t>
      </w:r>
      <w:bookmarkEnd w:id="637"/>
      <w:r w:rsidRPr="0030153D">
        <w:rPr>
          <w:rFonts w:ascii="Arial" w:eastAsia="Arial" w:hAnsi="Arial" w:cs="Arial"/>
          <w:lang w:val="en-US"/>
        </w:rPr>
        <w:t>. In June 2024, the bond became callable, and on July 2, 2024,</w:t>
      </w:r>
      <w:r>
        <w:rPr>
          <w:rFonts w:ascii="Arial" w:eastAsia="Arial" w:hAnsi="Arial" w:cs="Arial"/>
          <w:lang w:val="en-US"/>
        </w:rPr>
        <w:t xml:space="preserve"> </w:t>
      </w:r>
      <w:r w:rsidR="00D53B9F">
        <w:rPr>
          <w:rFonts w:ascii="Arial" w:eastAsia="Arial" w:hAnsi="Arial" w:cs="Arial"/>
          <w:lang w:val="en-US"/>
        </w:rPr>
        <w:t xml:space="preserve">the Company prepaid the remaining balance </w:t>
      </w:r>
      <w:r w:rsidRPr="0030153D">
        <w:rPr>
          <w:rFonts w:ascii="Arial" w:eastAsia="Arial" w:hAnsi="Arial" w:cs="Arial"/>
          <w:lang w:val="en-US"/>
        </w:rPr>
        <w:t xml:space="preserve">at </w:t>
      </w:r>
      <w:bookmarkStart w:id="638" w:name="XBRL_CS_e3bc99ce51254d36b8ec40090188810e"/>
      <w:r w:rsidRPr="0030153D">
        <w:rPr>
          <w:rFonts w:ascii="Arial" w:eastAsia="Arial" w:hAnsi="Arial" w:cs="Arial"/>
          <w:lang w:val="en-US"/>
        </w:rPr>
        <w:t>103.35</w:t>
      </w:r>
      <w:bookmarkEnd w:id="638"/>
      <w:r w:rsidRPr="0030153D">
        <w:rPr>
          <w:rFonts w:ascii="Arial" w:eastAsia="Arial" w:hAnsi="Arial" w:cs="Arial"/>
          <w:lang w:val="en-US"/>
        </w:rPr>
        <w:t xml:space="preserve">% of </w:t>
      </w:r>
      <w:r w:rsidR="00D53B9F">
        <w:rPr>
          <w:rFonts w:ascii="Arial" w:eastAsia="Arial" w:hAnsi="Arial" w:cs="Arial"/>
          <w:lang w:val="en-US"/>
        </w:rPr>
        <w:t>par</w:t>
      </w:r>
      <w:r w:rsidRPr="0030153D">
        <w:rPr>
          <w:rFonts w:ascii="Arial" w:eastAsia="Arial" w:hAnsi="Arial" w:cs="Arial"/>
          <w:lang w:val="en-US"/>
        </w:rPr>
        <w:t xml:space="preserve">, </w:t>
      </w:r>
      <w:r w:rsidR="00D53B9F">
        <w:rPr>
          <w:rFonts w:ascii="Arial" w:eastAsia="Arial" w:hAnsi="Arial" w:cs="Arial"/>
          <w:lang w:val="en-US"/>
        </w:rPr>
        <w:t>using</w:t>
      </w:r>
      <w:r w:rsidRPr="0030153D">
        <w:rPr>
          <w:rFonts w:ascii="Arial" w:eastAsia="Arial" w:hAnsi="Arial" w:cs="Arial"/>
          <w:lang w:val="en-US"/>
        </w:rPr>
        <w:t xml:space="preserve"> proceeds from the new bond </w:t>
      </w:r>
      <w:r w:rsidR="00D53B9F">
        <w:rPr>
          <w:rFonts w:ascii="Arial" w:eastAsia="Arial" w:hAnsi="Arial" w:cs="Arial"/>
          <w:lang w:val="en-US"/>
        </w:rPr>
        <w:t>described</w:t>
      </w:r>
      <w:r w:rsidRPr="0030153D">
        <w:rPr>
          <w:rFonts w:ascii="Arial" w:eastAsia="Arial" w:hAnsi="Arial" w:cs="Arial"/>
          <w:lang w:val="en-US"/>
        </w:rPr>
        <w:t xml:space="preserve"> below. The Company </w:t>
      </w:r>
      <w:r w:rsidR="00D53B9F">
        <w:rPr>
          <w:rFonts w:ascii="Arial" w:eastAsia="Arial" w:hAnsi="Arial" w:cs="Arial"/>
          <w:lang w:val="en-US"/>
        </w:rPr>
        <w:t>accounted for the transaction</w:t>
      </w:r>
      <w:r w:rsidRPr="0030153D">
        <w:rPr>
          <w:rFonts w:ascii="Arial" w:eastAsia="Arial" w:hAnsi="Arial" w:cs="Arial"/>
          <w:lang w:val="en-US"/>
        </w:rPr>
        <w:t xml:space="preserve"> </w:t>
      </w:r>
      <w:r w:rsidR="00D53B9F">
        <w:rPr>
          <w:rFonts w:ascii="Arial" w:eastAsia="Arial" w:hAnsi="Arial" w:cs="Arial"/>
          <w:lang w:val="en-US"/>
        </w:rPr>
        <w:t xml:space="preserve">partly as a </w:t>
      </w:r>
      <w:r w:rsidRPr="0030153D">
        <w:rPr>
          <w:rFonts w:ascii="Arial" w:eastAsia="Arial" w:hAnsi="Arial" w:cs="Arial"/>
          <w:lang w:val="en-US"/>
        </w:rPr>
        <w:t xml:space="preserve">debt modification </w:t>
      </w:r>
      <w:r w:rsidR="00D53B9F">
        <w:rPr>
          <w:rFonts w:ascii="Arial" w:eastAsia="Arial" w:hAnsi="Arial" w:cs="Arial"/>
          <w:lang w:val="en-US"/>
        </w:rPr>
        <w:t xml:space="preserve">and </w:t>
      </w:r>
      <w:r w:rsidRPr="0030153D">
        <w:rPr>
          <w:rFonts w:ascii="Arial" w:eastAsia="Arial" w:hAnsi="Arial" w:cs="Arial"/>
          <w:lang w:val="en-US"/>
        </w:rPr>
        <w:t>part</w:t>
      </w:r>
      <w:r w:rsidR="00D53B9F">
        <w:rPr>
          <w:rFonts w:ascii="Arial" w:eastAsia="Arial" w:hAnsi="Arial" w:cs="Arial"/>
          <w:lang w:val="en-US"/>
        </w:rPr>
        <w:t xml:space="preserve">ly as debt extinguishment. </w:t>
      </w:r>
      <w:r w:rsidRPr="0030153D">
        <w:rPr>
          <w:rFonts w:ascii="Arial" w:eastAsia="Arial" w:hAnsi="Arial" w:cs="Arial"/>
          <w:lang w:val="en-US"/>
        </w:rPr>
        <w:t xml:space="preserve"> </w:t>
      </w:r>
      <w:r w:rsidR="00D53B9F" w:rsidRPr="00D53B9F">
        <w:rPr>
          <w:rFonts w:ascii="Arial" w:eastAsia="Arial" w:hAnsi="Arial" w:cs="Arial"/>
          <w:lang w:val="en-US"/>
        </w:rPr>
        <w:t>The portion refinanced by existing investors</w:t>
      </w:r>
      <w:r w:rsidR="00D53B9F">
        <w:rPr>
          <w:rFonts w:ascii="Arial" w:eastAsia="Arial" w:hAnsi="Arial" w:cs="Arial"/>
          <w:lang w:val="en-US"/>
        </w:rPr>
        <w:t xml:space="preserve"> </w:t>
      </w:r>
      <w:r w:rsidRPr="0030153D">
        <w:rPr>
          <w:rFonts w:ascii="Arial" w:eastAsia="Arial" w:hAnsi="Arial" w:cs="Arial"/>
          <w:lang w:val="en-US"/>
        </w:rPr>
        <w:t>amounting to $</w:t>
      </w:r>
      <w:bookmarkStart w:id="639" w:name="XBRL_CS_1b79df1f82c8400fabc5a71ef9aa9365"/>
      <w:r w:rsidRPr="0030153D">
        <w:rPr>
          <w:rFonts w:ascii="Arial" w:eastAsia="Arial" w:hAnsi="Arial" w:cs="Arial"/>
          <w:lang w:val="en-US"/>
        </w:rPr>
        <w:t>57,850</w:t>
      </w:r>
      <w:bookmarkEnd w:id="639"/>
      <w:r w:rsidRPr="0030153D">
        <w:rPr>
          <w:rFonts w:ascii="Arial" w:eastAsia="Arial" w:hAnsi="Arial" w:cs="Arial"/>
          <w:lang w:val="en-US"/>
        </w:rPr>
        <w:t xml:space="preserve"> </w:t>
      </w:r>
      <w:r w:rsidR="00D53B9F">
        <w:rPr>
          <w:rFonts w:ascii="Arial" w:eastAsia="Arial" w:hAnsi="Arial" w:cs="Arial"/>
          <w:lang w:val="en-US"/>
        </w:rPr>
        <w:t xml:space="preserve">was treated as modification </w:t>
      </w:r>
      <w:r w:rsidRPr="0030153D">
        <w:rPr>
          <w:rFonts w:ascii="Arial" w:eastAsia="Arial" w:hAnsi="Arial" w:cs="Arial"/>
          <w:lang w:val="en-US"/>
        </w:rPr>
        <w:t>and the remaining $</w:t>
      </w:r>
      <w:bookmarkStart w:id="640" w:name="XBRL_CS_bac11a02de15486db87478d7c9033724"/>
      <w:r w:rsidRPr="0030153D">
        <w:rPr>
          <w:rFonts w:ascii="Arial" w:eastAsia="Arial" w:hAnsi="Arial" w:cs="Arial"/>
          <w:lang w:val="en-US"/>
        </w:rPr>
        <w:t>61,250</w:t>
      </w:r>
      <w:bookmarkEnd w:id="640"/>
      <w:r w:rsidR="00D53B9F" w:rsidRPr="00D53B9F">
        <w:rPr>
          <w:rFonts w:ascii="Arial" w:eastAsia="Arial" w:hAnsi="Arial" w:cs="Arial"/>
          <w:lang w:val="en-US"/>
        </w:rPr>
        <w:t xml:space="preserve"> </w:t>
      </w:r>
      <w:r w:rsidR="00AE3A1E">
        <w:rPr>
          <w:rFonts w:ascii="Arial" w:eastAsia="Arial" w:hAnsi="Arial" w:cs="Arial"/>
          <w:lang w:val="en-US"/>
        </w:rPr>
        <w:t xml:space="preserve">was accounted for </w:t>
      </w:r>
      <w:r w:rsidR="00D53B9F">
        <w:rPr>
          <w:rFonts w:ascii="Arial" w:eastAsia="Arial" w:hAnsi="Arial" w:cs="Arial"/>
          <w:lang w:val="en-US"/>
        </w:rPr>
        <w:t>as</w:t>
      </w:r>
      <w:r w:rsidR="00D53B9F" w:rsidRPr="0030153D">
        <w:rPr>
          <w:rFonts w:ascii="Arial" w:eastAsia="Arial" w:hAnsi="Arial" w:cs="Arial"/>
          <w:lang w:val="en-US"/>
        </w:rPr>
        <w:t xml:space="preserve"> debt extinguishment</w:t>
      </w:r>
      <w:r w:rsidRPr="0030153D">
        <w:rPr>
          <w:rFonts w:ascii="Arial" w:eastAsia="Arial" w:hAnsi="Arial" w:cs="Arial"/>
          <w:lang w:val="en-US"/>
        </w:rPr>
        <w:t>. An amount of $</w:t>
      </w:r>
      <w:bookmarkStart w:id="641" w:name="XBRL_CS_f8881a476c5c4b29b27fa19237fd8f26"/>
      <w:r w:rsidRPr="0030153D">
        <w:rPr>
          <w:rFonts w:ascii="Arial" w:eastAsia="Arial" w:hAnsi="Arial" w:cs="Arial"/>
          <w:lang w:val="en-US"/>
        </w:rPr>
        <w:t>5,336</w:t>
      </w:r>
      <w:bookmarkEnd w:id="641"/>
      <w:r w:rsidRPr="0030153D">
        <w:rPr>
          <w:rFonts w:ascii="Arial" w:eastAsia="Arial" w:hAnsi="Arial" w:cs="Arial"/>
          <w:lang w:val="en-US"/>
        </w:rPr>
        <w:t xml:space="preserve"> consisting of the costs paid to investors who participated in the refinancing and unamortized deferred fees were deferred over the term of the new bond and an amount of $</w:t>
      </w:r>
      <w:bookmarkStart w:id="642" w:name="XBRL_CS_d7fc6187cf084e10bf42ecdbcb0c2a30"/>
      <w:r w:rsidRPr="0030153D">
        <w:rPr>
          <w:rFonts w:ascii="Arial" w:eastAsia="Arial" w:hAnsi="Arial" w:cs="Arial"/>
          <w:lang w:val="en-US"/>
        </w:rPr>
        <w:t>3,475</w:t>
      </w:r>
      <w:bookmarkEnd w:id="642"/>
      <w:r w:rsidRPr="0030153D">
        <w:rPr>
          <w:rFonts w:ascii="Arial" w:eastAsia="Arial" w:hAnsi="Arial" w:cs="Arial"/>
          <w:lang w:val="en-US"/>
        </w:rPr>
        <w:t xml:space="preserve"> was recorded as loss on debt extinguishment. The bond included financial and other covenants and was trading on the Oslo Stock Exchange under the ticker symbol “DIASH02”. </w:t>
      </w:r>
    </w:p>
    <w:p w14:paraId="71F3F7B0" w14:textId="77777777" w:rsidR="0030153D" w:rsidRDefault="0030153D" w:rsidP="008A270D">
      <w:pPr>
        <w:keepNext/>
        <w:keepLines/>
        <w:pBdr>
          <w:top w:val="nil"/>
          <w:left w:val="nil"/>
          <w:bottom w:val="nil"/>
          <w:right w:val="nil"/>
          <w:between w:val="nil"/>
          <w:bar w:val="nil"/>
        </w:pBdr>
        <w:jc w:val="both"/>
        <w:rPr>
          <w:rFonts w:ascii="Arial" w:eastAsia="Arial" w:hAnsi="Arial" w:cs="Arial"/>
          <w:b/>
          <w:iCs/>
          <w:bdr w:val="nil"/>
          <w:lang w:val="en-US"/>
        </w:rPr>
      </w:pPr>
    </w:p>
    <w:p w14:paraId="71F3F7B1" w14:textId="77777777" w:rsidR="008A270D" w:rsidRPr="00C435AD" w:rsidRDefault="003A4815" w:rsidP="008A270D">
      <w:pPr>
        <w:keepNext/>
        <w:keepLines/>
        <w:pBdr>
          <w:top w:val="nil"/>
          <w:left w:val="nil"/>
          <w:bottom w:val="nil"/>
          <w:right w:val="nil"/>
          <w:between w:val="nil"/>
          <w:bar w:val="nil"/>
        </w:pBdr>
        <w:jc w:val="both"/>
        <w:rPr>
          <w:rFonts w:ascii="Arial" w:eastAsia="Arial" w:hAnsi="Arial" w:cs="Arial"/>
          <w:iCs/>
          <w:bdr w:val="nil"/>
          <w:lang w:val="en-US"/>
        </w:rPr>
      </w:pPr>
      <w:r>
        <w:rPr>
          <w:rFonts w:ascii="Arial" w:eastAsia="Arial" w:hAnsi="Arial" w:cs="Arial"/>
          <w:b/>
          <w:iCs/>
          <w:lang w:val="en-US"/>
        </w:rPr>
        <w:t xml:space="preserve">8.75% </w:t>
      </w:r>
      <w:r w:rsidRPr="00C435AD">
        <w:rPr>
          <w:rFonts w:ascii="Arial" w:eastAsia="Arial" w:hAnsi="Arial" w:cs="Arial"/>
          <w:b/>
          <w:iCs/>
          <w:lang w:val="en-US"/>
        </w:rPr>
        <w:t>Senior Unsecured Bond</w:t>
      </w:r>
      <w:r w:rsidRPr="00C435AD">
        <w:rPr>
          <w:rFonts w:ascii="Arial" w:eastAsia="Arial" w:hAnsi="Arial" w:cs="Arial"/>
          <w:iCs/>
          <w:lang w:val="en-US"/>
        </w:rPr>
        <w:t xml:space="preserve">: </w:t>
      </w:r>
    </w:p>
    <w:p w14:paraId="71F3F7B2" w14:textId="77777777" w:rsidR="008A270D" w:rsidRPr="00C435AD" w:rsidRDefault="008A270D" w:rsidP="008A270D">
      <w:pPr>
        <w:keepNext/>
        <w:keepLines/>
        <w:pBdr>
          <w:top w:val="nil"/>
          <w:left w:val="nil"/>
          <w:bottom w:val="nil"/>
          <w:right w:val="nil"/>
          <w:between w:val="nil"/>
          <w:bar w:val="nil"/>
        </w:pBdr>
        <w:jc w:val="both"/>
        <w:rPr>
          <w:rFonts w:ascii="Arial" w:eastAsia="Arial" w:hAnsi="Arial" w:cs="Arial"/>
          <w:bdr w:val="nil"/>
          <w:lang w:val="en-US"/>
        </w:rPr>
      </w:pPr>
    </w:p>
    <w:p w14:paraId="71F3F7B3" w14:textId="77777777" w:rsidR="008A270D" w:rsidRPr="00C435AD" w:rsidRDefault="003A4815" w:rsidP="005D5F46">
      <w:pPr>
        <w:pBdr>
          <w:top w:val="nil"/>
          <w:left w:val="nil"/>
          <w:bottom w:val="nil"/>
          <w:right w:val="nil"/>
          <w:between w:val="nil"/>
          <w:bar w:val="nil"/>
        </w:pBdr>
        <w:jc w:val="both"/>
        <w:rPr>
          <w:rFonts w:ascii="Arial" w:eastAsia="Arial" w:hAnsi="Arial" w:cs="Arial"/>
          <w:bdr w:val="nil"/>
          <w:lang w:val="en-US"/>
        </w:rPr>
      </w:pPr>
      <w:bookmarkStart w:id="643" w:name="_Hlk189497758_1"/>
      <w:bookmarkStart w:id="644" w:name="_Hlk189498300"/>
      <w:r>
        <w:rPr>
          <w:rFonts w:ascii="Arial" w:eastAsia="Arial" w:hAnsi="Arial" w:cs="Arial"/>
          <w:lang w:val="en-US"/>
        </w:rPr>
        <w:t>In</w:t>
      </w:r>
      <w:r w:rsidRPr="00C435AD">
        <w:rPr>
          <w:rFonts w:ascii="Arial" w:eastAsia="Arial" w:hAnsi="Arial" w:cs="Arial"/>
          <w:lang w:val="en-US"/>
        </w:rPr>
        <w:t xml:space="preserve"> 202</w:t>
      </w:r>
      <w:r>
        <w:rPr>
          <w:rFonts w:ascii="Arial" w:eastAsia="Arial" w:hAnsi="Arial" w:cs="Arial"/>
          <w:lang w:val="en-US"/>
        </w:rPr>
        <w:t>4</w:t>
      </w:r>
      <w:r w:rsidRPr="00C435AD">
        <w:rPr>
          <w:rFonts w:ascii="Arial" w:eastAsia="Arial" w:hAnsi="Arial" w:cs="Arial"/>
          <w:lang w:val="en-US"/>
        </w:rPr>
        <w:t xml:space="preserve">, the Company issued </w:t>
      </w:r>
      <w:r>
        <w:rPr>
          <w:rFonts w:ascii="Arial" w:eastAsia="Arial" w:hAnsi="Arial" w:cs="Arial"/>
          <w:lang w:val="en-US"/>
        </w:rPr>
        <w:t>a $</w:t>
      </w:r>
      <w:bookmarkStart w:id="645" w:name="XBRL_CS_9fa5418582e24a98949cbced212b7550"/>
      <w:r>
        <w:rPr>
          <w:rFonts w:ascii="Arial" w:eastAsia="Arial" w:hAnsi="Arial" w:cs="Arial"/>
          <w:lang w:val="en-US"/>
        </w:rPr>
        <w:t>175,000</w:t>
      </w:r>
      <w:bookmarkEnd w:id="645"/>
      <w:r>
        <w:rPr>
          <w:rFonts w:ascii="Arial" w:eastAsia="Arial" w:hAnsi="Arial" w:cs="Arial"/>
          <w:lang w:val="en-US"/>
        </w:rPr>
        <w:t xml:space="preserve"> </w:t>
      </w:r>
      <w:r w:rsidRPr="00C435AD">
        <w:rPr>
          <w:rFonts w:ascii="Arial" w:eastAsia="Arial" w:hAnsi="Arial" w:cs="Arial"/>
          <w:lang w:val="en-US"/>
        </w:rPr>
        <w:t>senior unsecured bond maturing in Ju</w:t>
      </w:r>
      <w:r>
        <w:rPr>
          <w:rFonts w:ascii="Arial" w:eastAsia="Arial" w:hAnsi="Arial" w:cs="Arial"/>
          <w:lang w:val="en-US"/>
        </w:rPr>
        <w:t>ly</w:t>
      </w:r>
      <w:r w:rsidRPr="00C435AD">
        <w:rPr>
          <w:rFonts w:ascii="Arial" w:eastAsia="Arial" w:hAnsi="Arial" w:cs="Arial"/>
          <w:lang w:val="en-US"/>
        </w:rPr>
        <w:t xml:space="preserve"> 202</w:t>
      </w:r>
      <w:r>
        <w:rPr>
          <w:rFonts w:ascii="Arial" w:eastAsia="Arial" w:hAnsi="Arial" w:cs="Arial"/>
          <w:lang w:val="en-US"/>
        </w:rPr>
        <w:t>9</w:t>
      </w:r>
      <w:bookmarkEnd w:id="643"/>
      <w:r>
        <w:rPr>
          <w:rFonts w:ascii="Arial" w:eastAsia="Arial" w:hAnsi="Arial" w:cs="Arial"/>
          <w:lang w:val="en-US"/>
        </w:rPr>
        <w:t xml:space="preserve"> </w:t>
      </w:r>
      <w:bookmarkEnd w:id="644"/>
      <w:r w:rsidR="00AE3A1E">
        <w:rPr>
          <w:rFonts w:ascii="Arial" w:eastAsia="Arial" w:hAnsi="Arial" w:cs="Arial"/>
          <w:lang w:val="en-US"/>
        </w:rPr>
        <w:t>bearing a</w:t>
      </w:r>
      <w:r w:rsidRPr="008A52A0">
        <w:rPr>
          <w:rFonts w:ascii="Arial" w:eastAsia="Arial" w:hAnsi="Arial" w:cs="Arial"/>
          <w:lang w:val="en-US"/>
        </w:rPr>
        <w:t xml:space="preserve"> fixed-rate coup</w:t>
      </w:r>
      <w:r w:rsidRPr="00C435AD">
        <w:rPr>
          <w:rFonts w:ascii="Arial" w:eastAsia="Arial" w:hAnsi="Arial" w:cs="Arial"/>
          <w:lang w:val="en-US"/>
        </w:rPr>
        <w:t xml:space="preserve">on of </w:t>
      </w:r>
      <w:bookmarkStart w:id="646" w:name="XBRL_CS_403ee4d1b47846449836426962be206d"/>
      <w:r w:rsidRPr="00C435AD">
        <w:rPr>
          <w:rFonts w:ascii="Arial" w:eastAsia="Arial" w:hAnsi="Arial" w:cs="Arial"/>
          <w:lang w:val="en-US"/>
        </w:rPr>
        <w:t>8.</w:t>
      </w:r>
      <w:r>
        <w:rPr>
          <w:rFonts w:ascii="Arial" w:eastAsia="Arial" w:hAnsi="Arial" w:cs="Arial"/>
          <w:lang w:val="en-US"/>
        </w:rPr>
        <w:t>75</w:t>
      </w:r>
      <w:bookmarkEnd w:id="646"/>
      <w:r w:rsidRPr="00C435AD">
        <w:rPr>
          <w:rFonts w:ascii="Arial" w:eastAsia="Arial" w:hAnsi="Arial" w:cs="Arial"/>
          <w:lang w:val="en-US"/>
        </w:rPr>
        <w:t>% payable semi-annually in arrears in J</w:t>
      </w:r>
      <w:r>
        <w:rPr>
          <w:rFonts w:ascii="Arial" w:eastAsia="Arial" w:hAnsi="Arial" w:cs="Arial"/>
          <w:lang w:val="en-US"/>
        </w:rPr>
        <w:t>anu</w:t>
      </w:r>
      <w:r w:rsidRPr="0081544F">
        <w:rPr>
          <w:rFonts w:ascii="Arial" w:eastAsia="Arial" w:hAnsi="Arial" w:cs="Arial"/>
          <w:lang w:val="en-US"/>
        </w:rPr>
        <w:t>ary and July of each yea</w:t>
      </w:r>
      <w:r>
        <w:rPr>
          <w:rFonts w:ascii="Arial" w:eastAsia="Arial" w:hAnsi="Arial" w:cs="Arial"/>
          <w:lang w:val="en-US"/>
        </w:rPr>
        <w:t xml:space="preserve">r. </w:t>
      </w:r>
      <w:r w:rsidR="00AE3A1E">
        <w:rPr>
          <w:rFonts w:ascii="Arial" w:eastAsia="Arial" w:hAnsi="Arial" w:cs="Arial"/>
          <w:lang w:val="en-US"/>
        </w:rPr>
        <w:t>P</w:t>
      </w:r>
      <w:r>
        <w:rPr>
          <w:rFonts w:ascii="Arial" w:eastAsia="Arial" w:hAnsi="Arial" w:cs="Arial"/>
          <w:lang w:val="en-US"/>
        </w:rPr>
        <w:t xml:space="preserve">roceeds from the bond were used to prepay the balance of the then outstanding bond and for </w:t>
      </w:r>
      <w:r w:rsidR="00AE3A1E">
        <w:rPr>
          <w:rFonts w:ascii="Arial" w:eastAsia="Arial" w:hAnsi="Arial" w:cs="Arial"/>
          <w:lang w:val="en-US"/>
        </w:rPr>
        <w:t xml:space="preserve">general </w:t>
      </w:r>
      <w:r>
        <w:rPr>
          <w:rFonts w:ascii="Arial" w:eastAsia="Arial" w:hAnsi="Arial" w:cs="Arial"/>
          <w:lang w:val="en-US"/>
        </w:rPr>
        <w:t>working capital</w:t>
      </w:r>
      <w:r w:rsidR="00AE3A1E">
        <w:rPr>
          <w:rFonts w:ascii="Arial" w:eastAsia="Arial" w:hAnsi="Arial" w:cs="Arial"/>
          <w:lang w:val="en-US"/>
        </w:rPr>
        <w:t xml:space="preserve"> purposes</w:t>
      </w:r>
      <w:r>
        <w:rPr>
          <w:rFonts w:ascii="Arial" w:eastAsia="Arial" w:hAnsi="Arial" w:cs="Arial"/>
          <w:lang w:val="en-US"/>
        </w:rPr>
        <w:t xml:space="preserve">. </w:t>
      </w:r>
      <w:r w:rsidRPr="0081544F">
        <w:rPr>
          <w:rFonts w:ascii="Arial" w:eastAsia="Arial" w:hAnsi="Arial" w:cs="Arial"/>
          <w:lang w:val="en-US"/>
        </w:rPr>
        <w:t xml:space="preserve">The bond is callable in whole or in part in </w:t>
      </w:r>
      <w:r w:rsidR="0081544F" w:rsidRPr="0081544F">
        <w:rPr>
          <w:rFonts w:ascii="Arial" w:eastAsia="Arial" w:hAnsi="Arial" w:cs="Arial"/>
          <w:lang w:val="en-US"/>
        </w:rPr>
        <w:t>July</w:t>
      </w:r>
      <w:r w:rsidRPr="0081544F">
        <w:rPr>
          <w:rFonts w:ascii="Arial" w:eastAsia="Arial" w:hAnsi="Arial" w:cs="Arial"/>
          <w:lang w:val="en-US"/>
        </w:rPr>
        <w:t xml:space="preserve"> 202</w:t>
      </w:r>
      <w:r w:rsidR="0081544F" w:rsidRPr="0081544F">
        <w:rPr>
          <w:rFonts w:ascii="Arial" w:eastAsia="Arial" w:hAnsi="Arial" w:cs="Arial"/>
          <w:lang w:val="en-US"/>
        </w:rPr>
        <w:t>7</w:t>
      </w:r>
      <w:r w:rsidRPr="0081544F">
        <w:rPr>
          <w:rFonts w:ascii="Arial" w:eastAsia="Arial" w:hAnsi="Arial" w:cs="Arial"/>
          <w:lang w:val="en-US"/>
        </w:rPr>
        <w:t xml:space="preserve"> at a price equal to </w:t>
      </w:r>
      <w:bookmarkStart w:id="647" w:name="XBRL_CS_b86e1378aac745668feee9c0bf20e681"/>
      <w:r w:rsidRPr="0081544F">
        <w:rPr>
          <w:rFonts w:ascii="Arial" w:eastAsia="Arial" w:hAnsi="Arial" w:cs="Arial"/>
          <w:lang w:val="en-US"/>
        </w:rPr>
        <w:t>103.</w:t>
      </w:r>
      <w:r w:rsidR="007E1104" w:rsidRPr="0081544F">
        <w:rPr>
          <w:rFonts w:ascii="Arial" w:eastAsia="Arial" w:hAnsi="Arial" w:cs="Arial"/>
          <w:lang w:val="en-US"/>
        </w:rPr>
        <w:t>50</w:t>
      </w:r>
      <w:bookmarkEnd w:id="647"/>
      <w:r w:rsidRPr="0081544F">
        <w:rPr>
          <w:rFonts w:ascii="Arial" w:eastAsia="Arial" w:hAnsi="Arial" w:cs="Arial"/>
          <w:lang w:val="en-US"/>
        </w:rPr>
        <w:t>% of nominal value;</w:t>
      </w:r>
      <w:r w:rsidR="0081544F" w:rsidRPr="0081544F">
        <w:rPr>
          <w:rFonts w:ascii="Arial" w:eastAsia="Arial" w:hAnsi="Arial" w:cs="Arial"/>
          <w:lang w:val="en-US"/>
        </w:rPr>
        <w:t xml:space="preserve"> in January 2028 at a price equal to </w:t>
      </w:r>
      <w:bookmarkStart w:id="648" w:name="XBRL_CS_2a429a1860844904b2130cb5d2f11e1b"/>
      <w:r w:rsidR="0081544F" w:rsidRPr="0081544F">
        <w:rPr>
          <w:rFonts w:ascii="Arial" w:eastAsia="Arial" w:hAnsi="Arial" w:cs="Arial"/>
          <w:lang w:val="en-US"/>
        </w:rPr>
        <w:t>102.625</w:t>
      </w:r>
      <w:bookmarkEnd w:id="648"/>
      <w:r w:rsidR="0081544F" w:rsidRPr="0081544F">
        <w:rPr>
          <w:rFonts w:ascii="Arial" w:eastAsia="Arial" w:hAnsi="Arial" w:cs="Arial"/>
          <w:lang w:val="en-US"/>
        </w:rPr>
        <w:t xml:space="preserve">% of nominal value; in July </w:t>
      </w:r>
      <w:r w:rsidR="0081544F" w:rsidRPr="00593938">
        <w:rPr>
          <w:rFonts w:ascii="Arial" w:eastAsia="Arial" w:hAnsi="Arial" w:cs="Arial"/>
          <w:lang w:val="en-US"/>
        </w:rPr>
        <w:t xml:space="preserve">2028 at a price equal to </w:t>
      </w:r>
      <w:bookmarkStart w:id="649" w:name="XBRL_CS_b0c6be6f3cce4fd589e6a83ad97006a3"/>
      <w:r w:rsidR="0081544F" w:rsidRPr="00593938">
        <w:rPr>
          <w:rFonts w:ascii="Arial" w:eastAsia="Arial" w:hAnsi="Arial" w:cs="Arial"/>
          <w:lang w:val="en-US"/>
        </w:rPr>
        <w:t>101.75</w:t>
      </w:r>
      <w:bookmarkEnd w:id="649"/>
      <w:r w:rsidR="0081544F" w:rsidRPr="00593938">
        <w:rPr>
          <w:rFonts w:ascii="Arial" w:eastAsia="Arial" w:hAnsi="Arial" w:cs="Arial"/>
          <w:lang w:val="en-US"/>
        </w:rPr>
        <w:t xml:space="preserve">% and after January 2029 at a price equal to </w:t>
      </w:r>
      <w:bookmarkStart w:id="650" w:name="XBRL_CS_1740ea0165c248b79e4448dda73eb22b"/>
      <w:r w:rsidR="0081544F" w:rsidRPr="00593938">
        <w:rPr>
          <w:rFonts w:ascii="Arial" w:eastAsia="Arial" w:hAnsi="Arial" w:cs="Arial"/>
          <w:lang w:val="en-US"/>
        </w:rPr>
        <w:t>100.00</w:t>
      </w:r>
      <w:bookmarkEnd w:id="650"/>
      <w:r w:rsidR="0081544F" w:rsidRPr="00593938">
        <w:rPr>
          <w:rFonts w:ascii="Arial" w:eastAsia="Arial" w:hAnsi="Arial" w:cs="Arial"/>
          <w:lang w:val="en-US"/>
        </w:rPr>
        <w:t>% of nominal value.</w:t>
      </w:r>
      <w:r w:rsidR="003A24D2">
        <w:rPr>
          <w:rFonts w:ascii="Arial" w:eastAsia="Arial" w:hAnsi="Arial" w:cs="Arial"/>
          <w:lang w:val="en-US"/>
        </w:rPr>
        <w:t xml:space="preserve"> </w:t>
      </w:r>
      <w:r w:rsidRPr="00C435AD">
        <w:rPr>
          <w:rFonts w:ascii="Arial" w:eastAsia="Arial" w:hAnsi="Arial" w:cs="Arial"/>
          <w:lang w:val="en-US"/>
        </w:rPr>
        <w:t xml:space="preserve">The bond ranks ahead of subordinated capital and ranks the same with all other senior unsecured obligations of the Company other than obligations which are mandatorily preferred by law. </w:t>
      </w:r>
      <w:r w:rsidRPr="00593938">
        <w:rPr>
          <w:rFonts w:ascii="Arial" w:eastAsia="Arial" w:hAnsi="Arial" w:cs="Arial"/>
          <w:lang w:val="en-US"/>
        </w:rPr>
        <w:t xml:space="preserve">The bond includes financial and other covenants and is trading </w:t>
      </w:r>
      <w:r>
        <w:rPr>
          <w:rFonts w:ascii="Arial" w:eastAsia="Arial" w:hAnsi="Arial" w:cs="Arial"/>
          <w:lang w:val="en-US"/>
        </w:rPr>
        <w:t>on the</w:t>
      </w:r>
      <w:r w:rsidRPr="00593938">
        <w:rPr>
          <w:rFonts w:ascii="Arial" w:eastAsia="Arial" w:hAnsi="Arial" w:cs="Arial"/>
          <w:lang w:val="en-US"/>
        </w:rPr>
        <w:t xml:space="preserve"> Oslo </w:t>
      </w:r>
      <w:r w:rsidRPr="00593938">
        <w:rPr>
          <w:rFonts w:ascii="Arial" w:eastAsia="Arial" w:hAnsi="Arial" w:cs="Arial"/>
          <w:bdr w:val="none" w:sz="0" w:space="0" w:color="auto" w:frame="1"/>
          <w:lang w:val="en-US"/>
        </w:rPr>
        <w:t>Stock Exchange under the ticker symbol “DIASH03”</w:t>
      </w:r>
      <w:r w:rsidRPr="00593938">
        <w:rPr>
          <w:rFonts w:ascii="Arial" w:eastAsia="Arial" w:hAnsi="Arial" w:cs="Arial"/>
          <w:lang w:val="en-US"/>
        </w:rPr>
        <w:t>.</w:t>
      </w:r>
    </w:p>
    <w:p w14:paraId="71F3F7B4" w14:textId="77777777" w:rsidR="00917A3B" w:rsidRPr="00C435AD" w:rsidRDefault="00917A3B" w:rsidP="007A4849">
      <w:pPr>
        <w:pStyle w:val="Notesbody"/>
        <w:widowControl w:val="0"/>
        <w:pBdr>
          <w:top w:val="nil"/>
          <w:left w:val="nil"/>
          <w:bottom w:val="nil"/>
          <w:right w:val="nil"/>
          <w:between w:val="nil"/>
          <w:bar w:val="nil"/>
        </w:pBdr>
        <w:rPr>
          <w:rFonts w:ascii="Arial" w:eastAsia="Arial" w:hAnsi="Arial" w:cs="Arial"/>
          <w:bdr w:val="nil"/>
        </w:rPr>
      </w:pPr>
    </w:p>
    <w:p w14:paraId="71F3F7B5" w14:textId="77777777" w:rsidR="00DE48FD" w:rsidRPr="00C435AD" w:rsidRDefault="003A4815" w:rsidP="00C435AD">
      <w:pPr>
        <w:keepNext/>
        <w:keepLines/>
        <w:pBdr>
          <w:top w:val="nil"/>
          <w:left w:val="nil"/>
          <w:bottom w:val="nil"/>
          <w:right w:val="nil"/>
          <w:between w:val="nil"/>
          <w:bar w:val="nil"/>
        </w:pBdr>
        <w:jc w:val="both"/>
        <w:rPr>
          <w:rFonts w:ascii="Arial" w:eastAsia="Arial" w:hAnsi="Arial" w:cs="Arial"/>
          <w:b/>
          <w:iCs/>
          <w:bdr w:val="nil"/>
          <w:lang w:val="en-US"/>
        </w:rPr>
      </w:pPr>
      <w:r w:rsidRPr="00C435AD">
        <w:rPr>
          <w:rFonts w:ascii="Arial" w:eastAsia="Arial" w:hAnsi="Arial" w:cs="Arial"/>
          <w:b/>
          <w:iCs/>
          <w:lang w:val="en-US"/>
        </w:rPr>
        <w:t>Secured Term Loans:</w:t>
      </w:r>
    </w:p>
    <w:p w14:paraId="71F3F7B6" w14:textId="77777777" w:rsidR="00AC7D52" w:rsidRPr="00C435AD" w:rsidRDefault="00AC7D52" w:rsidP="00C435AD">
      <w:pPr>
        <w:keepNext/>
        <w:keepLines/>
        <w:pBdr>
          <w:top w:val="nil"/>
          <w:left w:val="nil"/>
          <w:bottom w:val="nil"/>
          <w:right w:val="nil"/>
          <w:between w:val="nil"/>
          <w:bar w:val="nil"/>
        </w:pBdr>
        <w:jc w:val="both"/>
        <w:rPr>
          <w:rFonts w:ascii="Arial" w:eastAsia="Arial" w:hAnsi="Arial" w:cs="Arial"/>
          <w:iCs/>
          <w:bdr w:val="nil"/>
          <w:lang w:val="en-US"/>
        </w:rPr>
      </w:pPr>
    </w:p>
    <w:p w14:paraId="71F3F7B7" w14:textId="77777777" w:rsidR="005D5F46" w:rsidRPr="00C435AD"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lang w:eastAsia="el-GR"/>
        </w:rPr>
        <w:t xml:space="preserve">Under the secured term loans outstanding as of December 31, 2025, </w:t>
      </w:r>
      <w:bookmarkStart w:id="651" w:name="XBRL_CS_1f8e90021cc64e038875b6d3530caec3"/>
      <w:r w:rsidRPr="00C435AD">
        <w:rPr>
          <w:rFonts w:ascii="Arial" w:eastAsia="Arial" w:hAnsi="Arial" w:cs="Arial"/>
          <w:lang w:eastAsia="el-GR"/>
        </w:rPr>
        <w:t>31</w:t>
      </w:r>
      <w:bookmarkEnd w:id="651"/>
      <w:r w:rsidRPr="00C435AD">
        <w:rPr>
          <w:rFonts w:ascii="Arial" w:eastAsia="Arial" w:hAnsi="Arial" w:cs="Arial"/>
          <w:lang w:eastAsia="el-GR"/>
        </w:rPr>
        <w:t xml:space="preserve"> vessels of the Company’s fleet are mortgaged with first preferred or priority ship mortgages, having an aggregate carrying value of $</w:t>
      </w:r>
      <w:bookmarkStart w:id="652" w:name="XBRL_CS_220f460dadff405a9840073151081947"/>
      <w:r w:rsidRPr="00C435AD">
        <w:rPr>
          <w:rFonts w:ascii="Arial" w:eastAsia="Arial" w:hAnsi="Arial" w:cs="Arial"/>
          <w:lang w:eastAsia="el-GR"/>
        </w:rPr>
        <w:t>621,566</w:t>
      </w:r>
      <w:bookmarkEnd w:id="652"/>
      <w:r w:rsidRPr="00C435AD">
        <w:rPr>
          <w:rFonts w:ascii="Arial" w:eastAsia="Arial" w:hAnsi="Arial" w:cs="Arial"/>
          <w:lang w:eastAsia="el-GR"/>
        </w:rPr>
        <w:t xml:space="preserve">. Additional securities required by the banks include first priority assignment of all earnings, insurances, first assignment of time charter contracts that exceed a certain period, pledge over the shares of the borrowers, manager’s undertaking and subordination and requisition compensation and either a corporate guarantee by DSI (the “Guarantor”) or a guarantee by the ship owning companies (where applicable), financial covenants, as well as operating account assignments. The lenders may also require additional security in the future in the event the borrowers breach certain covenants under the loan agreements. The secured term loans generally include restrictions as to changes in management and ownership of the vessels, additional indebtedness, as well as minimum requirements regarding hull cover ratio and minimum liquidity per vessel owned by the borrowers, or the Guarantor, maintained in the bank accounts of the borrowers, or the Guarantor. </w:t>
      </w:r>
    </w:p>
    <w:p w14:paraId="71F3F7B8" w14:textId="77777777" w:rsidR="005D5F46" w:rsidRPr="00C435AD" w:rsidRDefault="005D5F46" w:rsidP="005D5F46">
      <w:pPr>
        <w:pStyle w:val="Notesbody"/>
        <w:widowControl w:val="0"/>
        <w:pBdr>
          <w:top w:val="nil"/>
          <w:left w:val="nil"/>
          <w:bottom w:val="nil"/>
          <w:right w:val="nil"/>
          <w:between w:val="nil"/>
          <w:bar w:val="nil"/>
        </w:pBdr>
        <w:rPr>
          <w:rFonts w:ascii="Arial" w:eastAsia="Arial" w:hAnsi="Arial" w:cs="Arial"/>
          <w:bdr w:val="nil"/>
        </w:rPr>
      </w:pPr>
    </w:p>
    <w:p w14:paraId="71F3F7B9" w14:textId="77777777" w:rsidR="00296479" w:rsidRPr="00296479" w:rsidRDefault="003A4815" w:rsidP="00296479">
      <w:pPr>
        <w:pStyle w:val="Notesbody"/>
        <w:widowControl w:val="0"/>
        <w:pBdr>
          <w:top w:val="nil"/>
          <w:left w:val="nil"/>
          <w:bottom w:val="nil"/>
          <w:right w:val="nil"/>
          <w:between w:val="nil"/>
          <w:bar w:val="nil"/>
        </w:pBdr>
        <w:rPr>
          <w:rFonts w:ascii="Arial" w:eastAsia="Arial" w:hAnsi="Arial" w:cs="Arial"/>
          <w:bdr w:val="nil"/>
        </w:rPr>
      </w:pPr>
      <w:r>
        <w:rPr>
          <w:rFonts w:ascii="Arial" w:eastAsia="Arial" w:hAnsi="Arial" w:cs="Arial"/>
          <w:lang w:eastAsia="el-GR"/>
        </w:rPr>
        <w:t>A</w:t>
      </w:r>
      <w:r>
        <w:rPr>
          <w:rFonts w:ascii="Arial" w:eastAsia="Arial" w:hAnsi="Arial" w:cs="Arial"/>
          <w:szCs w:val="20"/>
          <w:lang w:eastAsia="el-GR"/>
        </w:rPr>
        <w:t xml:space="preserve">s of December 31, 2025 and 2024 </w:t>
      </w:r>
      <w:r w:rsidRPr="005416F2">
        <w:rPr>
          <w:rFonts w:ascii="Arial" w:eastAsia="Arial" w:hAnsi="Arial" w:cs="Arial"/>
          <w:lang w:eastAsia="el-GR"/>
        </w:rPr>
        <w:t>minimum cash deposits required to be maintained at all times under the Company’s loan facilities, amounted to $</w:t>
      </w:r>
      <w:bookmarkStart w:id="653" w:name="XBRL_CS_fbfdd2ed6d1945b9bc0236f592fd102b"/>
      <w:r w:rsidRPr="005416F2">
        <w:rPr>
          <w:rFonts w:ascii="Arial" w:eastAsia="Arial" w:hAnsi="Arial" w:cs="Arial"/>
          <w:lang w:eastAsia="el-GR"/>
        </w:rPr>
        <w:t>18,000</w:t>
      </w:r>
      <w:bookmarkEnd w:id="653"/>
      <w:r w:rsidRPr="005416F2">
        <w:rPr>
          <w:rFonts w:ascii="Arial" w:eastAsia="Arial" w:hAnsi="Arial" w:cs="Arial"/>
          <w:lang w:eastAsia="el-GR"/>
        </w:rPr>
        <w:t xml:space="preserve"> and $</w:t>
      </w:r>
      <w:bookmarkStart w:id="654" w:name="XBRL_CS_67ddbda6d495450bb2e9d659cbb38b8a"/>
      <w:r w:rsidRPr="005416F2">
        <w:rPr>
          <w:rFonts w:ascii="Arial" w:eastAsia="Arial" w:hAnsi="Arial" w:cs="Arial"/>
          <w:lang w:eastAsia="el-GR"/>
        </w:rPr>
        <w:t>19,000</w:t>
      </w:r>
      <w:bookmarkEnd w:id="654"/>
      <w:r>
        <w:rPr>
          <w:rFonts w:ascii="Arial" w:eastAsia="Arial" w:hAnsi="Arial" w:cs="Arial"/>
          <w:lang w:eastAsia="el-GR"/>
        </w:rPr>
        <w:t xml:space="preserve">, </w:t>
      </w:r>
      <w:r w:rsidRPr="005416F2">
        <w:rPr>
          <w:rFonts w:ascii="Arial" w:eastAsia="Arial" w:hAnsi="Arial" w:cs="Arial"/>
          <w:lang w:eastAsia="el-GR"/>
        </w:rPr>
        <w:t xml:space="preserve">respectively and are included in </w:t>
      </w:r>
      <w:r w:rsidR="00B11C41">
        <w:rPr>
          <w:rFonts w:ascii="Arial" w:eastAsia="Arial" w:hAnsi="Arial" w:cs="Arial"/>
          <w:lang w:eastAsia="el-GR"/>
        </w:rPr>
        <w:t>r</w:t>
      </w:r>
      <w:r w:rsidRPr="005416F2">
        <w:rPr>
          <w:rFonts w:ascii="Arial" w:eastAsia="Arial" w:hAnsi="Arial" w:cs="Arial"/>
          <w:lang w:eastAsia="el-GR"/>
        </w:rPr>
        <w:t>estricted cash</w:t>
      </w:r>
      <w:r w:rsidR="007E2ACE" w:rsidRPr="005416F2">
        <w:rPr>
          <w:rFonts w:ascii="Arial" w:eastAsia="Arial" w:hAnsi="Arial" w:cs="Arial"/>
          <w:lang w:eastAsia="el-GR"/>
        </w:rPr>
        <w:t>, non-current</w:t>
      </w:r>
      <w:r w:rsidRPr="005416F2">
        <w:rPr>
          <w:rFonts w:ascii="Arial" w:eastAsia="Arial" w:hAnsi="Arial" w:cs="Arial"/>
          <w:lang w:eastAsia="el-GR"/>
        </w:rPr>
        <w:t xml:space="preserve"> in the accompanying consolidated balance sheets.</w:t>
      </w:r>
      <w:r>
        <w:rPr>
          <w:rFonts w:ascii="Arial" w:eastAsia="Arial" w:hAnsi="Arial" w:cs="Arial"/>
          <w:lang w:eastAsia="el-GR"/>
        </w:rPr>
        <w:t> </w:t>
      </w:r>
      <w:r w:rsidRPr="005416F2">
        <w:rPr>
          <w:rFonts w:ascii="Arial" w:eastAsia="Arial" w:hAnsi="Arial" w:cs="Arial"/>
          <w:lang w:eastAsia="el-GR"/>
        </w:rPr>
        <w:t>Furthermore, the secured term loans contain cross default provisions and additionally the Company is not permitted to pay any dividends following the occurrence of an event of default.</w:t>
      </w:r>
      <w:r w:rsidRPr="00296479">
        <w:rPr>
          <w:rFonts w:ascii="Arial" w:eastAsia="Arial" w:hAnsi="Arial" w:cs="Arial"/>
          <w:szCs w:val="20"/>
          <w:lang w:eastAsia="el-GR"/>
        </w:rPr>
        <w:t xml:space="preserve"> </w:t>
      </w:r>
      <w:r w:rsidRPr="008B2292">
        <w:rPr>
          <w:rFonts w:ascii="Arial" w:eastAsia="Arial" w:hAnsi="Arial" w:cs="Arial"/>
          <w:lang w:eastAsia="el-GR"/>
        </w:rPr>
        <w:t xml:space="preserve">All of the Company’s </w:t>
      </w:r>
      <w:r>
        <w:rPr>
          <w:rFonts w:ascii="Arial" w:eastAsia="Arial" w:hAnsi="Arial" w:cs="Arial"/>
          <w:lang w:eastAsia="el-GR"/>
        </w:rPr>
        <w:t xml:space="preserve">secured term </w:t>
      </w:r>
      <w:r w:rsidRPr="008B2292">
        <w:rPr>
          <w:rFonts w:ascii="Arial" w:eastAsia="Arial" w:hAnsi="Arial" w:cs="Arial"/>
          <w:lang w:eastAsia="el-GR"/>
        </w:rPr>
        <w:t>loans bear interest at SOFR plus a margin.</w:t>
      </w:r>
      <w:r w:rsidR="006B057B" w:rsidRPr="006B057B">
        <w:rPr>
          <w:rFonts w:ascii="Arial" w:eastAsia="Arial" w:hAnsi="Arial" w:cs="Arial"/>
          <w:lang w:eastAsia="el-GR"/>
        </w:rPr>
        <w:t xml:space="preserve"> In </w:t>
      </w:r>
      <w:r w:rsidR="006B057B">
        <w:rPr>
          <w:rFonts w:ascii="Arial" w:eastAsia="Arial" w:hAnsi="Arial" w:cs="Arial"/>
          <w:szCs w:val="20"/>
          <w:lang w:eastAsia="el-GR"/>
        </w:rPr>
        <w:t>2025</w:t>
      </w:r>
      <w:r w:rsidR="006B057B" w:rsidRPr="006B057B">
        <w:rPr>
          <w:rFonts w:ascii="Arial" w:eastAsia="Arial" w:hAnsi="Arial" w:cs="Arial"/>
          <w:lang w:eastAsia="el-GR"/>
        </w:rPr>
        <w:t xml:space="preserve"> and </w:t>
      </w:r>
      <w:r w:rsidR="006B057B">
        <w:rPr>
          <w:rFonts w:ascii="Arial" w:eastAsia="Arial" w:hAnsi="Arial" w:cs="Arial"/>
          <w:szCs w:val="20"/>
          <w:lang w:eastAsia="el-GR"/>
        </w:rPr>
        <w:t>2024</w:t>
      </w:r>
      <w:r w:rsidR="006B057B" w:rsidRPr="006B057B">
        <w:rPr>
          <w:rFonts w:ascii="Arial" w:eastAsia="Arial" w:hAnsi="Arial" w:cs="Arial"/>
          <w:lang w:eastAsia="el-GR"/>
        </w:rPr>
        <w:t xml:space="preserve">, the weighted average interest rate of the secured term loans was </w:t>
      </w:r>
      <w:bookmarkStart w:id="655" w:name="XBRL_CS_2e92f4f9139843f8bfda6c659c0eb836"/>
      <w:r w:rsidR="006B057B">
        <w:rPr>
          <w:rFonts w:ascii="Arial" w:eastAsia="Arial" w:hAnsi="Arial" w:cs="Arial"/>
          <w:lang w:eastAsia="el-GR"/>
        </w:rPr>
        <w:t>6</w:t>
      </w:r>
      <w:r w:rsidR="006B057B" w:rsidRPr="006B057B">
        <w:rPr>
          <w:rFonts w:ascii="Arial" w:eastAsia="Arial" w:hAnsi="Arial" w:cs="Arial"/>
          <w:lang w:eastAsia="el-GR"/>
        </w:rPr>
        <w:t>.</w:t>
      </w:r>
      <w:r w:rsidR="006B057B">
        <w:rPr>
          <w:rFonts w:ascii="Arial" w:eastAsia="Arial" w:hAnsi="Arial" w:cs="Arial"/>
          <w:lang w:eastAsia="el-GR"/>
        </w:rPr>
        <w:t>1</w:t>
      </w:r>
      <w:bookmarkEnd w:id="655"/>
      <w:r w:rsidR="006B057B" w:rsidRPr="006B057B">
        <w:rPr>
          <w:rFonts w:ascii="Arial" w:eastAsia="Arial" w:hAnsi="Arial" w:cs="Arial"/>
          <w:lang w:eastAsia="el-GR"/>
        </w:rPr>
        <w:t xml:space="preserve">% and </w:t>
      </w:r>
      <w:bookmarkStart w:id="656" w:name="XBRL_CS_d771e63dbe7f43a6b9a250d2f88e7b40"/>
      <w:r w:rsidR="006B057B" w:rsidRPr="006B057B">
        <w:rPr>
          <w:rFonts w:ascii="Arial" w:eastAsia="Arial" w:hAnsi="Arial" w:cs="Arial"/>
          <w:lang w:eastAsia="el-GR"/>
        </w:rPr>
        <w:t>7.3</w:t>
      </w:r>
      <w:bookmarkEnd w:id="656"/>
      <w:r w:rsidR="006B057B" w:rsidRPr="006B057B">
        <w:rPr>
          <w:rFonts w:ascii="Arial" w:eastAsia="Arial" w:hAnsi="Arial" w:cs="Arial"/>
          <w:lang w:eastAsia="el-GR"/>
        </w:rPr>
        <w:t>%, respectively.</w:t>
      </w:r>
    </w:p>
    <w:p w14:paraId="71F3F7BA" w14:textId="77777777" w:rsidR="005D5F46" w:rsidRDefault="005D5F46" w:rsidP="005D5F46">
      <w:pPr>
        <w:pStyle w:val="Notesbody"/>
        <w:widowControl w:val="0"/>
        <w:pBdr>
          <w:top w:val="nil"/>
          <w:left w:val="nil"/>
          <w:bottom w:val="nil"/>
          <w:right w:val="nil"/>
          <w:between w:val="nil"/>
          <w:bar w:val="nil"/>
        </w:pBdr>
        <w:rPr>
          <w:rFonts w:ascii="Arial" w:eastAsia="Arial" w:hAnsi="Arial" w:cs="Arial"/>
          <w:bdr w:val="nil"/>
        </w:rPr>
      </w:pPr>
    </w:p>
    <w:p w14:paraId="71F3F7BB" w14:textId="77777777" w:rsidR="005D5F46" w:rsidRPr="00C435AD"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lang w:eastAsia="el-GR"/>
        </w:rPr>
        <w:t>As of December 31, 2025</w:t>
      </w:r>
      <w:r>
        <w:rPr>
          <w:rFonts w:ascii="Arial" w:eastAsia="Arial" w:hAnsi="Arial" w:cs="Arial"/>
          <w:lang w:eastAsia="el-GR"/>
        </w:rPr>
        <w:t>,</w:t>
      </w:r>
      <w:r w:rsidR="00665720">
        <w:rPr>
          <w:rFonts w:ascii="Arial" w:eastAsia="Arial" w:hAnsi="Arial" w:cs="Arial"/>
          <w:lang w:eastAsia="el-GR"/>
        </w:rPr>
        <w:t xml:space="preserve"> </w:t>
      </w:r>
      <w:r w:rsidRPr="00C435AD">
        <w:rPr>
          <w:rFonts w:ascii="Arial" w:eastAsia="Arial" w:hAnsi="Arial" w:cs="Arial"/>
          <w:lang w:eastAsia="el-GR"/>
        </w:rPr>
        <w:t xml:space="preserve">the Company had the following agreements with banks, either as a borrower or as a guarantor, to </w:t>
      </w:r>
      <w:r w:rsidR="00B11C41">
        <w:rPr>
          <w:rFonts w:ascii="Arial" w:eastAsia="Arial" w:hAnsi="Arial" w:cs="Arial"/>
          <w:lang w:eastAsia="el-GR"/>
        </w:rPr>
        <w:t>guarantee</w:t>
      </w:r>
      <w:r w:rsidRPr="00C435AD">
        <w:rPr>
          <w:rFonts w:ascii="Arial" w:eastAsia="Arial" w:hAnsi="Arial" w:cs="Arial"/>
          <w:lang w:eastAsia="el-GR"/>
        </w:rPr>
        <w:t xml:space="preserve"> the loans of its subsidiaries:</w:t>
      </w:r>
    </w:p>
    <w:p w14:paraId="71F3F7BC" w14:textId="77777777" w:rsidR="005D5F46" w:rsidRPr="00C435AD" w:rsidRDefault="005D5F46" w:rsidP="005D5F46">
      <w:pPr>
        <w:pStyle w:val="Notesbody"/>
        <w:widowControl w:val="0"/>
        <w:pBdr>
          <w:top w:val="nil"/>
          <w:left w:val="nil"/>
          <w:bottom w:val="nil"/>
          <w:right w:val="nil"/>
          <w:between w:val="nil"/>
          <w:bar w:val="nil"/>
        </w:pBdr>
        <w:rPr>
          <w:rFonts w:ascii="Arial" w:eastAsia="Arial" w:hAnsi="Arial" w:cs="Arial"/>
          <w:bdr w:val="nil"/>
        </w:rPr>
      </w:pPr>
    </w:p>
    <w:p w14:paraId="71F3F7BD" w14:textId="77777777" w:rsidR="00461408"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b/>
          <w:i/>
          <w:lang w:eastAsia="el-GR"/>
        </w:rPr>
        <w:t>Nordea Bank AB, London Branch (“Nordea”):</w:t>
      </w:r>
      <w:r w:rsidRPr="00C435AD">
        <w:rPr>
          <w:rFonts w:ascii="Arial" w:eastAsia="Arial" w:hAnsi="Arial" w:cs="Arial"/>
          <w:lang w:eastAsia="el-GR"/>
        </w:rPr>
        <w:t xml:space="preserve"> </w:t>
      </w:r>
      <w:r w:rsidRPr="00461408">
        <w:rPr>
          <w:rFonts w:ascii="Arial" w:eastAsia="Arial" w:hAnsi="Arial" w:cs="Arial"/>
          <w:lang w:eastAsia="el-GR"/>
        </w:rPr>
        <w:t>On September 30, 2022, the Company entered into a $</w:t>
      </w:r>
      <w:bookmarkStart w:id="657" w:name="XBRL_CS_2b80a8f4bac64047a1074724d3eb3a01"/>
      <w:r w:rsidRPr="00461408">
        <w:rPr>
          <w:rFonts w:ascii="Arial" w:eastAsia="Arial" w:hAnsi="Arial" w:cs="Arial"/>
          <w:lang w:eastAsia="el-GR"/>
        </w:rPr>
        <w:t>200</w:t>
      </w:r>
      <w:bookmarkEnd w:id="657"/>
      <w:r w:rsidRPr="00461408">
        <w:rPr>
          <w:rFonts w:ascii="Arial" w:eastAsia="Arial" w:hAnsi="Arial" w:cs="Arial"/>
          <w:lang w:eastAsia="el-GR"/>
        </w:rPr>
        <w:t xml:space="preserve"> million loan agreement to finance the acquisition of </w:t>
      </w:r>
      <w:bookmarkStart w:id="658" w:name="XBRL_CS_1cb2bf5654af4c3aa11da2ab06d9b66c"/>
      <w:r w:rsidRPr="00461408">
        <w:rPr>
          <w:rFonts w:ascii="Arial" w:eastAsia="Arial" w:hAnsi="Arial" w:cs="Arial"/>
          <w:lang w:eastAsia="el-GR"/>
        </w:rPr>
        <w:t>9</w:t>
      </w:r>
      <w:bookmarkEnd w:id="658"/>
      <w:r w:rsidRPr="00461408">
        <w:rPr>
          <w:rFonts w:ascii="Arial" w:eastAsia="Arial" w:hAnsi="Arial" w:cs="Arial"/>
          <w:lang w:eastAsia="el-GR"/>
        </w:rPr>
        <w:t xml:space="preserve"> Ultramax vessels. The Company drew down $</w:t>
      </w:r>
      <w:bookmarkStart w:id="659" w:name="XBRL_CS_5f47762a9d5b4f3fa727c5c08b303fe2"/>
      <w:r w:rsidRPr="00461408">
        <w:rPr>
          <w:rFonts w:ascii="Arial" w:eastAsia="Arial" w:hAnsi="Arial" w:cs="Arial"/>
          <w:lang w:eastAsia="el-GR"/>
        </w:rPr>
        <w:t>197,236</w:t>
      </w:r>
      <w:bookmarkEnd w:id="659"/>
      <w:r w:rsidRPr="00461408">
        <w:rPr>
          <w:rFonts w:ascii="Arial" w:eastAsia="Arial" w:hAnsi="Arial" w:cs="Arial"/>
          <w:lang w:eastAsia="el-GR"/>
        </w:rPr>
        <w:t xml:space="preserve"> under the loan, in tranches for each vessel on their delivery to the Company and in December 2022 prepaid $</w:t>
      </w:r>
      <w:bookmarkStart w:id="660" w:name="XBRL_CS_00b7fca4044e4aec910dbfa468ca5ffe"/>
      <w:r w:rsidRPr="00461408">
        <w:rPr>
          <w:rFonts w:ascii="Arial" w:eastAsia="Arial" w:hAnsi="Arial" w:cs="Arial"/>
          <w:lang w:eastAsia="el-GR"/>
        </w:rPr>
        <w:t>21,937</w:t>
      </w:r>
      <w:bookmarkEnd w:id="660"/>
      <w:r w:rsidRPr="00461408">
        <w:rPr>
          <w:rFonts w:ascii="Arial" w:eastAsia="Arial" w:hAnsi="Arial" w:cs="Arial"/>
          <w:lang w:eastAsia="el-GR"/>
        </w:rPr>
        <w:t xml:space="preserve"> due to a vessel sale and leaseback transaction. The loan was repayable in equal quarterly instalments of an aggregate amount of $</w:t>
      </w:r>
      <w:bookmarkStart w:id="661" w:name="XBRL_CS_8bac1546fa4840bc95b9c594e285d48a"/>
      <w:r w:rsidRPr="00461408">
        <w:rPr>
          <w:rFonts w:ascii="Arial" w:eastAsia="Arial" w:hAnsi="Arial" w:cs="Arial"/>
          <w:lang w:eastAsia="el-GR"/>
        </w:rPr>
        <w:t>3,719</w:t>
      </w:r>
      <w:bookmarkEnd w:id="661"/>
      <w:r w:rsidRPr="00461408">
        <w:rPr>
          <w:rFonts w:ascii="Arial" w:eastAsia="Arial" w:hAnsi="Arial" w:cs="Arial"/>
          <w:lang w:eastAsia="el-GR"/>
        </w:rPr>
        <w:t>, and a balloon of $</w:t>
      </w:r>
      <w:bookmarkStart w:id="662" w:name="XBRL_CS_478ef45c58514137b94defca3a22e26d"/>
      <w:r w:rsidRPr="00461408">
        <w:rPr>
          <w:rFonts w:ascii="Arial" w:eastAsia="Arial" w:hAnsi="Arial" w:cs="Arial"/>
          <w:lang w:eastAsia="el-GR"/>
        </w:rPr>
        <w:t>100,912</w:t>
      </w:r>
      <w:bookmarkEnd w:id="662"/>
      <w:r w:rsidRPr="00461408">
        <w:rPr>
          <w:rFonts w:ascii="Arial" w:eastAsia="Arial" w:hAnsi="Arial" w:cs="Arial"/>
          <w:lang w:eastAsia="el-GR"/>
        </w:rPr>
        <w:t xml:space="preserve"> payable together with the last instalment on </w:t>
      </w:r>
      <w:bookmarkStart w:id="663" w:name="XBRL_CS_33f7c0cbc77243dc9a990846058dcea9"/>
      <w:r w:rsidRPr="00461408">
        <w:rPr>
          <w:rFonts w:ascii="Arial" w:eastAsia="Arial" w:hAnsi="Arial" w:cs="Arial"/>
          <w:lang w:eastAsia="el-GR"/>
        </w:rPr>
        <w:t>October 11, 2027</w:t>
      </w:r>
      <w:bookmarkEnd w:id="663"/>
      <w:r w:rsidRPr="00461408">
        <w:rPr>
          <w:rFonts w:ascii="Arial" w:eastAsia="Arial" w:hAnsi="Arial" w:cs="Arial"/>
          <w:lang w:eastAsia="el-GR"/>
        </w:rPr>
        <w:t>.</w:t>
      </w:r>
    </w:p>
    <w:p w14:paraId="71F3F7BE" w14:textId="77777777" w:rsidR="00461408" w:rsidRDefault="00461408" w:rsidP="005D5F46">
      <w:pPr>
        <w:pStyle w:val="Notesbody"/>
        <w:widowControl w:val="0"/>
        <w:pBdr>
          <w:top w:val="nil"/>
          <w:left w:val="nil"/>
          <w:bottom w:val="nil"/>
          <w:right w:val="nil"/>
          <w:between w:val="nil"/>
          <w:bar w:val="nil"/>
        </w:pBdr>
        <w:rPr>
          <w:rFonts w:ascii="Arial" w:eastAsia="Arial" w:hAnsi="Arial" w:cs="Arial"/>
          <w:bdr w:val="nil"/>
        </w:rPr>
      </w:pPr>
    </w:p>
    <w:p w14:paraId="71F3F7BF" w14:textId="77777777" w:rsidR="0030153D"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30153D">
        <w:rPr>
          <w:rFonts w:ascii="Arial" w:eastAsia="Arial" w:hAnsi="Arial" w:cs="Arial"/>
          <w:lang w:eastAsia="el-GR"/>
        </w:rPr>
        <w:t>On June 27, 2023, the Company drew down $</w:t>
      </w:r>
      <w:bookmarkStart w:id="664" w:name="XBRL_CS_bfa517eaf25840f6b86af499887a7b59"/>
      <w:r w:rsidRPr="0030153D">
        <w:rPr>
          <w:rFonts w:ascii="Arial" w:eastAsia="Arial" w:hAnsi="Arial" w:cs="Arial"/>
          <w:lang w:eastAsia="el-GR"/>
        </w:rPr>
        <w:t>22,500</w:t>
      </w:r>
      <w:bookmarkEnd w:id="664"/>
      <w:r w:rsidRPr="0030153D">
        <w:rPr>
          <w:rFonts w:ascii="Arial" w:eastAsia="Arial" w:hAnsi="Arial" w:cs="Arial"/>
          <w:lang w:eastAsia="el-GR"/>
        </w:rPr>
        <w:t xml:space="preserve"> under a secured loan agreement and prepaid in full the outstanding balance of an existing loan amounting to $</w:t>
      </w:r>
      <w:bookmarkStart w:id="665" w:name="XBRL_CS_7f261324556d47f08befe739bb25c874"/>
      <w:r w:rsidRPr="0030153D">
        <w:rPr>
          <w:rFonts w:ascii="Arial" w:eastAsia="Arial" w:hAnsi="Arial" w:cs="Arial"/>
          <w:lang w:eastAsia="el-GR"/>
        </w:rPr>
        <w:t>20,934</w:t>
      </w:r>
      <w:bookmarkEnd w:id="665"/>
      <w:r w:rsidRPr="0030153D">
        <w:rPr>
          <w:rFonts w:ascii="Arial" w:eastAsia="Arial" w:hAnsi="Arial" w:cs="Arial"/>
          <w:lang w:eastAsia="el-GR"/>
        </w:rPr>
        <w:t xml:space="preserve"> and recorded a loss on debt extinguishment amounting to $</w:t>
      </w:r>
      <w:bookmarkStart w:id="666" w:name="XBRL_CS_d0816a6b5cdf42b09cb19540b79dbb60"/>
      <w:r w:rsidRPr="0030153D">
        <w:rPr>
          <w:rFonts w:ascii="Arial" w:eastAsia="Arial" w:hAnsi="Arial" w:cs="Arial"/>
          <w:lang w:eastAsia="el-GR"/>
        </w:rPr>
        <w:t>220</w:t>
      </w:r>
      <w:bookmarkEnd w:id="666"/>
      <w:r w:rsidRPr="0030153D">
        <w:rPr>
          <w:rFonts w:ascii="Arial" w:eastAsia="Arial" w:hAnsi="Arial" w:cs="Arial"/>
          <w:lang w:eastAsia="el-GR"/>
        </w:rPr>
        <w:t xml:space="preserve">. The loan, maturing on </w:t>
      </w:r>
      <w:bookmarkStart w:id="667" w:name="XBRL_CS_5fdf2a2b02aa494a82d054eec86d047e"/>
      <w:r w:rsidRPr="0030153D">
        <w:rPr>
          <w:rFonts w:ascii="Arial" w:eastAsia="Arial" w:hAnsi="Arial" w:cs="Arial"/>
          <w:lang w:eastAsia="el-GR"/>
        </w:rPr>
        <w:t>June 27, 2028</w:t>
      </w:r>
      <w:bookmarkEnd w:id="667"/>
      <w:r w:rsidRPr="0030153D">
        <w:rPr>
          <w:rFonts w:ascii="Arial" w:eastAsia="Arial" w:hAnsi="Arial" w:cs="Arial"/>
          <w:lang w:eastAsia="el-GR"/>
        </w:rPr>
        <w:t xml:space="preserve"> was repayable in equal quarterly instalments of $</w:t>
      </w:r>
      <w:bookmarkStart w:id="668" w:name="XBRL_CS_ab51123fa6d4491eb16e0bc7ea26663e"/>
      <w:r w:rsidRPr="0030153D">
        <w:rPr>
          <w:rFonts w:ascii="Arial" w:eastAsia="Arial" w:hAnsi="Arial" w:cs="Arial"/>
          <w:lang w:eastAsia="el-GR"/>
        </w:rPr>
        <w:t>1,125</w:t>
      </w:r>
      <w:bookmarkEnd w:id="668"/>
      <w:r w:rsidRPr="0030153D">
        <w:rPr>
          <w:rFonts w:ascii="Arial" w:eastAsia="Arial" w:hAnsi="Arial" w:cs="Arial"/>
          <w:lang w:eastAsia="el-GR"/>
        </w:rPr>
        <w:t>.</w:t>
      </w:r>
    </w:p>
    <w:p w14:paraId="71F3F7C0" w14:textId="77777777" w:rsidR="0030153D" w:rsidRDefault="0030153D" w:rsidP="005D5F46">
      <w:pPr>
        <w:pStyle w:val="Notesbody"/>
        <w:widowControl w:val="0"/>
        <w:pBdr>
          <w:top w:val="nil"/>
          <w:left w:val="nil"/>
          <w:bottom w:val="nil"/>
          <w:right w:val="nil"/>
          <w:between w:val="nil"/>
          <w:bar w:val="nil"/>
        </w:pBdr>
        <w:rPr>
          <w:rFonts w:ascii="Arial" w:eastAsia="Arial" w:hAnsi="Arial" w:cs="Arial"/>
          <w:bdr w:val="nil"/>
        </w:rPr>
      </w:pPr>
    </w:p>
    <w:p w14:paraId="71F3F7C1" w14:textId="77777777" w:rsidR="005D5F46"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287EB6">
        <w:rPr>
          <w:rFonts w:ascii="Arial" w:eastAsia="Arial" w:hAnsi="Arial" w:cs="Arial"/>
          <w:lang w:eastAsia="el-GR"/>
        </w:rPr>
        <w:t xml:space="preserve">On </w:t>
      </w:r>
      <w:r>
        <w:rPr>
          <w:rFonts w:ascii="Arial" w:eastAsia="Arial" w:hAnsi="Arial" w:cs="Arial"/>
          <w:lang w:eastAsia="el-GR"/>
        </w:rPr>
        <w:t>July</w:t>
      </w:r>
      <w:r w:rsidRPr="00287EB6">
        <w:rPr>
          <w:rFonts w:ascii="Arial" w:eastAsia="Arial" w:hAnsi="Arial" w:cs="Arial"/>
          <w:lang w:eastAsia="el-GR"/>
        </w:rPr>
        <w:t xml:space="preserve"> 2</w:t>
      </w:r>
      <w:r>
        <w:rPr>
          <w:rFonts w:ascii="Arial" w:eastAsia="Arial" w:hAnsi="Arial" w:cs="Arial"/>
          <w:lang w:eastAsia="el-GR"/>
        </w:rPr>
        <w:t>5</w:t>
      </w:r>
      <w:r w:rsidRPr="00287EB6">
        <w:rPr>
          <w:rFonts w:ascii="Arial" w:eastAsia="Arial" w:hAnsi="Arial" w:cs="Arial"/>
          <w:lang w:eastAsia="el-GR"/>
        </w:rPr>
        <w:t>, 202</w:t>
      </w:r>
      <w:r>
        <w:rPr>
          <w:rFonts w:ascii="Arial" w:eastAsia="Arial" w:hAnsi="Arial" w:cs="Arial"/>
          <w:lang w:eastAsia="el-GR"/>
        </w:rPr>
        <w:t>4</w:t>
      </w:r>
      <w:r w:rsidRPr="00287EB6">
        <w:rPr>
          <w:rFonts w:ascii="Arial" w:eastAsia="Arial" w:hAnsi="Arial" w:cs="Arial"/>
          <w:lang w:eastAsia="el-GR"/>
        </w:rPr>
        <w:t>, the Company entered into a</w:t>
      </w:r>
      <w:r w:rsidR="00A05A35">
        <w:rPr>
          <w:rFonts w:ascii="Arial" w:eastAsia="Arial" w:hAnsi="Arial" w:cs="Arial"/>
          <w:lang w:eastAsia="el-GR"/>
        </w:rPr>
        <w:t>nd drew a</w:t>
      </w:r>
      <w:r w:rsidRPr="00287EB6">
        <w:rPr>
          <w:rFonts w:ascii="Arial" w:eastAsia="Arial" w:hAnsi="Arial" w:cs="Arial"/>
          <w:lang w:eastAsia="el-GR"/>
        </w:rPr>
        <w:t xml:space="preserve"> $</w:t>
      </w:r>
      <w:bookmarkStart w:id="669" w:name="XBRL_CS_22fe611ebeb941cdaa4f58794386d29a"/>
      <w:r>
        <w:rPr>
          <w:rFonts w:ascii="Arial" w:eastAsia="Arial" w:hAnsi="Arial" w:cs="Arial"/>
          <w:lang w:eastAsia="el-GR"/>
        </w:rPr>
        <w:t>167</w:t>
      </w:r>
      <w:r w:rsidRPr="00287EB6">
        <w:rPr>
          <w:rFonts w:ascii="Arial" w:eastAsia="Arial" w:hAnsi="Arial" w:cs="Arial"/>
          <w:lang w:eastAsia="el-GR"/>
        </w:rPr>
        <w:t>,</w:t>
      </w:r>
      <w:r>
        <w:rPr>
          <w:rFonts w:ascii="Arial" w:eastAsia="Arial" w:hAnsi="Arial" w:cs="Arial"/>
          <w:lang w:eastAsia="el-GR"/>
        </w:rPr>
        <w:t>263</w:t>
      </w:r>
      <w:bookmarkEnd w:id="669"/>
      <w:r w:rsidRPr="00287EB6">
        <w:rPr>
          <w:rFonts w:ascii="Arial" w:eastAsia="Arial" w:hAnsi="Arial" w:cs="Arial"/>
          <w:lang w:eastAsia="el-GR"/>
        </w:rPr>
        <w:t xml:space="preserve"> loan agreement, to refinance the balance of the</w:t>
      </w:r>
      <w:r>
        <w:rPr>
          <w:rFonts w:ascii="Arial" w:eastAsia="Arial" w:hAnsi="Arial" w:cs="Arial"/>
          <w:lang w:eastAsia="el-GR"/>
        </w:rPr>
        <w:t xml:space="preserve"> then outstanding</w:t>
      </w:r>
      <w:r w:rsidRPr="00287EB6">
        <w:rPr>
          <w:rFonts w:ascii="Arial" w:eastAsia="Arial" w:hAnsi="Arial" w:cs="Arial"/>
          <w:lang w:eastAsia="el-GR"/>
        </w:rPr>
        <w:t xml:space="preserve"> </w:t>
      </w:r>
      <w:r>
        <w:rPr>
          <w:rFonts w:ascii="Arial" w:eastAsia="Arial" w:hAnsi="Arial" w:cs="Arial"/>
          <w:lang w:eastAsia="el-GR"/>
        </w:rPr>
        <w:t>loans.</w:t>
      </w:r>
      <w:r w:rsidRPr="00287EB6">
        <w:rPr>
          <w:rFonts w:ascii="Arial" w:eastAsia="Arial" w:hAnsi="Arial" w:cs="Arial"/>
          <w:lang w:eastAsia="el-GR"/>
        </w:rPr>
        <w:t xml:space="preserve"> The loan is repayable in equal quarterly instalments of $</w:t>
      </w:r>
      <w:bookmarkStart w:id="670" w:name="XBRL_CS_01399157daf546479a50cf31c93adaff"/>
      <w:r>
        <w:rPr>
          <w:rFonts w:ascii="Arial" w:eastAsia="Arial" w:hAnsi="Arial" w:cs="Arial"/>
          <w:lang w:eastAsia="el-GR"/>
        </w:rPr>
        <w:t>4</w:t>
      </w:r>
      <w:r w:rsidRPr="00287EB6">
        <w:rPr>
          <w:rFonts w:ascii="Arial" w:eastAsia="Arial" w:hAnsi="Arial" w:cs="Arial"/>
          <w:lang w:eastAsia="el-GR"/>
        </w:rPr>
        <w:t>,</w:t>
      </w:r>
      <w:r>
        <w:rPr>
          <w:rFonts w:ascii="Arial" w:eastAsia="Arial" w:hAnsi="Arial" w:cs="Arial"/>
          <w:lang w:eastAsia="el-GR"/>
        </w:rPr>
        <w:t>454</w:t>
      </w:r>
      <w:bookmarkEnd w:id="670"/>
      <w:r>
        <w:rPr>
          <w:rFonts w:ascii="Arial" w:eastAsia="Arial" w:hAnsi="Arial" w:cs="Arial"/>
          <w:lang w:eastAsia="el-GR"/>
        </w:rPr>
        <w:t xml:space="preserve"> and a balloon instalment of $</w:t>
      </w:r>
      <w:bookmarkStart w:id="671" w:name="XBRL_CS_c585a7010dbc4bf2b1442997ef46533b"/>
      <w:r>
        <w:rPr>
          <w:rFonts w:ascii="Arial" w:eastAsia="Arial" w:hAnsi="Arial" w:cs="Arial"/>
          <w:lang w:eastAsia="el-GR"/>
        </w:rPr>
        <w:t>64,827</w:t>
      </w:r>
      <w:bookmarkEnd w:id="671"/>
      <w:r>
        <w:rPr>
          <w:rFonts w:ascii="Arial" w:eastAsia="Arial" w:hAnsi="Arial" w:cs="Arial"/>
          <w:lang w:eastAsia="el-GR"/>
        </w:rPr>
        <w:t xml:space="preserve"> payable on </w:t>
      </w:r>
      <w:bookmarkStart w:id="672" w:name="XBRL_CS_1f7ad62fbcfa4c84bd14d3acf41c4950"/>
      <w:r>
        <w:rPr>
          <w:rFonts w:ascii="Arial" w:eastAsia="Arial" w:hAnsi="Arial" w:cs="Arial"/>
          <w:lang w:eastAsia="el-GR"/>
        </w:rPr>
        <w:t>July 25,</w:t>
      </w:r>
      <w:r w:rsidR="00DE77B6" w:rsidRPr="00287EB6">
        <w:rPr>
          <w:rFonts w:ascii="Arial" w:eastAsia="Arial" w:hAnsi="Arial" w:cs="Arial"/>
          <w:lang w:eastAsia="el-GR"/>
        </w:rPr>
        <w:t xml:space="preserve"> 20</w:t>
      </w:r>
      <w:r w:rsidR="00DE77B6">
        <w:rPr>
          <w:rFonts w:ascii="Arial" w:eastAsia="Arial" w:hAnsi="Arial" w:cs="Arial"/>
          <w:lang w:eastAsia="el-GR"/>
        </w:rPr>
        <w:t>30</w:t>
      </w:r>
      <w:bookmarkEnd w:id="672"/>
      <w:r>
        <w:rPr>
          <w:rFonts w:ascii="Arial" w:eastAsia="Arial" w:hAnsi="Arial" w:cs="Arial"/>
          <w:lang w:eastAsia="el-GR"/>
        </w:rPr>
        <w:t>.</w:t>
      </w:r>
      <w:r w:rsidRPr="00287EB6">
        <w:rPr>
          <w:rFonts w:ascii="Arial" w:eastAsia="Arial" w:hAnsi="Arial" w:cs="Arial"/>
          <w:lang w:eastAsia="el-GR"/>
        </w:rPr>
        <w:t xml:space="preserve"> </w:t>
      </w:r>
    </w:p>
    <w:p w14:paraId="71F3F7C2" w14:textId="77777777" w:rsidR="00287EB6" w:rsidRPr="00C435AD" w:rsidRDefault="00287EB6" w:rsidP="005D5F46">
      <w:pPr>
        <w:pStyle w:val="Notesbody"/>
        <w:widowControl w:val="0"/>
        <w:pBdr>
          <w:top w:val="nil"/>
          <w:left w:val="nil"/>
          <w:bottom w:val="nil"/>
          <w:right w:val="nil"/>
          <w:between w:val="nil"/>
          <w:bar w:val="nil"/>
        </w:pBdr>
        <w:rPr>
          <w:rFonts w:ascii="Arial" w:eastAsia="Arial" w:hAnsi="Arial" w:cs="Arial"/>
          <w:bdr w:val="nil"/>
        </w:rPr>
      </w:pPr>
    </w:p>
    <w:p w14:paraId="71F3F7C3" w14:textId="77777777" w:rsidR="005D5F46"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b/>
          <w:i/>
          <w:lang w:eastAsia="el-GR"/>
        </w:rPr>
        <w:t>Export-Import Bank of China:</w:t>
      </w:r>
      <w:r w:rsidRPr="00C435AD">
        <w:rPr>
          <w:rFonts w:ascii="Arial" w:eastAsia="Arial" w:hAnsi="Arial" w:cs="Arial"/>
          <w:lang w:eastAsia="el-GR"/>
        </w:rPr>
        <w:t xml:space="preserve"> On January 4, 2017, the Company drew down $</w:t>
      </w:r>
      <w:bookmarkStart w:id="673" w:name="XBRL_CS_c6c9314083fd445dba09daf666be68f7"/>
      <w:r w:rsidRPr="00C435AD">
        <w:rPr>
          <w:rFonts w:ascii="Arial" w:eastAsia="Arial" w:hAnsi="Arial" w:cs="Arial"/>
          <w:lang w:eastAsia="el-GR"/>
        </w:rPr>
        <w:t>57,240</w:t>
      </w:r>
      <w:bookmarkEnd w:id="673"/>
      <w:r w:rsidRPr="00C435AD">
        <w:rPr>
          <w:rFonts w:ascii="Arial" w:eastAsia="Arial" w:hAnsi="Arial" w:cs="Arial"/>
          <w:lang w:eastAsia="el-GR"/>
        </w:rPr>
        <w:t xml:space="preserve"> under a secured loan agreement, which is repayable in equal quarterly </w:t>
      </w:r>
      <w:r w:rsidR="007E2ACE" w:rsidRPr="00C435AD">
        <w:rPr>
          <w:rFonts w:ascii="Arial" w:eastAsia="Arial" w:hAnsi="Arial" w:cs="Arial"/>
          <w:lang w:eastAsia="el-GR"/>
        </w:rPr>
        <w:t>instalment</w:t>
      </w:r>
      <w:r w:rsidRPr="00C435AD">
        <w:rPr>
          <w:rFonts w:ascii="Arial" w:eastAsia="Arial" w:hAnsi="Arial" w:cs="Arial"/>
          <w:lang w:eastAsia="el-GR"/>
        </w:rPr>
        <w:t>s of $</w:t>
      </w:r>
      <w:bookmarkStart w:id="674" w:name="XBRL_CS_d8202a7900614d429c4cca243fe8ad31"/>
      <w:r w:rsidRPr="00C435AD">
        <w:rPr>
          <w:rFonts w:ascii="Arial" w:eastAsia="Arial" w:hAnsi="Arial" w:cs="Arial"/>
          <w:lang w:eastAsia="el-GR"/>
        </w:rPr>
        <w:t>954</w:t>
      </w:r>
      <w:bookmarkEnd w:id="674"/>
      <w:r w:rsidRPr="00C435AD">
        <w:rPr>
          <w:rFonts w:ascii="Arial" w:eastAsia="Arial" w:hAnsi="Arial" w:cs="Arial"/>
          <w:lang w:eastAsia="el-GR"/>
        </w:rPr>
        <w:t xml:space="preserve">, each, until its maturity on </w:t>
      </w:r>
      <w:bookmarkStart w:id="675" w:name="XBRL_CS_417bd0d1f05245fb986c4b5eab3b976e"/>
      <w:r w:rsidRPr="00C435AD">
        <w:rPr>
          <w:rFonts w:ascii="Arial" w:eastAsia="Arial" w:hAnsi="Arial" w:cs="Arial"/>
          <w:lang w:eastAsia="el-GR"/>
        </w:rPr>
        <w:t>January 4, 2032</w:t>
      </w:r>
      <w:bookmarkEnd w:id="675"/>
      <w:r>
        <w:rPr>
          <w:rFonts w:ascii="Arial" w:eastAsia="Arial" w:hAnsi="Arial" w:cs="Arial"/>
          <w:lang w:eastAsia="el-GR"/>
        </w:rPr>
        <w:t>.</w:t>
      </w:r>
    </w:p>
    <w:p w14:paraId="71F3F7C4" w14:textId="77777777" w:rsidR="005D5F46" w:rsidRPr="00C435AD" w:rsidRDefault="005D5F46" w:rsidP="005D5F46">
      <w:pPr>
        <w:pStyle w:val="Notesbody"/>
        <w:widowControl w:val="0"/>
        <w:pBdr>
          <w:top w:val="nil"/>
          <w:left w:val="nil"/>
          <w:bottom w:val="nil"/>
          <w:right w:val="nil"/>
          <w:between w:val="nil"/>
          <w:bar w:val="nil"/>
        </w:pBdr>
        <w:rPr>
          <w:rFonts w:ascii="Arial" w:eastAsia="Arial" w:hAnsi="Arial" w:cs="Arial"/>
          <w:bdr w:val="nil"/>
        </w:rPr>
      </w:pPr>
    </w:p>
    <w:p w14:paraId="71F3F7C5" w14:textId="77777777" w:rsidR="0010332A" w:rsidRDefault="003A4815" w:rsidP="005D5F46">
      <w:pPr>
        <w:pStyle w:val="Notesbody"/>
        <w:widowControl w:val="0"/>
        <w:pBdr>
          <w:top w:val="nil"/>
          <w:left w:val="nil"/>
          <w:bottom w:val="nil"/>
          <w:right w:val="nil"/>
          <w:between w:val="nil"/>
          <w:bar w:val="nil"/>
        </w:pBdr>
        <w:rPr>
          <w:rFonts w:ascii="Arial" w:eastAsia="Arial" w:hAnsi="Arial" w:cs="Arial"/>
          <w:bdr w:val="nil"/>
          <w:lang w:val="en-GB"/>
        </w:rPr>
      </w:pPr>
      <w:r w:rsidRPr="00C435AD">
        <w:rPr>
          <w:rFonts w:ascii="Arial" w:eastAsia="Arial" w:hAnsi="Arial" w:cs="Arial"/>
          <w:b/>
          <w:i/>
          <w:bdr w:val="none" w:sz="0" w:space="0" w:color="auto" w:frame="1"/>
          <w:lang w:eastAsia="el-GR"/>
        </w:rPr>
        <w:t>DNB Bank ASA</w:t>
      </w:r>
      <w:r>
        <w:rPr>
          <w:rFonts w:ascii="Arial" w:eastAsia="Arial" w:hAnsi="Arial" w:cs="Arial"/>
          <w:b/>
          <w:i/>
          <w:bdr w:val="none" w:sz="0" w:space="0" w:color="auto" w:frame="1"/>
          <w:lang w:eastAsia="el-GR"/>
        </w:rPr>
        <w:t xml:space="preserve"> or DNB</w:t>
      </w:r>
      <w:r w:rsidRPr="00C435AD">
        <w:rPr>
          <w:rFonts w:ascii="Arial" w:eastAsia="Arial" w:hAnsi="Arial" w:cs="Arial"/>
          <w:b/>
          <w:i/>
          <w:bdr w:val="none" w:sz="0" w:space="0" w:color="auto" w:frame="1"/>
          <w:lang w:eastAsia="el-GR"/>
        </w:rPr>
        <w:t>:</w:t>
      </w:r>
      <w:r w:rsidRPr="00C435AD">
        <w:rPr>
          <w:rFonts w:ascii="Arial" w:eastAsia="Arial" w:hAnsi="Arial" w:cs="Arial"/>
          <w:bdr w:val="none" w:sz="0" w:space="0" w:color="auto" w:frame="1"/>
          <w:lang w:eastAsia="el-GR"/>
        </w:rPr>
        <w:t xml:space="preserve"> </w:t>
      </w:r>
      <w:r>
        <w:rPr>
          <w:rFonts w:ascii="Arial" w:eastAsia="Arial" w:hAnsi="Arial" w:cs="Arial"/>
          <w:szCs w:val="20"/>
          <w:lang w:val="en-GB" w:eastAsia="el-GR"/>
        </w:rPr>
        <w:t>On June 26, 2023, the Company entered into a $</w:t>
      </w:r>
      <w:bookmarkStart w:id="676" w:name="XBRL_CS_32f0d7c56df047aab425cc387ae5e82b"/>
      <w:r>
        <w:rPr>
          <w:rFonts w:ascii="Arial" w:eastAsia="Arial" w:hAnsi="Arial" w:cs="Arial"/>
          <w:szCs w:val="20"/>
          <w:lang w:val="en-GB" w:eastAsia="el-GR"/>
        </w:rPr>
        <w:t>100,000</w:t>
      </w:r>
      <w:bookmarkEnd w:id="676"/>
      <w:r>
        <w:rPr>
          <w:rFonts w:ascii="Arial" w:eastAsia="Arial" w:hAnsi="Arial" w:cs="Arial"/>
          <w:szCs w:val="20"/>
          <w:lang w:val="en-GB" w:eastAsia="el-GR"/>
        </w:rPr>
        <w:t xml:space="preserve"> sustainability linked loan agreement which was drawn on June 27, </w:t>
      </w:r>
      <w:r w:rsidR="00DF0660">
        <w:rPr>
          <w:rFonts w:ascii="Arial" w:eastAsia="Arial" w:hAnsi="Arial" w:cs="Arial"/>
          <w:szCs w:val="20"/>
          <w:lang w:val="en-GB" w:eastAsia="el-GR"/>
        </w:rPr>
        <w:t>2023,</w:t>
      </w:r>
      <w:r>
        <w:rPr>
          <w:rFonts w:ascii="Arial" w:eastAsia="Arial" w:hAnsi="Arial" w:cs="Arial"/>
          <w:szCs w:val="20"/>
          <w:lang w:val="en-GB" w:eastAsia="el-GR"/>
        </w:rPr>
        <w:t xml:space="preserve"> to refinance the outstanding balance </w:t>
      </w:r>
      <w:r w:rsidR="00DE77B6">
        <w:rPr>
          <w:rFonts w:ascii="Arial" w:eastAsia="Arial" w:hAnsi="Arial" w:cs="Arial"/>
          <w:szCs w:val="20"/>
          <w:lang w:val="en-GB" w:eastAsia="el-GR"/>
        </w:rPr>
        <w:t>of another loan</w:t>
      </w:r>
      <w:r>
        <w:rPr>
          <w:rFonts w:ascii="Arial" w:eastAsia="Arial" w:hAnsi="Arial" w:cs="Arial"/>
          <w:szCs w:val="20"/>
          <w:lang w:val="en-GB" w:eastAsia="el-GR"/>
        </w:rPr>
        <w:t xml:space="preserve"> and for working capital purposes. The loan is repayable in equal quarterly instalments of $</w:t>
      </w:r>
      <w:bookmarkStart w:id="677" w:name="XBRL_CS_f59844b1bf0b4a2bbdeb561fb8bb6041"/>
      <w:r>
        <w:rPr>
          <w:rFonts w:ascii="Arial" w:eastAsia="Arial" w:hAnsi="Arial" w:cs="Arial"/>
          <w:szCs w:val="20"/>
          <w:lang w:val="en-GB" w:eastAsia="el-GR"/>
        </w:rPr>
        <w:t>3,846</w:t>
      </w:r>
      <w:bookmarkEnd w:id="677"/>
      <w:r>
        <w:rPr>
          <w:rFonts w:ascii="Arial" w:eastAsia="Arial" w:hAnsi="Arial" w:cs="Arial"/>
          <w:szCs w:val="20"/>
          <w:lang w:val="en-GB" w:eastAsia="el-GR"/>
        </w:rPr>
        <w:t xml:space="preserve"> until </w:t>
      </w:r>
      <w:bookmarkStart w:id="678" w:name="XBRL_CS_f378562e72ec474c8ce2069342d58935"/>
      <w:r>
        <w:rPr>
          <w:rFonts w:ascii="Arial" w:eastAsia="Arial" w:hAnsi="Arial" w:cs="Arial"/>
          <w:szCs w:val="20"/>
          <w:lang w:val="en-GB" w:eastAsia="el-GR"/>
        </w:rPr>
        <w:t xml:space="preserve">December 27, </w:t>
      </w:r>
      <w:r w:rsidR="00DF0660">
        <w:rPr>
          <w:rFonts w:ascii="Arial" w:eastAsia="Arial" w:hAnsi="Arial" w:cs="Arial"/>
          <w:szCs w:val="20"/>
          <w:lang w:val="en-GB" w:eastAsia="el-GR"/>
        </w:rPr>
        <w:t>2029</w:t>
      </w:r>
      <w:bookmarkEnd w:id="678"/>
      <w:r w:rsidR="00DF0660">
        <w:rPr>
          <w:rFonts w:ascii="Arial" w:eastAsia="Arial" w:hAnsi="Arial" w:cs="Arial"/>
          <w:szCs w:val="20"/>
          <w:lang w:val="en-GB" w:eastAsia="el-GR"/>
        </w:rPr>
        <w:t xml:space="preserve">. </w:t>
      </w:r>
      <w:r w:rsidR="006E7490">
        <w:rPr>
          <w:rFonts w:ascii="Arial" w:eastAsia="Arial" w:hAnsi="Arial" w:cs="Arial"/>
          <w:szCs w:val="20"/>
          <w:lang w:val="en-GB" w:eastAsia="el-GR"/>
        </w:rPr>
        <w:t>T</w:t>
      </w:r>
      <w:r w:rsidR="00DF0660">
        <w:rPr>
          <w:rFonts w:ascii="Arial" w:eastAsia="Arial" w:hAnsi="Arial" w:cs="Arial"/>
          <w:szCs w:val="20"/>
          <w:lang w:val="en-GB" w:eastAsia="el-GR"/>
        </w:rPr>
        <w:t>he loan is subject to a margin reset</w:t>
      </w:r>
      <w:r>
        <w:rPr>
          <w:rFonts w:ascii="Arial" w:eastAsia="Arial" w:hAnsi="Arial" w:cs="Arial"/>
          <w:szCs w:val="20"/>
          <w:lang w:val="en-GB" w:eastAsia="el-GR"/>
        </w:rPr>
        <w:t xml:space="preserve"> and u</w:t>
      </w:r>
      <w:r w:rsidR="00DF0660">
        <w:rPr>
          <w:rFonts w:ascii="Arial" w:eastAsia="Arial" w:hAnsi="Arial" w:cs="Arial"/>
          <w:szCs w:val="20"/>
          <w:lang w:val="en-GB" w:eastAsia="el-GR"/>
        </w:rPr>
        <w:t>nless the parties agree on a new margin, the loan will be mandatorily repayable on June 27, 202</w:t>
      </w:r>
      <w:r w:rsidR="00805FA4">
        <w:rPr>
          <w:rFonts w:ascii="Arial" w:eastAsia="Arial" w:hAnsi="Arial" w:cs="Arial"/>
          <w:szCs w:val="20"/>
          <w:lang w:val="en-GB" w:eastAsia="el-GR"/>
        </w:rPr>
        <w:t>7</w:t>
      </w:r>
      <w:r w:rsidR="00DF0660">
        <w:rPr>
          <w:rFonts w:ascii="Arial" w:eastAsia="Arial" w:hAnsi="Arial" w:cs="Arial"/>
          <w:szCs w:val="20"/>
          <w:lang w:val="en-GB" w:eastAsia="el-GR"/>
        </w:rPr>
        <w:t>.</w:t>
      </w:r>
      <w:r w:rsidR="00061C3C">
        <w:rPr>
          <w:rFonts w:ascii="Arial" w:eastAsia="Arial" w:hAnsi="Arial" w:cs="Arial"/>
          <w:szCs w:val="20"/>
          <w:lang w:val="en-GB" w:eastAsia="el-GR"/>
        </w:rPr>
        <w:t xml:space="preserve"> </w:t>
      </w:r>
      <w:r>
        <w:rPr>
          <w:rFonts w:ascii="Arial" w:eastAsia="Arial" w:hAnsi="Arial" w:cs="Arial"/>
          <w:szCs w:val="20"/>
          <w:lang w:val="en-GB" w:eastAsia="el-GR"/>
        </w:rPr>
        <w:t>O</w:t>
      </w:r>
      <w:r w:rsidR="00061C3C">
        <w:rPr>
          <w:rFonts w:ascii="Arial" w:eastAsia="Arial" w:hAnsi="Arial" w:cs="Arial"/>
          <w:szCs w:val="20"/>
          <w:lang w:val="en-GB" w:eastAsia="el-GR"/>
        </w:rPr>
        <w:t xml:space="preserve">n </w:t>
      </w:r>
      <w:r w:rsidR="00C6486A">
        <w:rPr>
          <w:rFonts w:ascii="Arial" w:eastAsia="Arial" w:hAnsi="Arial" w:cs="Arial"/>
          <w:szCs w:val="20"/>
          <w:lang w:val="en-GB" w:eastAsia="el-GR"/>
        </w:rPr>
        <w:t>July</w:t>
      </w:r>
      <w:r w:rsidR="00061C3C">
        <w:rPr>
          <w:rFonts w:ascii="Arial" w:eastAsia="Arial" w:hAnsi="Arial" w:cs="Arial"/>
          <w:szCs w:val="20"/>
          <w:lang w:val="en-GB" w:eastAsia="el-GR"/>
        </w:rPr>
        <w:t xml:space="preserve"> </w:t>
      </w:r>
      <w:r w:rsidR="00C6486A">
        <w:rPr>
          <w:rFonts w:ascii="Arial" w:eastAsia="Arial" w:hAnsi="Arial" w:cs="Arial"/>
          <w:szCs w:val="20"/>
          <w:lang w:val="en-GB" w:eastAsia="el-GR"/>
        </w:rPr>
        <w:t>6</w:t>
      </w:r>
      <w:r w:rsidR="00061C3C">
        <w:rPr>
          <w:rFonts w:ascii="Arial" w:eastAsia="Arial" w:hAnsi="Arial" w:cs="Arial"/>
          <w:szCs w:val="20"/>
          <w:lang w:val="en-GB" w:eastAsia="el-GR"/>
        </w:rPr>
        <w:t>, 2023, the Company</w:t>
      </w:r>
      <w:r w:rsidR="00C6486A">
        <w:rPr>
          <w:rFonts w:ascii="Arial" w:eastAsia="Arial" w:hAnsi="Arial" w:cs="Arial"/>
          <w:szCs w:val="20"/>
          <w:lang w:val="en-GB" w:eastAsia="el-GR"/>
        </w:rPr>
        <w:t xml:space="preserve"> entered into an interest rate swap </w:t>
      </w:r>
      <w:r w:rsidR="000F4C08">
        <w:rPr>
          <w:rFonts w:ascii="Arial" w:eastAsia="Arial" w:hAnsi="Arial" w:cs="Arial"/>
          <w:szCs w:val="20"/>
          <w:lang w:val="en-GB" w:eastAsia="el-GR"/>
        </w:rPr>
        <w:t xml:space="preserve">with DNB for a notional amount </w:t>
      </w:r>
      <w:r>
        <w:rPr>
          <w:rFonts w:ascii="Arial" w:eastAsia="Arial" w:hAnsi="Arial" w:cs="Arial"/>
          <w:szCs w:val="20"/>
          <w:lang w:val="en-GB" w:eastAsia="el-GR"/>
        </w:rPr>
        <w:t>for the</w:t>
      </w:r>
      <w:r w:rsidR="000F4C08">
        <w:rPr>
          <w:rFonts w:ascii="Arial" w:eastAsia="Arial" w:hAnsi="Arial" w:cs="Arial"/>
          <w:szCs w:val="20"/>
          <w:lang w:val="en-GB" w:eastAsia="el-GR"/>
        </w:rPr>
        <w:t xml:space="preserve"> </w:t>
      </w:r>
      <w:bookmarkStart w:id="679" w:name="XBRL_CS_4849e15a6ea44eeaac9a57c974dab884"/>
      <w:r w:rsidR="000F4C08">
        <w:rPr>
          <w:rFonts w:ascii="Arial" w:eastAsia="Arial" w:hAnsi="Arial" w:cs="Arial"/>
          <w:szCs w:val="20"/>
          <w:lang w:val="en-GB" w:eastAsia="el-GR"/>
        </w:rPr>
        <w:t>30</w:t>
      </w:r>
      <w:bookmarkEnd w:id="679"/>
      <w:r w:rsidR="000F4C08">
        <w:rPr>
          <w:rFonts w:ascii="Arial" w:eastAsia="Arial" w:hAnsi="Arial" w:cs="Arial"/>
          <w:szCs w:val="20"/>
          <w:lang w:val="en-GB" w:eastAsia="el-GR"/>
        </w:rPr>
        <w:t>% of the loan amount</w:t>
      </w:r>
      <w:r w:rsidR="00EB331F">
        <w:rPr>
          <w:rFonts w:ascii="Arial" w:eastAsia="Arial" w:hAnsi="Arial" w:cs="Arial"/>
          <w:szCs w:val="20"/>
          <w:lang w:val="en-GB" w:eastAsia="el-GR"/>
        </w:rPr>
        <w:t>. Under the interest rate swap</w:t>
      </w:r>
      <w:r>
        <w:rPr>
          <w:rFonts w:ascii="Arial" w:eastAsia="Arial" w:hAnsi="Arial" w:cs="Arial"/>
          <w:szCs w:val="20"/>
          <w:lang w:val="en-GB" w:eastAsia="el-GR"/>
        </w:rPr>
        <w:t xml:space="preserve">, </w:t>
      </w:r>
      <w:r w:rsidR="00EB331F">
        <w:rPr>
          <w:rFonts w:ascii="Arial" w:eastAsia="Arial" w:hAnsi="Arial" w:cs="Arial"/>
          <w:szCs w:val="20"/>
          <w:lang w:val="en-GB" w:eastAsia="el-GR"/>
        </w:rPr>
        <w:t xml:space="preserve">the Company pays a fixed rate and receives </w:t>
      </w:r>
      <w:r w:rsidR="000F4C08">
        <w:rPr>
          <w:rFonts w:ascii="Arial" w:eastAsia="Arial" w:hAnsi="Arial" w:cs="Arial"/>
          <w:szCs w:val="20"/>
          <w:lang w:val="en-GB" w:eastAsia="el-GR"/>
        </w:rPr>
        <w:t>floating under term SOFR</w:t>
      </w:r>
      <w:r>
        <w:rPr>
          <w:rFonts w:ascii="Arial" w:eastAsia="Arial" w:hAnsi="Arial" w:cs="Arial"/>
          <w:szCs w:val="20"/>
          <w:lang w:val="en-GB" w:eastAsia="el-GR"/>
        </w:rPr>
        <w:t xml:space="preserve">. The swap </w:t>
      </w:r>
      <w:r w:rsidR="006E7490">
        <w:rPr>
          <w:rFonts w:ascii="Arial" w:eastAsia="Arial" w:hAnsi="Arial" w:cs="Arial"/>
          <w:szCs w:val="20"/>
          <w:lang w:val="en-GB" w:eastAsia="el-GR"/>
        </w:rPr>
        <w:t xml:space="preserve">has a </w:t>
      </w:r>
      <w:r w:rsidR="000F4C08">
        <w:rPr>
          <w:rFonts w:ascii="Arial" w:eastAsia="Arial" w:hAnsi="Arial" w:cs="Arial"/>
          <w:szCs w:val="20"/>
          <w:lang w:val="en-GB" w:eastAsia="el-GR"/>
        </w:rPr>
        <w:t xml:space="preserve">termination date on December 27, </w:t>
      </w:r>
      <w:r>
        <w:rPr>
          <w:rFonts w:ascii="Arial" w:eastAsia="Arial" w:hAnsi="Arial" w:cs="Arial"/>
          <w:szCs w:val="20"/>
          <w:lang w:val="en-GB" w:eastAsia="el-GR"/>
        </w:rPr>
        <w:t xml:space="preserve">2029, </w:t>
      </w:r>
      <w:r w:rsidR="006E7490">
        <w:rPr>
          <w:rFonts w:ascii="Arial" w:eastAsia="Arial" w:hAnsi="Arial" w:cs="Arial"/>
          <w:szCs w:val="20"/>
          <w:lang w:val="en-GB" w:eastAsia="el-GR"/>
        </w:rPr>
        <w:t xml:space="preserve">and </w:t>
      </w:r>
      <w:r w:rsidR="000F4C08">
        <w:rPr>
          <w:rFonts w:ascii="Arial" w:eastAsia="Arial" w:hAnsi="Arial" w:cs="Arial"/>
          <w:szCs w:val="20"/>
          <w:lang w:val="en-GB" w:eastAsia="el-GR"/>
        </w:rPr>
        <w:t xml:space="preserve">a mandatory break on June 27, 2027, </w:t>
      </w:r>
      <w:r>
        <w:rPr>
          <w:rFonts w:ascii="Arial" w:eastAsia="Arial" w:hAnsi="Arial" w:cs="Arial"/>
          <w:szCs w:val="20"/>
          <w:lang w:val="en-GB" w:eastAsia="el-GR"/>
        </w:rPr>
        <w:t>according to which the swap will be terminated if the loan is prepaid.</w:t>
      </w:r>
      <w:r w:rsidR="003C16F5">
        <w:rPr>
          <w:rFonts w:ascii="Arial" w:eastAsia="Arial" w:hAnsi="Arial" w:cs="Arial"/>
          <w:szCs w:val="20"/>
          <w:lang w:val="en-GB" w:eastAsia="el-GR"/>
        </w:rPr>
        <w:t xml:space="preserve"> As of December 31, 2025</w:t>
      </w:r>
      <w:r>
        <w:rPr>
          <w:rFonts w:ascii="Arial" w:eastAsia="Arial" w:hAnsi="Arial" w:cs="Arial"/>
          <w:szCs w:val="20"/>
          <w:lang w:val="en-GB" w:eastAsia="el-GR"/>
        </w:rPr>
        <w:t xml:space="preserve"> and 2024</w:t>
      </w:r>
      <w:r w:rsidR="003C16F5">
        <w:rPr>
          <w:rFonts w:ascii="Arial" w:eastAsia="Arial" w:hAnsi="Arial" w:cs="Arial"/>
          <w:szCs w:val="20"/>
          <w:lang w:val="en-GB" w:eastAsia="el-GR"/>
        </w:rPr>
        <w:t xml:space="preserve">, the fair value of the interest rate swap </w:t>
      </w:r>
      <w:r>
        <w:rPr>
          <w:rFonts w:ascii="Arial" w:eastAsia="Arial" w:hAnsi="Arial" w:cs="Arial"/>
          <w:szCs w:val="20"/>
          <w:lang w:val="en-GB" w:eastAsia="el-GR"/>
        </w:rPr>
        <w:t xml:space="preserve">was </w:t>
      </w:r>
      <w:r w:rsidR="003C16F5">
        <w:rPr>
          <w:rFonts w:ascii="Arial" w:eastAsia="Arial" w:hAnsi="Arial" w:cs="Arial"/>
          <w:szCs w:val="20"/>
          <w:lang w:val="en-GB" w:eastAsia="el-GR"/>
        </w:rPr>
        <w:t>$</w:t>
      </w:r>
      <w:bookmarkStart w:id="680" w:name="XBRL_CS_b0028624b1e94584b63b89e64bf337e0"/>
      <w:r>
        <w:rPr>
          <w:rFonts w:ascii="Arial" w:eastAsia="Arial" w:hAnsi="Arial" w:cs="Arial"/>
          <w:szCs w:val="20"/>
          <w:lang w:val="en-GB" w:eastAsia="el-GR"/>
        </w:rPr>
        <w:t>361</w:t>
      </w:r>
      <w:bookmarkEnd w:id="680"/>
      <w:r>
        <w:rPr>
          <w:rFonts w:ascii="Arial" w:eastAsia="Arial" w:hAnsi="Arial" w:cs="Arial"/>
          <w:szCs w:val="20"/>
          <w:lang w:val="en-GB" w:eastAsia="el-GR"/>
        </w:rPr>
        <w:t xml:space="preserve"> and $</w:t>
      </w:r>
      <w:bookmarkStart w:id="681" w:name="XBRL_CS_983295d72aab4c45ac78b0ae00c2bfa3"/>
      <w:r>
        <w:rPr>
          <w:rFonts w:ascii="Arial" w:eastAsia="Arial" w:hAnsi="Arial" w:cs="Arial"/>
          <w:szCs w:val="20"/>
          <w:lang w:val="en-GB" w:eastAsia="el-GR"/>
        </w:rPr>
        <w:t>165</w:t>
      </w:r>
      <w:bookmarkEnd w:id="681"/>
      <w:r>
        <w:rPr>
          <w:rFonts w:ascii="Arial" w:eastAsia="Arial" w:hAnsi="Arial" w:cs="Arial"/>
          <w:szCs w:val="20"/>
          <w:lang w:val="en-GB" w:eastAsia="el-GR"/>
        </w:rPr>
        <w:t>, respectively,</w:t>
      </w:r>
      <w:r w:rsidR="003C16F5">
        <w:rPr>
          <w:rFonts w:ascii="Arial" w:eastAsia="Arial" w:hAnsi="Arial" w:cs="Arial"/>
          <w:szCs w:val="20"/>
          <w:lang w:val="en-GB" w:eastAsia="el-GR"/>
        </w:rPr>
        <w:t xml:space="preserve"> and </w:t>
      </w:r>
      <w:r>
        <w:rPr>
          <w:rFonts w:ascii="Arial" w:eastAsia="Arial" w:hAnsi="Arial" w:cs="Arial"/>
          <w:szCs w:val="20"/>
          <w:lang w:val="en-GB" w:eastAsia="el-GR" w:bidi="en-US"/>
        </w:rPr>
        <w:t>is separately presented in current and non-current liabilities</w:t>
      </w:r>
      <w:r w:rsidR="003C16F5">
        <w:rPr>
          <w:rFonts w:ascii="Arial" w:eastAsia="Arial" w:hAnsi="Arial" w:cs="Arial"/>
          <w:szCs w:val="20"/>
          <w:lang w:val="en-GB" w:eastAsia="el-GR"/>
        </w:rPr>
        <w:t>.</w:t>
      </w:r>
      <w:r>
        <w:rPr>
          <w:rFonts w:ascii="Arial" w:eastAsia="Arial" w:hAnsi="Arial" w:cs="Arial"/>
          <w:szCs w:val="20"/>
          <w:lang w:val="en-GB" w:eastAsia="el-GR"/>
        </w:rPr>
        <w:t xml:space="preserve"> </w:t>
      </w:r>
      <w:r w:rsidR="003D3B92">
        <w:rPr>
          <w:rFonts w:ascii="Arial" w:eastAsia="Arial" w:hAnsi="Arial" w:cs="Arial"/>
          <w:szCs w:val="20"/>
          <w:lang w:val="en-GB" w:eastAsia="el-GR"/>
        </w:rPr>
        <w:t>In</w:t>
      </w:r>
      <w:r w:rsidR="006E7490">
        <w:rPr>
          <w:rFonts w:ascii="Arial" w:eastAsia="Arial" w:hAnsi="Arial" w:cs="Arial"/>
          <w:szCs w:val="20"/>
          <w:lang w:val="en-GB" w:eastAsia="el-GR"/>
        </w:rPr>
        <w:t xml:space="preserve"> </w:t>
      </w:r>
      <w:r>
        <w:rPr>
          <w:rFonts w:ascii="Arial" w:eastAsia="Arial" w:hAnsi="Arial" w:cs="Arial"/>
          <w:szCs w:val="20"/>
          <w:lang w:val="en-GB" w:eastAsia="el-GR"/>
        </w:rPr>
        <w:t>2025</w:t>
      </w:r>
      <w:r w:rsidR="00966E74">
        <w:rPr>
          <w:rFonts w:ascii="Arial" w:eastAsia="Arial" w:hAnsi="Arial" w:cs="Arial"/>
          <w:szCs w:val="20"/>
          <w:lang w:val="en-GB" w:eastAsia="el-GR"/>
        </w:rPr>
        <w:t>,</w:t>
      </w:r>
      <w:r>
        <w:rPr>
          <w:rFonts w:ascii="Arial" w:eastAsia="Arial" w:hAnsi="Arial" w:cs="Arial"/>
          <w:szCs w:val="20"/>
          <w:lang w:val="en-GB" w:eastAsia="el-GR"/>
        </w:rPr>
        <w:t xml:space="preserve"> 2024</w:t>
      </w:r>
      <w:r w:rsidR="00966E74">
        <w:rPr>
          <w:rFonts w:ascii="Arial" w:eastAsia="Arial" w:hAnsi="Arial" w:cs="Arial"/>
          <w:szCs w:val="20"/>
          <w:lang w:val="en-GB" w:eastAsia="el-GR"/>
        </w:rPr>
        <w:t xml:space="preserve"> and 2023</w:t>
      </w:r>
      <w:r>
        <w:rPr>
          <w:rFonts w:ascii="Arial" w:eastAsia="Arial" w:hAnsi="Arial" w:cs="Arial"/>
          <w:szCs w:val="20"/>
          <w:lang w:val="en-GB" w:eastAsia="el-GR"/>
        </w:rPr>
        <w:t xml:space="preserve">, </w:t>
      </w:r>
      <w:r w:rsidR="006E7490">
        <w:rPr>
          <w:rFonts w:ascii="Arial" w:eastAsia="Arial" w:hAnsi="Arial" w:cs="Arial"/>
          <w:szCs w:val="20"/>
          <w:lang w:val="en-GB" w:eastAsia="el-GR"/>
        </w:rPr>
        <w:t xml:space="preserve">the Company recognized </w:t>
      </w:r>
      <w:r>
        <w:rPr>
          <w:rFonts w:ascii="Arial" w:eastAsia="Arial" w:hAnsi="Arial" w:cs="Arial"/>
          <w:szCs w:val="20"/>
          <w:lang w:val="en-GB" w:eastAsia="el-GR"/>
        </w:rPr>
        <w:t>a loss of $</w:t>
      </w:r>
      <w:bookmarkStart w:id="682" w:name="XBRL_CS_2448a0c957ec4df6b556458ea0142800"/>
      <w:r w:rsidR="003D3B92">
        <w:rPr>
          <w:rFonts w:ascii="Arial" w:eastAsia="Arial" w:hAnsi="Arial" w:cs="Arial"/>
          <w:szCs w:val="20"/>
          <w:lang w:val="en-GB" w:eastAsia="el-GR"/>
        </w:rPr>
        <w:t>196</w:t>
      </w:r>
      <w:bookmarkEnd w:id="682"/>
      <w:r w:rsidR="00966E74">
        <w:rPr>
          <w:rFonts w:ascii="Arial" w:eastAsia="Arial" w:hAnsi="Arial" w:cs="Arial"/>
          <w:szCs w:val="20"/>
          <w:lang w:val="en-GB" w:eastAsia="el-GR"/>
        </w:rPr>
        <w:t xml:space="preserve">, </w:t>
      </w:r>
      <w:r w:rsidR="003D3B92">
        <w:rPr>
          <w:rFonts w:ascii="Arial" w:eastAsia="Arial" w:hAnsi="Arial" w:cs="Arial"/>
          <w:szCs w:val="20"/>
          <w:lang w:val="en-GB" w:eastAsia="el-GR"/>
        </w:rPr>
        <w:t>a gain of</w:t>
      </w:r>
      <w:r>
        <w:rPr>
          <w:rFonts w:ascii="Arial" w:eastAsia="Arial" w:hAnsi="Arial" w:cs="Arial"/>
          <w:szCs w:val="20"/>
          <w:lang w:val="en-GB" w:eastAsia="el-GR"/>
        </w:rPr>
        <w:t xml:space="preserve"> $</w:t>
      </w:r>
      <w:bookmarkStart w:id="683" w:name="XBRL_CS_a98034221830419d9fe624372cbfdd39"/>
      <w:r w:rsidR="003D3B92">
        <w:rPr>
          <w:rFonts w:ascii="Arial" w:eastAsia="Arial" w:hAnsi="Arial" w:cs="Arial"/>
          <w:szCs w:val="20"/>
          <w:lang w:val="en-GB" w:eastAsia="el-GR"/>
        </w:rPr>
        <w:t>274</w:t>
      </w:r>
      <w:bookmarkEnd w:id="683"/>
      <w:r w:rsidR="00966E74">
        <w:rPr>
          <w:rFonts w:ascii="Arial" w:eastAsia="Arial" w:hAnsi="Arial" w:cs="Arial"/>
          <w:szCs w:val="20"/>
          <w:lang w:val="en-GB" w:eastAsia="el-GR"/>
        </w:rPr>
        <w:t xml:space="preserve"> and </w:t>
      </w:r>
      <w:r w:rsidR="00966E74" w:rsidRPr="00966E74">
        <w:rPr>
          <w:rFonts w:ascii="Arial" w:eastAsia="Arial" w:hAnsi="Arial" w:cs="Arial"/>
          <w:szCs w:val="20"/>
          <w:lang w:val="en-GB" w:eastAsia="el-GR"/>
        </w:rPr>
        <w:t>a loss of $</w:t>
      </w:r>
      <w:bookmarkStart w:id="684" w:name="XBRL_CS_972441e539c74a248abd7bbc4d2063f6"/>
      <w:r w:rsidR="00966E74" w:rsidRPr="00966E74">
        <w:rPr>
          <w:rFonts w:ascii="Arial" w:eastAsia="Arial" w:hAnsi="Arial" w:cs="Arial"/>
          <w:szCs w:val="20"/>
          <w:lang w:val="en-GB" w:eastAsia="el-GR"/>
        </w:rPr>
        <w:t>439</w:t>
      </w:r>
      <w:bookmarkEnd w:id="684"/>
      <w:r>
        <w:rPr>
          <w:rFonts w:ascii="Arial" w:eastAsia="Arial" w:hAnsi="Arial" w:cs="Arial"/>
          <w:szCs w:val="20"/>
          <w:lang w:val="en-GB" w:eastAsia="el-GR"/>
        </w:rPr>
        <w:t xml:space="preserve">, respectively, </w:t>
      </w:r>
      <w:r w:rsidR="006E7490">
        <w:rPr>
          <w:rFonts w:ascii="Arial" w:eastAsia="Arial" w:hAnsi="Arial" w:cs="Arial"/>
          <w:szCs w:val="20"/>
          <w:lang w:val="en-GB" w:eastAsia="el-GR"/>
        </w:rPr>
        <w:t xml:space="preserve">from the swap valuation </w:t>
      </w:r>
      <w:r>
        <w:rPr>
          <w:rFonts w:ascii="Arial" w:eastAsia="Arial" w:hAnsi="Arial" w:cs="Arial"/>
          <w:szCs w:val="20"/>
          <w:lang w:val="en-GB" w:eastAsia="el-GR"/>
        </w:rPr>
        <w:t xml:space="preserve">separately presented as </w:t>
      </w:r>
      <w:r w:rsidR="003D3B92">
        <w:rPr>
          <w:rFonts w:ascii="Arial" w:eastAsia="Arial" w:hAnsi="Arial" w:cs="Arial"/>
          <w:szCs w:val="20"/>
          <w:lang w:val="en-GB" w:eastAsia="el-GR"/>
        </w:rPr>
        <w:t>gain/(</w:t>
      </w:r>
      <w:r>
        <w:rPr>
          <w:rFonts w:ascii="Arial" w:eastAsia="Arial" w:hAnsi="Arial" w:cs="Arial"/>
          <w:szCs w:val="20"/>
          <w:lang w:val="en-GB" w:eastAsia="el-GR"/>
        </w:rPr>
        <w:t>loss</w:t>
      </w:r>
      <w:r w:rsidR="003D3B92">
        <w:rPr>
          <w:rFonts w:ascii="Arial" w:eastAsia="Arial" w:hAnsi="Arial" w:cs="Arial"/>
          <w:szCs w:val="20"/>
          <w:lang w:val="en-GB" w:eastAsia="el-GR"/>
        </w:rPr>
        <w:t>)</w:t>
      </w:r>
      <w:r>
        <w:rPr>
          <w:rFonts w:ascii="Arial" w:eastAsia="Arial" w:hAnsi="Arial" w:cs="Arial"/>
          <w:szCs w:val="20"/>
          <w:lang w:val="en-GB" w:eastAsia="el-GR"/>
        </w:rPr>
        <w:t xml:space="preserve"> on derivative instruments </w:t>
      </w:r>
      <w:r w:rsidRPr="00653B55">
        <w:rPr>
          <w:rFonts w:ascii="Arial" w:eastAsia="Arial" w:hAnsi="Arial" w:cs="Arial"/>
          <w:szCs w:val="20"/>
          <w:lang w:eastAsia="el-GR"/>
        </w:rPr>
        <w:t>in the</w:t>
      </w:r>
      <w:r>
        <w:rPr>
          <w:rFonts w:ascii="Arial" w:eastAsia="Arial" w:hAnsi="Arial" w:cs="Arial"/>
          <w:szCs w:val="20"/>
          <w:lang w:eastAsia="el-GR"/>
        </w:rPr>
        <w:t xml:space="preserve"> </w:t>
      </w:r>
      <w:r w:rsidRPr="00653B55">
        <w:rPr>
          <w:rFonts w:ascii="Arial" w:eastAsia="Arial" w:hAnsi="Arial" w:cs="Arial"/>
          <w:szCs w:val="20"/>
          <w:lang w:eastAsia="el-GR"/>
        </w:rPr>
        <w:t>accompanying</w:t>
      </w:r>
      <w:r>
        <w:rPr>
          <w:rFonts w:ascii="Arial" w:eastAsia="Arial" w:hAnsi="Arial" w:cs="Arial"/>
          <w:szCs w:val="20"/>
          <w:lang w:eastAsia="el-GR"/>
        </w:rPr>
        <w:t xml:space="preserve"> </w:t>
      </w:r>
      <w:r w:rsidRPr="00653B55">
        <w:rPr>
          <w:rFonts w:ascii="Arial" w:eastAsia="Arial" w:hAnsi="Arial" w:cs="Arial"/>
          <w:szCs w:val="20"/>
          <w:lang w:eastAsia="el-GR"/>
        </w:rPr>
        <w:t>consolidated statement</w:t>
      </w:r>
      <w:r>
        <w:rPr>
          <w:rFonts w:ascii="Arial" w:eastAsia="Arial" w:hAnsi="Arial" w:cs="Arial"/>
          <w:szCs w:val="20"/>
          <w:lang w:eastAsia="el-GR"/>
        </w:rPr>
        <w:t>s</w:t>
      </w:r>
      <w:r w:rsidRPr="00653B55">
        <w:rPr>
          <w:rFonts w:ascii="Arial" w:eastAsia="Arial" w:hAnsi="Arial" w:cs="Arial"/>
          <w:szCs w:val="20"/>
          <w:lang w:eastAsia="el-GR"/>
        </w:rPr>
        <w:t xml:space="preserve"> of income</w:t>
      </w:r>
      <w:r>
        <w:rPr>
          <w:rFonts w:ascii="Arial" w:eastAsia="Arial" w:hAnsi="Arial" w:cs="Arial"/>
          <w:szCs w:val="20"/>
          <w:lang w:val="en-GB" w:eastAsia="el-GR"/>
        </w:rPr>
        <w:t>.</w:t>
      </w:r>
    </w:p>
    <w:p w14:paraId="71F3F7C6" w14:textId="77777777" w:rsidR="00E62537" w:rsidRDefault="00E62537" w:rsidP="00E62537">
      <w:pPr>
        <w:pStyle w:val="Notesbody"/>
        <w:widowControl w:val="0"/>
        <w:pBdr>
          <w:top w:val="nil"/>
          <w:left w:val="nil"/>
          <w:bottom w:val="nil"/>
          <w:right w:val="nil"/>
          <w:between w:val="nil"/>
          <w:bar w:val="nil"/>
        </w:pBdr>
        <w:rPr>
          <w:rFonts w:ascii="Arial" w:eastAsia="Arial" w:hAnsi="Arial" w:cs="Arial"/>
          <w:bdr w:val="nil"/>
          <w:lang w:val="en-GB"/>
        </w:rPr>
      </w:pPr>
    </w:p>
    <w:p w14:paraId="71F3F7C7" w14:textId="77777777" w:rsidR="004C163B" w:rsidRDefault="003A4815" w:rsidP="006D6AF3">
      <w:pPr>
        <w:pStyle w:val="Notesbody"/>
        <w:widowControl w:val="0"/>
        <w:pBdr>
          <w:top w:val="nil"/>
          <w:left w:val="nil"/>
          <w:bottom w:val="nil"/>
          <w:right w:val="nil"/>
          <w:between w:val="nil"/>
          <w:bar w:val="nil"/>
        </w:pBdr>
        <w:rPr>
          <w:rFonts w:ascii="Arial" w:eastAsia="Arial" w:hAnsi="Arial" w:cs="Arial"/>
          <w:bdr w:val="nil"/>
        </w:rPr>
      </w:pPr>
      <w:r>
        <w:rPr>
          <w:rFonts w:ascii="Arial" w:eastAsia="Arial" w:hAnsi="Arial" w:cs="Arial"/>
          <w:b/>
          <w:i/>
          <w:lang w:eastAsia="el-GR"/>
        </w:rPr>
        <w:t>Danish Ship Finance A/S</w:t>
      </w:r>
      <w:r w:rsidRPr="00C435AD">
        <w:rPr>
          <w:rFonts w:ascii="Arial" w:eastAsia="Arial" w:hAnsi="Arial" w:cs="Arial"/>
          <w:b/>
          <w:i/>
          <w:lang w:eastAsia="el-GR"/>
        </w:rPr>
        <w:t xml:space="preserve"> or </w:t>
      </w:r>
      <w:r>
        <w:rPr>
          <w:rFonts w:ascii="Arial" w:eastAsia="Arial" w:hAnsi="Arial" w:cs="Arial"/>
          <w:b/>
          <w:i/>
          <w:lang w:eastAsia="el-GR"/>
        </w:rPr>
        <w:t>Danish</w:t>
      </w:r>
      <w:r w:rsidRPr="00C435AD">
        <w:rPr>
          <w:rFonts w:ascii="Arial" w:eastAsia="Arial" w:hAnsi="Arial" w:cs="Arial"/>
          <w:b/>
          <w:i/>
          <w:lang w:eastAsia="el-GR"/>
        </w:rPr>
        <w:t>:</w:t>
      </w:r>
      <w:r w:rsidRPr="00C435AD">
        <w:rPr>
          <w:rFonts w:ascii="Arial" w:eastAsia="Arial" w:hAnsi="Arial" w:cs="Arial"/>
          <w:lang w:eastAsia="el-GR"/>
        </w:rPr>
        <w:t xml:space="preserve"> On </w:t>
      </w:r>
      <w:r>
        <w:rPr>
          <w:rFonts w:ascii="Arial" w:eastAsia="Arial" w:hAnsi="Arial" w:cs="Arial"/>
          <w:lang w:eastAsia="el-GR"/>
        </w:rPr>
        <w:t>April</w:t>
      </w:r>
      <w:r w:rsidRPr="00C435AD">
        <w:rPr>
          <w:rFonts w:ascii="Arial" w:eastAsia="Arial" w:hAnsi="Arial" w:cs="Arial"/>
          <w:lang w:eastAsia="el-GR"/>
        </w:rPr>
        <w:t xml:space="preserve"> </w:t>
      </w:r>
      <w:r>
        <w:rPr>
          <w:rFonts w:ascii="Arial" w:eastAsia="Arial" w:hAnsi="Arial" w:cs="Arial"/>
          <w:lang w:eastAsia="el-GR"/>
        </w:rPr>
        <w:t>12</w:t>
      </w:r>
      <w:r w:rsidRPr="00C435AD">
        <w:rPr>
          <w:rFonts w:ascii="Arial" w:eastAsia="Arial" w:hAnsi="Arial" w:cs="Arial"/>
          <w:lang w:eastAsia="el-GR"/>
        </w:rPr>
        <w:t>, 202</w:t>
      </w:r>
      <w:r>
        <w:rPr>
          <w:rFonts w:ascii="Arial" w:eastAsia="Arial" w:hAnsi="Arial" w:cs="Arial"/>
          <w:lang w:eastAsia="el-GR"/>
        </w:rPr>
        <w:t>3</w:t>
      </w:r>
      <w:r w:rsidRPr="00C435AD">
        <w:rPr>
          <w:rFonts w:ascii="Arial" w:eastAsia="Arial" w:hAnsi="Arial" w:cs="Arial"/>
          <w:lang w:eastAsia="el-GR"/>
        </w:rPr>
        <w:t xml:space="preserve">, the Company signed a term loan facility with </w:t>
      </w:r>
      <w:r>
        <w:rPr>
          <w:rFonts w:ascii="Arial" w:eastAsia="Arial" w:hAnsi="Arial" w:cs="Arial"/>
          <w:lang w:eastAsia="el-GR"/>
        </w:rPr>
        <w:t>Danish</w:t>
      </w:r>
      <w:r w:rsidRPr="00C435AD">
        <w:rPr>
          <w:rFonts w:ascii="Arial" w:eastAsia="Arial" w:hAnsi="Arial" w:cs="Arial"/>
          <w:lang w:eastAsia="el-GR"/>
        </w:rPr>
        <w:t xml:space="preserve">, </w:t>
      </w:r>
      <w:r>
        <w:rPr>
          <w:rFonts w:ascii="Arial" w:eastAsia="Arial" w:hAnsi="Arial" w:cs="Arial"/>
          <w:lang w:eastAsia="el-GR"/>
        </w:rPr>
        <w:t>for</w:t>
      </w:r>
      <w:r w:rsidRPr="00C435AD">
        <w:rPr>
          <w:rFonts w:ascii="Arial" w:eastAsia="Arial" w:hAnsi="Arial" w:cs="Arial"/>
          <w:lang w:eastAsia="el-GR"/>
        </w:rPr>
        <w:t xml:space="preserve"> $</w:t>
      </w:r>
      <w:bookmarkStart w:id="685" w:name="XBRL_CS_d7e1c1debfab47669bf8371840df443c"/>
      <w:r>
        <w:rPr>
          <w:rFonts w:ascii="Arial" w:eastAsia="Arial" w:hAnsi="Arial" w:cs="Arial"/>
          <w:lang w:eastAsia="el-GR"/>
        </w:rPr>
        <w:t>100,000</w:t>
      </w:r>
      <w:bookmarkEnd w:id="685"/>
      <w:r w:rsidRPr="00C435AD">
        <w:rPr>
          <w:rFonts w:ascii="Arial" w:eastAsia="Arial" w:hAnsi="Arial" w:cs="Arial"/>
          <w:lang w:eastAsia="el-GR"/>
        </w:rPr>
        <w:t xml:space="preserve"> </w:t>
      </w:r>
      <w:r>
        <w:rPr>
          <w:rFonts w:ascii="Arial" w:eastAsia="Arial" w:hAnsi="Arial" w:cs="Arial"/>
          <w:bCs/>
          <w:iCs/>
          <w:bdr w:val="none" w:sz="0" w:space="0" w:color="auto" w:frame="1"/>
          <w:lang w:eastAsia="el-GR"/>
        </w:rPr>
        <w:t>to refinance the outstanding balance of loans with other banks and for working capital. On April 18 and 19, 2023, the Company drew down $</w:t>
      </w:r>
      <w:bookmarkStart w:id="686" w:name="XBRL_CS_15920a6b795f428d9598650d6d25d82a"/>
      <w:r>
        <w:rPr>
          <w:rFonts w:ascii="Arial" w:eastAsia="Arial" w:hAnsi="Arial" w:cs="Arial"/>
          <w:bCs/>
          <w:iCs/>
          <w:bdr w:val="none" w:sz="0" w:space="0" w:color="auto" w:frame="1"/>
          <w:lang w:eastAsia="el-GR"/>
        </w:rPr>
        <w:t>100,000</w:t>
      </w:r>
      <w:bookmarkEnd w:id="686"/>
      <w:r>
        <w:rPr>
          <w:rFonts w:ascii="Arial" w:eastAsia="Arial" w:hAnsi="Arial" w:cs="Arial"/>
          <w:bCs/>
          <w:iCs/>
          <w:bdr w:val="none" w:sz="0" w:space="0" w:color="auto" w:frame="1"/>
          <w:lang w:eastAsia="el-GR"/>
        </w:rPr>
        <w:t xml:space="preserve"> which</w:t>
      </w:r>
      <w:r w:rsidRPr="00C435AD">
        <w:rPr>
          <w:rFonts w:ascii="Arial" w:eastAsia="Arial" w:hAnsi="Arial" w:cs="Arial"/>
          <w:lang w:eastAsia="el-GR"/>
        </w:rPr>
        <w:t xml:space="preserve"> </w:t>
      </w:r>
      <w:r>
        <w:rPr>
          <w:rFonts w:ascii="Arial" w:eastAsia="Arial" w:hAnsi="Arial" w:cs="Arial"/>
          <w:lang w:eastAsia="el-GR"/>
        </w:rPr>
        <w:t>was</w:t>
      </w:r>
      <w:r w:rsidRPr="00C435AD">
        <w:rPr>
          <w:rFonts w:ascii="Arial" w:eastAsia="Arial" w:hAnsi="Arial" w:cs="Arial"/>
          <w:lang w:eastAsia="el-GR"/>
        </w:rPr>
        <w:t xml:space="preserve"> repayable in equal quarterly instalments of $</w:t>
      </w:r>
      <w:bookmarkStart w:id="687" w:name="XBRL_CS_2d1d0e0011254855ab61a27268e3b137"/>
      <w:r>
        <w:rPr>
          <w:rFonts w:ascii="Arial" w:eastAsia="Arial" w:hAnsi="Arial" w:cs="Arial"/>
          <w:lang w:eastAsia="el-GR"/>
        </w:rPr>
        <w:t>3,301</w:t>
      </w:r>
      <w:bookmarkEnd w:id="687"/>
      <w:r w:rsidRPr="00C435AD">
        <w:rPr>
          <w:rFonts w:ascii="Arial" w:eastAsia="Arial" w:hAnsi="Arial" w:cs="Arial"/>
          <w:lang w:eastAsia="el-GR"/>
        </w:rPr>
        <w:t xml:space="preserve"> each and a balloon of $</w:t>
      </w:r>
      <w:bookmarkStart w:id="688" w:name="XBRL_CS_440a6e9c494747beafbb45f4fc751c99"/>
      <w:r>
        <w:rPr>
          <w:rFonts w:ascii="Arial" w:eastAsia="Arial" w:hAnsi="Arial" w:cs="Arial"/>
          <w:lang w:eastAsia="el-GR"/>
        </w:rPr>
        <w:t>33,972</w:t>
      </w:r>
      <w:bookmarkEnd w:id="688"/>
      <w:r w:rsidRPr="00C435AD">
        <w:rPr>
          <w:rFonts w:ascii="Arial" w:eastAsia="Arial" w:hAnsi="Arial" w:cs="Arial"/>
          <w:lang w:eastAsia="el-GR"/>
        </w:rPr>
        <w:t xml:space="preserve"> payable together with the last instalment on </w:t>
      </w:r>
      <w:r>
        <w:rPr>
          <w:rFonts w:ascii="Arial" w:eastAsia="Arial" w:hAnsi="Arial" w:cs="Arial"/>
          <w:lang w:eastAsia="el-GR"/>
        </w:rPr>
        <w:t>April</w:t>
      </w:r>
      <w:r w:rsidRPr="00C435AD">
        <w:rPr>
          <w:rFonts w:ascii="Arial" w:eastAsia="Arial" w:hAnsi="Arial" w:cs="Arial"/>
          <w:lang w:eastAsia="el-GR"/>
        </w:rPr>
        <w:t xml:space="preserve"> </w:t>
      </w:r>
      <w:r>
        <w:rPr>
          <w:rFonts w:ascii="Arial" w:eastAsia="Arial" w:hAnsi="Arial" w:cs="Arial"/>
          <w:lang w:eastAsia="el-GR"/>
        </w:rPr>
        <w:t>19</w:t>
      </w:r>
      <w:r w:rsidRPr="00C435AD">
        <w:rPr>
          <w:rFonts w:ascii="Arial" w:eastAsia="Arial" w:hAnsi="Arial" w:cs="Arial"/>
          <w:lang w:eastAsia="el-GR"/>
        </w:rPr>
        <w:t>, 20</w:t>
      </w:r>
      <w:r>
        <w:rPr>
          <w:rFonts w:ascii="Arial" w:eastAsia="Arial" w:hAnsi="Arial" w:cs="Arial"/>
          <w:lang w:eastAsia="el-GR"/>
        </w:rPr>
        <w:t>28.</w:t>
      </w:r>
      <w:r w:rsidRPr="00C435AD">
        <w:rPr>
          <w:rFonts w:ascii="Arial" w:eastAsia="Arial" w:hAnsi="Arial" w:cs="Arial"/>
          <w:lang w:eastAsia="el-GR"/>
        </w:rPr>
        <w:t xml:space="preserve"> </w:t>
      </w:r>
      <w:r>
        <w:rPr>
          <w:rFonts w:ascii="Arial" w:eastAsia="Arial" w:hAnsi="Arial" w:cs="Arial"/>
          <w:lang w:eastAsia="el-GR"/>
        </w:rPr>
        <w:t>On October 18, 2024, the Company refinanced the outstanding balance of this loan with a loan which is repayable in equal quarterly instalments of $</w:t>
      </w:r>
      <w:bookmarkStart w:id="689" w:name="XBRL_CS_feaa4d8973f24282bce0e035b9931820"/>
      <w:r>
        <w:rPr>
          <w:rFonts w:ascii="Arial" w:eastAsia="Arial" w:hAnsi="Arial" w:cs="Arial"/>
          <w:lang w:eastAsia="el-GR"/>
        </w:rPr>
        <w:t>2,533</w:t>
      </w:r>
      <w:bookmarkEnd w:id="689"/>
      <w:r>
        <w:rPr>
          <w:rFonts w:ascii="Arial" w:eastAsia="Arial" w:hAnsi="Arial" w:cs="Arial"/>
          <w:lang w:eastAsia="el-GR"/>
        </w:rPr>
        <w:t xml:space="preserve"> each </w:t>
      </w:r>
      <w:r w:rsidRPr="00C435AD">
        <w:rPr>
          <w:rFonts w:ascii="Arial" w:eastAsia="Arial" w:hAnsi="Arial" w:cs="Arial"/>
          <w:lang w:eastAsia="el-GR"/>
        </w:rPr>
        <w:t>and a balloon of $</w:t>
      </w:r>
      <w:bookmarkStart w:id="690" w:name="XBRL_CS_82b8d6e609294205b5e267688ed71cd6"/>
      <w:r>
        <w:rPr>
          <w:rFonts w:ascii="Arial" w:eastAsia="Arial" w:hAnsi="Arial" w:cs="Arial"/>
          <w:lang w:eastAsia="el-GR"/>
        </w:rPr>
        <w:t>14,323</w:t>
      </w:r>
      <w:bookmarkEnd w:id="690"/>
      <w:r w:rsidRPr="00C435AD">
        <w:rPr>
          <w:rFonts w:ascii="Arial" w:eastAsia="Arial" w:hAnsi="Arial" w:cs="Arial"/>
          <w:lang w:eastAsia="el-GR"/>
        </w:rPr>
        <w:t xml:space="preserve"> payable together with the last instalment on </w:t>
      </w:r>
      <w:bookmarkStart w:id="691" w:name="XBRL_CS_db3509158e4c4405bdccc2e6b5bdd556"/>
      <w:r>
        <w:rPr>
          <w:rFonts w:ascii="Arial" w:eastAsia="Arial" w:hAnsi="Arial" w:cs="Arial"/>
          <w:lang w:eastAsia="el-GR"/>
        </w:rPr>
        <w:t>April</w:t>
      </w:r>
      <w:r w:rsidRPr="00C435AD">
        <w:rPr>
          <w:rFonts w:ascii="Arial" w:eastAsia="Arial" w:hAnsi="Arial" w:cs="Arial"/>
          <w:lang w:eastAsia="el-GR"/>
        </w:rPr>
        <w:t xml:space="preserve"> </w:t>
      </w:r>
      <w:r>
        <w:rPr>
          <w:rFonts w:ascii="Arial" w:eastAsia="Arial" w:hAnsi="Arial" w:cs="Arial"/>
          <w:lang w:eastAsia="el-GR"/>
        </w:rPr>
        <w:t>18</w:t>
      </w:r>
      <w:r w:rsidRPr="00C435AD">
        <w:rPr>
          <w:rFonts w:ascii="Arial" w:eastAsia="Arial" w:hAnsi="Arial" w:cs="Arial"/>
          <w:lang w:eastAsia="el-GR"/>
        </w:rPr>
        <w:t>, 20</w:t>
      </w:r>
      <w:r>
        <w:rPr>
          <w:rFonts w:ascii="Arial" w:eastAsia="Arial" w:hAnsi="Arial" w:cs="Arial"/>
          <w:lang w:eastAsia="el-GR"/>
        </w:rPr>
        <w:t>31</w:t>
      </w:r>
      <w:bookmarkEnd w:id="691"/>
      <w:r>
        <w:rPr>
          <w:rFonts w:ascii="Arial" w:eastAsia="Arial" w:hAnsi="Arial" w:cs="Arial"/>
          <w:lang w:eastAsia="el-GR"/>
        </w:rPr>
        <w:t>.</w:t>
      </w:r>
    </w:p>
    <w:p w14:paraId="71F3F7C8" w14:textId="77777777" w:rsidR="00DA77F2" w:rsidRDefault="00DA77F2" w:rsidP="006D6AF3">
      <w:pPr>
        <w:pStyle w:val="Notesbody"/>
        <w:widowControl w:val="0"/>
        <w:pBdr>
          <w:top w:val="nil"/>
          <w:left w:val="nil"/>
          <w:bottom w:val="nil"/>
          <w:right w:val="nil"/>
          <w:between w:val="nil"/>
          <w:bar w:val="nil"/>
        </w:pBdr>
        <w:rPr>
          <w:rFonts w:ascii="Arial" w:eastAsia="Arial" w:hAnsi="Arial" w:cs="Arial"/>
          <w:bdr w:val="nil"/>
        </w:rPr>
      </w:pPr>
    </w:p>
    <w:p w14:paraId="71F3F7C9" w14:textId="77777777" w:rsidR="00DA77F2" w:rsidRDefault="003A4815" w:rsidP="00DA77F2">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b/>
          <w:i/>
          <w:lang w:eastAsia="el-GR"/>
        </w:rPr>
        <w:t>N</w:t>
      </w:r>
      <w:r>
        <w:rPr>
          <w:rFonts w:ascii="Arial" w:eastAsia="Arial" w:hAnsi="Arial" w:cs="Arial"/>
          <w:b/>
          <w:i/>
          <w:lang w:eastAsia="el-GR"/>
        </w:rPr>
        <w:t>ational Bank of Greece S.A. (“NBG”)</w:t>
      </w:r>
      <w:r w:rsidRPr="00C435AD">
        <w:rPr>
          <w:rFonts w:ascii="Arial" w:eastAsia="Arial" w:hAnsi="Arial" w:cs="Arial"/>
          <w:b/>
          <w:i/>
          <w:lang w:eastAsia="el-GR"/>
        </w:rPr>
        <w:t>:</w:t>
      </w:r>
      <w:r w:rsidRPr="00C435AD">
        <w:rPr>
          <w:rFonts w:ascii="Arial" w:eastAsia="Arial" w:hAnsi="Arial" w:cs="Arial"/>
          <w:lang w:eastAsia="el-GR"/>
        </w:rPr>
        <w:t xml:space="preserve"> </w:t>
      </w:r>
      <w:r w:rsidRPr="00287EB6">
        <w:rPr>
          <w:rFonts w:ascii="Arial" w:eastAsia="Arial" w:hAnsi="Arial" w:cs="Arial"/>
          <w:lang w:eastAsia="el-GR"/>
        </w:rPr>
        <w:t xml:space="preserve">On </w:t>
      </w:r>
      <w:r>
        <w:rPr>
          <w:rFonts w:ascii="Arial" w:eastAsia="Arial" w:hAnsi="Arial" w:cs="Arial"/>
          <w:lang w:eastAsia="el-GR"/>
        </w:rPr>
        <w:t>September</w:t>
      </w:r>
      <w:r w:rsidRPr="00287EB6">
        <w:rPr>
          <w:rFonts w:ascii="Arial" w:eastAsia="Arial" w:hAnsi="Arial" w:cs="Arial"/>
          <w:lang w:eastAsia="el-GR"/>
        </w:rPr>
        <w:t xml:space="preserve"> 2</w:t>
      </w:r>
      <w:r>
        <w:rPr>
          <w:rFonts w:ascii="Arial" w:eastAsia="Arial" w:hAnsi="Arial" w:cs="Arial"/>
          <w:lang w:eastAsia="el-GR"/>
        </w:rPr>
        <w:t>9</w:t>
      </w:r>
      <w:r w:rsidRPr="00287EB6">
        <w:rPr>
          <w:rFonts w:ascii="Arial" w:eastAsia="Arial" w:hAnsi="Arial" w:cs="Arial"/>
          <w:lang w:eastAsia="el-GR"/>
        </w:rPr>
        <w:t>, 202</w:t>
      </w:r>
      <w:r>
        <w:rPr>
          <w:rFonts w:ascii="Arial" w:eastAsia="Arial" w:hAnsi="Arial" w:cs="Arial"/>
          <w:lang w:eastAsia="el-GR"/>
        </w:rPr>
        <w:t>5</w:t>
      </w:r>
      <w:r w:rsidRPr="00287EB6">
        <w:rPr>
          <w:rFonts w:ascii="Arial" w:eastAsia="Arial" w:hAnsi="Arial" w:cs="Arial"/>
          <w:lang w:eastAsia="el-GR"/>
        </w:rPr>
        <w:t>, the Company entered into a $</w:t>
      </w:r>
      <w:bookmarkStart w:id="692" w:name="XBRL_CS_0baad64dba6140dcaf393e595aca3a8c"/>
      <w:r>
        <w:rPr>
          <w:rFonts w:ascii="Arial" w:eastAsia="Arial" w:hAnsi="Arial" w:cs="Arial"/>
          <w:lang w:eastAsia="el-GR"/>
        </w:rPr>
        <w:t>55</w:t>
      </w:r>
      <w:r w:rsidRPr="00287EB6">
        <w:rPr>
          <w:rFonts w:ascii="Arial" w:eastAsia="Arial" w:hAnsi="Arial" w:cs="Arial"/>
          <w:lang w:eastAsia="el-GR"/>
        </w:rPr>
        <w:t>,</w:t>
      </w:r>
      <w:r>
        <w:rPr>
          <w:rFonts w:ascii="Arial" w:eastAsia="Arial" w:hAnsi="Arial" w:cs="Arial"/>
          <w:lang w:eastAsia="el-GR"/>
        </w:rPr>
        <w:t>000</w:t>
      </w:r>
      <w:bookmarkEnd w:id="692"/>
      <w:r w:rsidRPr="00287EB6">
        <w:rPr>
          <w:rFonts w:ascii="Arial" w:eastAsia="Arial" w:hAnsi="Arial" w:cs="Arial"/>
          <w:lang w:eastAsia="el-GR"/>
        </w:rPr>
        <w:t xml:space="preserve"> loan agreement</w:t>
      </w:r>
      <w:r>
        <w:rPr>
          <w:rFonts w:ascii="Arial" w:eastAsia="Arial" w:hAnsi="Arial" w:cs="Arial"/>
          <w:lang w:eastAsia="el-GR"/>
        </w:rPr>
        <w:t xml:space="preserve">. </w:t>
      </w:r>
      <w:r w:rsidRPr="00E63625">
        <w:rPr>
          <w:rFonts w:ascii="Arial" w:eastAsia="Arial" w:hAnsi="Arial" w:cs="Arial"/>
          <w:lang w:eastAsia="el-GR"/>
        </w:rPr>
        <w:t xml:space="preserve">The loan proceeds were drawn on the same date and deposited in a pledged account with the bank to reduce the margin. As of </w:t>
      </w:r>
      <w:r w:rsidR="00F10DD8">
        <w:rPr>
          <w:rFonts w:ascii="Arial" w:eastAsia="Arial" w:hAnsi="Arial" w:cs="Arial"/>
          <w:lang w:eastAsia="el-GR"/>
        </w:rPr>
        <w:t>December</w:t>
      </w:r>
      <w:r w:rsidRPr="00E63625">
        <w:rPr>
          <w:rFonts w:ascii="Arial" w:eastAsia="Arial" w:hAnsi="Arial" w:cs="Arial"/>
          <w:lang w:eastAsia="el-GR"/>
        </w:rPr>
        <w:t xml:space="preserve"> 3</w:t>
      </w:r>
      <w:r w:rsidR="00F10DD8">
        <w:rPr>
          <w:rFonts w:ascii="Arial" w:eastAsia="Arial" w:hAnsi="Arial" w:cs="Arial"/>
          <w:lang w:eastAsia="el-GR"/>
        </w:rPr>
        <w:t>1</w:t>
      </w:r>
      <w:r w:rsidRPr="00E63625">
        <w:rPr>
          <w:rFonts w:ascii="Arial" w:eastAsia="Arial" w:hAnsi="Arial" w:cs="Arial"/>
          <w:lang w:eastAsia="el-GR"/>
        </w:rPr>
        <w:t>, 2025, th</w:t>
      </w:r>
      <w:r w:rsidR="00F10DD8">
        <w:rPr>
          <w:rFonts w:ascii="Arial" w:eastAsia="Arial" w:hAnsi="Arial" w:cs="Arial"/>
          <w:lang w:eastAsia="el-GR"/>
        </w:rPr>
        <w:t>e</w:t>
      </w:r>
      <w:r w:rsidRPr="00E63625">
        <w:rPr>
          <w:rFonts w:ascii="Arial" w:eastAsia="Arial" w:hAnsi="Arial" w:cs="Arial"/>
          <w:lang w:eastAsia="el-GR"/>
        </w:rPr>
        <w:t xml:space="preserve"> amount</w:t>
      </w:r>
      <w:r w:rsidR="00F10DD8">
        <w:rPr>
          <w:rFonts w:ascii="Arial" w:eastAsia="Arial" w:hAnsi="Arial" w:cs="Arial"/>
          <w:lang w:eastAsia="el-GR"/>
        </w:rPr>
        <w:t xml:space="preserve"> of $</w:t>
      </w:r>
      <w:bookmarkStart w:id="693" w:name="XBRL_CS_c394c59bdc64478bb166e061144651df"/>
      <w:r w:rsidR="00F10DD8">
        <w:rPr>
          <w:rFonts w:ascii="Arial" w:eastAsia="Arial" w:hAnsi="Arial" w:cs="Arial"/>
          <w:lang w:eastAsia="el-GR"/>
        </w:rPr>
        <w:t>53,750</w:t>
      </w:r>
      <w:bookmarkEnd w:id="693"/>
      <w:r w:rsidRPr="00E63625">
        <w:rPr>
          <w:rFonts w:ascii="Arial" w:eastAsia="Arial" w:hAnsi="Arial" w:cs="Arial"/>
          <w:lang w:eastAsia="el-GR"/>
        </w:rPr>
        <w:t xml:space="preserve"> is presented separately as restricted cash, current in the accompanying consolidated balance sheet. The Company may withdraw any part or all of the funds from the pledged account at the end of the loan’s fixed interest period, provided no event of default has occurred. </w:t>
      </w:r>
      <w:r w:rsidRPr="00287EB6">
        <w:rPr>
          <w:rFonts w:ascii="Arial" w:eastAsia="Arial" w:hAnsi="Arial" w:cs="Arial"/>
          <w:lang w:eastAsia="el-GR"/>
        </w:rPr>
        <w:t>The loan is repayable in equal quarterly instalments of $</w:t>
      </w:r>
      <w:bookmarkStart w:id="694" w:name="XBRL_CS_67507e623fae435180c71c4b55982ff5"/>
      <w:r>
        <w:rPr>
          <w:rFonts w:ascii="Arial" w:eastAsia="Arial" w:hAnsi="Arial" w:cs="Arial"/>
          <w:lang w:eastAsia="el-GR"/>
        </w:rPr>
        <w:t>1</w:t>
      </w:r>
      <w:r w:rsidRPr="00287EB6">
        <w:rPr>
          <w:rFonts w:ascii="Arial" w:eastAsia="Arial" w:hAnsi="Arial" w:cs="Arial"/>
          <w:lang w:eastAsia="el-GR"/>
        </w:rPr>
        <w:t>,</w:t>
      </w:r>
      <w:r>
        <w:rPr>
          <w:rFonts w:ascii="Arial" w:eastAsia="Arial" w:hAnsi="Arial" w:cs="Arial"/>
          <w:lang w:eastAsia="el-GR"/>
        </w:rPr>
        <w:t>250</w:t>
      </w:r>
      <w:bookmarkEnd w:id="694"/>
      <w:r>
        <w:rPr>
          <w:rFonts w:ascii="Arial" w:eastAsia="Arial" w:hAnsi="Arial" w:cs="Arial"/>
          <w:lang w:eastAsia="el-GR"/>
        </w:rPr>
        <w:t xml:space="preserve"> and a balloon instalment of $</w:t>
      </w:r>
      <w:bookmarkStart w:id="695" w:name="XBRL_CS_a8af1da02f944e7eb54415f3cceaf427"/>
      <w:r>
        <w:rPr>
          <w:rFonts w:ascii="Arial" w:eastAsia="Arial" w:hAnsi="Arial" w:cs="Arial"/>
          <w:lang w:eastAsia="el-GR"/>
        </w:rPr>
        <w:t>25,000</w:t>
      </w:r>
      <w:bookmarkEnd w:id="695"/>
      <w:r>
        <w:rPr>
          <w:rFonts w:ascii="Arial" w:eastAsia="Arial" w:hAnsi="Arial" w:cs="Arial"/>
          <w:lang w:eastAsia="el-GR"/>
        </w:rPr>
        <w:t xml:space="preserve"> payable on </w:t>
      </w:r>
      <w:bookmarkStart w:id="696" w:name="XBRL_CS_4e7af9f41d7641be957abaf5386f6bd7"/>
      <w:r>
        <w:rPr>
          <w:rFonts w:ascii="Arial" w:eastAsia="Arial" w:hAnsi="Arial" w:cs="Arial"/>
          <w:lang w:eastAsia="el-GR"/>
        </w:rPr>
        <w:t>September 29,</w:t>
      </w:r>
      <w:r w:rsidRPr="00287EB6">
        <w:rPr>
          <w:rFonts w:ascii="Arial" w:eastAsia="Arial" w:hAnsi="Arial" w:cs="Arial"/>
          <w:lang w:eastAsia="el-GR"/>
        </w:rPr>
        <w:t xml:space="preserve"> 20</w:t>
      </w:r>
      <w:r>
        <w:rPr>
          <w:rFonts w:ascii="Arial" w:eastAsia="Arial" w:hAnsi="Arial" w:cs="Arial"/>
          <w:lang w:eastAsia="el-GR"/>
        </w:rPr>
        <w:t>31</w:t>
      </w:r>
      <w:bookmarkEnd w:id="696"/>
      <w:r>
        <w:rPr>
          <w:rFonts w:ascii="Arial" w:eastAsia="Arial" w:hAnsi="Arial" w:cs="Arial"/>
          <w:lang w:eastAsia="el-GR"/>
        </w:rPr>
        <w:t>.</w:t>
      </w:r>
      <w:r w:rsidRPr="00287EB6">
        <w:rPr>
          <w:rFonts w:ascii="Arial" w:eastAsia="Arial" w:hAnsi="Arial" w:cs="Arial"/>
          <w:lang w:eastAsia="el-GR"/>
        </w:rPr>
        <w:t xml:space="preserve"> </w:t>
      </w:r>
    </w:p>
    <w:p w14:paraId="71F3F7CA" w14:textId="77777777" w:rsidR="00DA77F2" w:rsidRPr="00C435AD" w:rsidRDefault="00DA77F2" w:rsidP="006D6AF3">
      <w:pPr>
        <w:pStyle w:val="Notesbody"/>
        <w:widowControl w:val="0"/>
        <w:pBdr>
          <w:top w:val="nil"/>
          <w:left w:val="nil"/>
          <w:bottom w:val="nil"/>
          <w:right w:val="nil"/>
          <w:between w:val="nil"/>
          <w:bar w:val="nil"/>
        </w:pBdr>
        <w:rPr>
          <w:rFonts w:ascii="Arial" w:eastAsia="Arial" w:hAnsi="Arial" w:cs="Arial"/>
          <w:bdr w:val="nil"/>
        </w:rPr>
      </w:pPr>
    </w:p>
    <w:p w14:paraId="71F3F7CB" w14:textId="77777777" w:rsidR="005D5F46" w:rsidRPr="00C435AD" w:rsidRDefault="003A4815" w:rsidP="005D5F46">
      <w:pPr>
        <w:pStyle w:val="Notesbody"/>
        <w:widowControl w:val="0"/>
        <w:pBdr>
          <w:top w:val="nil"/>
          <w:left w:val="nil"/>
          <w:bottom w:val="nil"/>
          <w:right w:val="nil"/>
          <w:between w:val="nil"/>
          <w:bar w:val="nil"/>
        </w:pBdr>
        <w:rPr>
          <w:rFonts w:ascii="Arial" w:eastAsia="Arial" w:hAnsi="Arial" w:cs="Arial"/>
          <w:bdr w:val="nil"/>
        </w:rPr>
      </w:pPr>
      <w:r w:rsidRPr="00C435AD">
        <w:rPr>
          <w:rFonts w:ascii="Arial" w:eastAsia="Arial" w:hAnsi="Arial" w:cs="Arial"/>
          <w:lang w:eastAsia="el-GR"/>
        </w:rPr>
        <w:t>As of December 31, 2025 and</w:t>
      </w:r>
      <w:r>
        <w:rPr>
          <w:rFonts w:ascii="Arial" w:eastAsia="Arial" w:hAnsi="Arial" w:cs="Arial"/>
          <w:lang w:eastAsia="el-GR"/>
        </w:rPr>
        <w:t xml:space="preserve"> </w:t>
      </w:r>
      <w:r w:rsidRPr="00C435AD">
        <w:rPr>
          <w:rFonts w:ascii="Arial" w:eastAsia="Arial" w:hAnsi="Arial" w:cs="Arial"/>
          <w:lang w:eastAsia="el-GR"/>
        </w:rPr>
        <w:t>2024, the Company was in compliance with all of its loan covenants.</w:t>
      </w:r>
    </w:p>
    <w:p w14:paraId="71F3F7CC" w14:textId="77777777" w:rsidR="005D5F46" w:rsidRPr="00C435AD" w:rsidRDefault="005D5F46" w:rsidP="005D5F46">
      <w:pPr>
        <w:pStyle w:val="Notesbody"/>
        <w:widowControl w:val="0"/>
        <w:pBdr>
          <w:top w:val="nil"/>
          <w:left w:val="nil"/>
          <w:bottom w:val="nil"/>
          <w:right w:val="nil"/>
          <w:between w:val="nil"/>
          <w:bar w:val="nil"/>
        </w:pBdr>
        <w:rPr>
          <w:rFonts w:ascii="Arial" w:eastAsia="Arial" w:hAnsi="Arial" w:cs="Arial"/>
          <w:bdr w:val="nil"/>
        </w:rPr>
      </w:pPr>
    </w:p>
    <w:p w14:paraId="71F3F7CD" w14:textId="77777777" w:rsidR="005D5F46" w:rsidRPr="00C435AD" w:rsidRDefault="003A4815" w:rsidP="005D5F46">
      <w:pPr>
        <w:pStyle w:val="Notesbody"/>
        <w:widowControl w:val="0"/>
        <w:pBdr>
          <w:top w:val="nil"/>
          <w:left w:val="nil"/>
          <w:bottom w:val="nil"/>
          <w:right w:val="nil"/>
          <w:between w:val="nil"/>
          <w:bar w:val="nil"/>
        </w:pBdr>
        <w:rPr>
          <w:rFonts w:ascii="Arial" w:eastAsia="Arial" w:hAnsi="Arial" w:cs="Arial"/>
          <w:bdr w:val="nil"/>
        </w:rPr>
      </w:pPr>
      <w:r>
        <w:rPr>
          <w:rFonts w:ascii="Arial" w:eastAsia="Arial" w:hAnsi="Arial" w:cs="Arial"/>
          <w:lang w:eastAsia="el-GR"/>
        </w:rPr>
        <w:t>A</w:t>
      </w:r>
      <w:r w:rsidRPr="00C435AD">
        <w:rPr>
          <w:rFonts w:ascii="Arial" w:eastAsia="Arial" w:hAnsi="Arial" w:cs="Arial"/>
          <w:lang w:eastAsia="el-GR"/>
        </w:rPr>
        <w:t xml:space="preserve">s of December 31, 2025, </w:t>
      </w:r>
      <w:r>
        <w:rPr>
          <w:rFonts w:ascii="Arial" w:eastAsia="Arial" w:hAnsi="Arial" w:cs="Arial"/>
          <w:lang w:eastAsia="el-GR"/>
        </w:rPr>
        <w:t>t</w:t>
      </w:r>
      <w:r w:rsidR="00070EFA" w:rsidRPr="00C435AD">
        <w:rPr>
          <w:rFonts w:ascii="Arial" w:eastAsia="Arial" w:hAnsi="Arial" w:cs="Arial"/>
          <w:lang w:eastAsia="el-GR"/>
        </w:rPr>
        <w:t>he maturities of the Company’s bond and debt facilities throughout their term, are shown in the table below</w:t>
      </w:r>
      <w:r>
        <w:rPr>
          <w:rFonts w:ascii="Arial" w:eastAsia="Arial" w:hAnsi="Arial" w:cs="Arial"/>
          <w:lang w:eastAsia="el-GR"/>
        </w:rPr>
        <w:t xml:space="preserve"> and </w:t>
      </w:r>
      <w:r w:rsidR="00070EFA" w:rsidRPr="00C435AD">
        <w:rPr>
          <w:rFonts w:ascii="Arial" w:eastAsia="Arial" w:hAnsi="Arial" w:cs="Arial"/>
          <w:lang w:eastAsia="el-GR"/>
        </w:rPr>
        <w:t>do not include related debt issua</w:t>
      </w:r>
      <w:bookmarkEnd w:id="627"/>
      <w:r w:rsidR="00070EFA" w:rsidRPr="00C435AD">
        <w:rPr>
          <w:rFonts w:ascii="Arial" w:eastAsia="Arial" w:hAnsi="Arial" w:cs="Arial"/>
          <w:lang w:eastAsia="el-GR"/>
        </w:rPr>
        <w:t>nce costs</w:t>
      </w:r>
      <w:r w:rsidR="00070EFA">
        <w:rPr>
          <w:rFonts w:ascii="Arial" w:eastAsia="Arial" w:hAnsi="Arial" w:cs="Arial"/>
          <w:lang w:eastAsia="el-GR"/>
        </w:rPr>
        <w:t>.</w:t>
      </w:r>
      <w:bookmarkEnd w:id="628"/>
    </w:p>
    <w:p w14:paraId="71F3F7CE" w14:textId="77777777" w:rsidR="00510CAA" w:rsidRDefault="00510CAA"/>
    <w:tbl>
      <w:tblPr>
        <w:tblStyle w:val="CDMRange1"/>
        <w:tblW w:w="10260" w:type="dxa"/>
        <w:tblLayout w:type="fixed"/>
        <w:tblLook w:val="0600" w:firstRow="0" w:lastRow="0" w:firstColumn="0" w:lastColumn="0" w:noHBand="1" w:noVBand="1"/>
      </w:tblPr>
      <w:tblGrid>
        <w:gridCol w:w="1635"/>
        <w:gridCol w:w="450"/>
        <w:gridCol w:w="5670"/>
        <w:gridCol w:w="180"/>
        <w:gridCol w:w="2325"/>
      </w:tblGrid>
      <w:tr w:rsidR="00510CAA" w14:paraId="71F3F7D2" w14:textId="77777777">
        <w:trPr>
          <w:cantSplit/>
          <w:trHeight w:hRule="exact" w:val="276"/>
        </w:trPr>
        <w:tc>
          <w:tcPr>
            <w:tcW w:w="7755" w:type="dxa"/>
            <w:gridSpan w:val="3"/>
            <w:tcBorders>
              <w:top w:val="nil"/>
              <w:left w:val="nil"/>
              <w:bottom w:val="single" w:sz="4" w:space="0" w:color="000000"/>
              <w:right w:val="nil"/>
              <w:tl2br w:val="nil"/>
              <w:tr2bl w:val="nil"/>
            </w:tcBorders>
            <w:noWrap/>
            <w:tcMar>
              <w:left w:w="0" w:type="dxa"/>
              <w:right w:w="0" w:type="dxa"/>
            </w:tcMar>
            <w:vAlign w:val="bottom"/>
          </w:tcPr>
          <w:p w14:paraId="71F3F7CF" w14:textId="77777777" w:rsidR="00510CAA" w:rsidRDefault="003A4815">
            <w:pPr>
              <w:keepNext/>
              <w:rPr>
                <w:rFonts w:ascii="Arial" w:eastAsia="Arial" w:hAnsi="Arial" w:cs="Arial"/>
                <w:b/>
                <w:color w:val="000000"/>
                <w:sz w:val="20"/>
              </w:rPr>
            </w:pPr>
            <w:bookmarkStart w:id="697" w:name="RG_MARKER_23087"/>
            <w:r>
              <w:rPr>
                <w:rFonts w:ascii="Arial" w:eastAsia="Arial" w:hAnsi="Arial" w:cs="Arial"/>
                <w:b/>
                <w:color w:val="000000"/>
                <w:sz w:val="20"/>
              </w:rPr>
              <w:t>Period</w:t>
            </w:r>
            <w:bookmarkEnd w:id="697"/>
          </w:p>
        </w:tc>
        <w:tc>
          <w:tcPr>
            <w:tcW w:w="180" w:type="dxa"/>
            <w:tcBorders>
              <w:top w:val="nil"/>
              <w:left w:val="nil"/>
              <w:bottom w:val="nil"/>
              <w:right w:val="nil"/>
              <w:tl2br w:val="nil"/>
              <w:tr2bl w:val="nil"/>
            </w:tcBorders>
            <w:noWrap/>
            <w:tcMar>
              <w:left w:w="0" w:type="dxa"/>
              <w:right w:w="0" w:type="dxa"/>
            </w:tcMar>
            <w:vAlign w:val="bottom"/>
          </w:tcPr>
          <w:p w14:paraId="71F3F7D0" w14:textId="77777777" w:rsidR="00510CAA" w:rsidRDefault="00510CAA">
            <w:pPr>
              <w:keepNext/>
              <w:rPr>
                <w:rFonts w:ascii="Arial" w:eastAsia="Arial" w:hAnsi="Arial" w:cs="Arial"/>
                <w:b/>
                <w:color w:val="000000"/>
                <w:sz w:val="20"/>
              </w:rPr>
            </w:pPr>
          </w:p>
        </w:tc>
        <w:tc>
          <w:tcPr>
            <w:tcW w:w="2325" w:type="dxa"/>
            <w:tcBorders>
              <w:top w:val="nil"/>
              <w:left w:val="nil"/>
              <w:bottom w:val="single" w:sz="4" w:space="0" w:color="000000"/>
              <w:right w:val="nil"/>
              <w:tl2br w:val="nil"/>
              <w:tr2bl w:val="nil"/>
            </w:tcBorders>
            <w:noWrap/>
            <w:tcMar>
              <w:left w:w="0" w:type="dxa"/>
              <w:right w:w="0" w:type="dxa"/>
            </w:tcMar>
            <w:vAlign w:val="bottom"/>
          </w:tcPr>
          <w:p w14:paraId="71F3F7D1"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Principal Repayment</w:t>
            </w:r>
          </w:p>
        </w:tc>
      </w:tr>
      <w:tr w:rsidR="00510CAA" w14:paraId="71F3F7D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single" w:sz="4" w:space="0" w:color="000000"/>
              <w:left w:val="nil"/>
              <w:bottom w:val="nil"/>
              <w:right w:val="nil"/>
              <w:tl2br w:val="nil"/>
              <w:tr2bl w:val="nil"/>
            </w:tcBorders>
            <w:noWrap/>
            <w:tcMar>
              <w:left w:w="0" w:type="dxa"/>
              <w:right w:w="0" w:type="dxa"/>
            </w:tcMar>
            <w:vAlign w:val="bottom"/>
          </w:tcPr>
          <w:p w14:paraId="71F3F7D3" w14:textId="77777777" w:rsidR="00510CAA" w:rsidRDefault="003A4815">
            <w:pPr>
              <w:keepNext/>
              <w:rPr>
                <w:rFonts w:ascii="Arial" w:eastAsia="Arial" w:hAnsi="Arial" w:cs="Arial"/>
                <w:color w:val="000000"/>
                <w:sz w:val="20"/>
              </w:rPr>
            </w:pPr>
            <w:r>
              <w:rPr>
                <w:rFonts w:ascii="Arial" w:eastAsia="Arial" w:hAnsi="Arial" w:cs="Arial"/>
                <w:color w:val="000000"/>
                <w:sz w:val="20"/>
              </w:rPr>
              <w:t>Year 1</w:t>
            </w:r>
          </w:p>
        </w:tc>
        <w:tc>
          <w:tcPr>
            <w:tcW w:w="450" w:type="dxa"/>
            <w:tcBorders>
              <w:top w:val="single" w:sz="4" w:space="0" w:color="000000"/>
              <w:left w:val="nil"/>
              <w:bottom w:val="nil"/>
              <w:right w:val="nil"/>
              <w:tl2br w:val="nil"/>
              <w:tr2bl w:val="nil"/>
            </w:tcBorders>
            <w:noWrap/>
            <w:tcMar>
              <w:left w:w="0" w:type="dxa"/>
              <w:right w:w="0" w:type="dxa"/>
            </w:tcMar>
            <w:vAlign w:val="bottom"/>
          </w:tcPr>
          <w:p w14:paraId="71F3F7D4" w14:textId="77777777" w:rsidR="00510CAA" w:rsidRDefault="00510CAA">
            <w:pPr>
              <w:keepNext/>
              <w:jc w:val="center"/>
              <w:rPr>
                <w:rFonts w:ascii="Arial" w:eastAsia="Arial" w:hAnsi="Arial" w:cs="Arial"/>
                <w:color w:val="000000"/>
                <w:sz w:val="20"/>
              </w:rPr>
            </w:pPr>
          </w:p>
        </w:tc>
        <w:tc>
          <w:tcPr>
            <w:tcW w:w="5670" w:type="dxa"/>
            <w:tcBorders>
              <w:top w:val="single" w:sz="4" w:space="0" w:color="000000"/>
              <w:left w:val="nil"/>
              <w:bottom w:val="nil"/>
              <w:right w:val="nil"/>
              <w:tl2br w:val="nil"/>
              <w:tr2bl w:val="nil"/>
            </w:tcBorders>
            <w:noWrap/>
            <w:tcMar>
              <w:left w:w="0" w:type="dxa"/>
              <w:right w:w="0" w:type="dxa"/>
            </w:tcMar>
            <w:vAlign w:val="bottom"/>
          </w:tcPr>
          <w:p w14:paraId="71F3F7D5"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D6"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2325" w:type="dxa"/>
            <w:tcBorders>
              <w:top w:val="single" w:sz="4" w:space="0" w:color="000000"/>
              <w:left w:val="nil"/>
              <w:bottom w:val="nil"/>
              <w:right w:val="nil"/>
              <w:tl2br w:val="nil"/>
              <w:tr2bl w:val="nil"/>
            </w:tcBorders>
            <w:noWrap/>
            <w:tcMar>
              <w:left w:w="0" w:type="dxa"/>
              <w:right w:w="60" w:type="dxa"/>
            </w:tcMar>
            <w:vAlign w:val="bottom"/>
          </w:tcPr>
          <w:p w14:paraId="71F3F7D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52,149</w:t>
            </w:r>
          </w:p>
        </w:tc>
      </w:tr>
      <w:tr w:rsidR="00510CAA" w14:paraId="71F3F7D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0" w:type="dxa"/>
              <w:right w:w="0" w:type="dxa"/>
            </w:tcMar>
            <w:vAlign w:val="bottom"/>
          </w:tcPr>
          <w:p w14:paraId="71F3F7D9" w14:textId="77777777" w:rsidR="00510CAA" w:rsidRDefault="003A4815">
            <w:pPr>
              <w:keepNext/>
              <w:rPr>
                <w:rFonts w:ascii="Arial" w:eastAsia="Arial" w:hAnsi="Arial" w:cs="Arial"/>
                <w:color w:val="000000"/>
                <w:sz w:val="20"/>
              </w:rPr>
            </w:pPr>
            <w:r>
              <w:rPr>
                <w:rFonts w:ascii="Arial" w:eastAsia="Arial" w:hAnsi="Arial" w:cs="Arial"/>
                <w:color w:val="000000"/>
                <w:sz w:val="20"/>
              </w:rPr>
              <w:t>Year 2</w:t>
            </w:r>
          </w:p>
        </w:tc>
        <w:tc>
          <w:tcPr>
            <w:tcW w:w="450" w:type="dxa"/>
            <w:tcBorders>
              <w:top w:val="nil"/>
              <w:left w:val="nil"/>
              <w:bottom w:val="nil"/>
              <w:right w:val="nil"/>
              <w:tl2br w:val="nil"/>
              <w:tr2bl w:val="nil"/>
            </w:tcBorders>
            <w:noWrap/>
            <w:tcMar>
              <w:left w:w="0" w:type="dxa"/>
              <w:right w:w="0" w:type="dxa"/>
            </w:tcMar>
            <w:vAlign w:val="bottom"/>
          </w:tcPr>
          <w:p w14:paraId="71F3F7DA" w14:textId="77777777" w:rsidR="00510CAA" w:rsidRDefault="00510CAA">
            <w:pPr>
              <w:keepNext/>
              <w:jc w:val="center"/>
              <w:rPr>
                <w:rFonts w:ascii="Arial" w:eastAsia="Arial" w:hAnsi="Arial" w:cs="Arial"/>
                <w:color w:val="000000"/>
                <w:sz w:val="20"/>
              </w:rPr>
            </w:pPr>
          </w:p>
        </w:tc>
        <w:tc>
          <w:tcPr>
            <w:tcW w:w="5670" w:type="dxa"/>
            <w:tcBorders>
              <w:top w:val="nil"/>
              <w:left w:val="nil"/>
              <w:bottom w:val="nil"/>
              <w:right w:val="nil"/>
              <w:tl2br w:val="nil"/>
              <w:tr2bl w:val="nil"/>
            </w:tcBorders>
            <w:noWrap/>
            <w:tcMar>
              <w:left w:w="0" w:type="dxa"/>
              <w:right w:w="0" w:type="dxa"/>
            </w:tcMar>
            <w:vAlign w:val="bottom"/>
          </w:tcPr>
          <w:p w14:paraId="71F3F7DB"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DC"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0" w:type="dxa"/>
              <w:right w:w="60" w:type="dxa"/>
            </w:tcMar>
            <w:vAlign w:val="bottom"/>
          </w:tcPr>
          <w:p w14:paraId="71F3F7DD"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52,149</w:t>
            </w:r>
          </w:p>
        </w:tc>
      </w:tr>
      <w:tr w:rsidR="00510CAA" w14:paraId="71F3F7E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0" w:type="dxa"/>
              <w:right w:w="0" w:type="dxa"/>
            </w:tcMar>
            <w:vAlign w:val="bottom"/>
          </w:tcPr>
          <w:p w14:paraId="71F3F7DF" w14:textId="77777777" w:rsidR="00510CAA" w:rsidRDefault="003A4815">
            <w:pPr>
              <w:keepNext/>
              <w:rPr>
                <w:rFonts w:ascii="Arial" w:eastAsia="Arial" w:hAnsi="Arial" w:cs="Arial"/>
                <w:color w:val="000000"/>
                <w:sz w:val="20"/>
              </w:rPr>
            </w:pPr>
            <w:r>
              <w:rPr>
                <w:rFonts w:ascii="Arial" w:eastAsia="Arial" w:hAnsi="Arial" w:cs="Arial"/>
                <w:color w:val="000000"/>
                <w:sz w:val="20"/>
              </w:rPr>
              <w:t>Year 3</w:t>
            </w:r>
          </w:p>
        </w:tc>
        <w:tc>
          <w:tcPr>
            <w:tcW w:w="450" w:type="dxa"/>
            <w:tcBorders>
              <w:top w:val="nil"/>
              <w:left w:val="nil"/>
              <w:bottom w:val="nil"/>
              <w:right w:val="nil"/>
              <w:tl2br w:val="nil"/>
              <w:tr2bl w:val="nil"/>
            </w:tcBorders>
            <w:noWrap/>
            <w:tcMar>
              <w:left w:w="0" w:type="dxa"/>
              <w:right w:w="0" w:type="dxa"/>
            </w:tcMar>
            <w:vAlign w:val="bottom"/>
          </w:tcPr>
          <w:p w14:paraId="71F3F7E0" w14:textId="77777777" w:rsidR="00510CAA" w:rsidRDefault="00510CAA">
            <w:pPr>
              <w:keepNext/>
              <w:jc w:val="center"/>
              <w:rPr>
                <w:rFonts w:ascii="Arial" w:eastAsia="Arial" w:hAnsi="Arial" w:cs="Arial"/>
                <w:color w:val="000000"/>
                <w:sz w:val="20"/>
              </w:rPr>
            </w:pPr>
          </w:p>
        </w:tc>
        <w:tc>
          <w:tcPr>
            <w:tcW w:w="5670" w:type="dxa"/>
            <w:tcBorders>
              <w:top w:val="nil"/>
              <w:left w:val="nil"/>
              <w:bottom w:val="nil"/>
              <w:right w:val="nil"/>
              <w:tl2br w:val="nil"/>
              <w:tr2bl w:val="nil"/>
            </w:tcBorders>
            <w:noWrap/>
            <w:tcMar>
              <w:left w:w="0" w:type="dxa"/>
              <w:right w:w="0" w:type="dxa"/>
            </w:tcMar>
            <w:vAlign w:val="bottom"/>
          </w:tcPr>
          <w:p w14:paraId="71F3F7E1"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E2"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0" w:type="dxa"/>
              <w:right w:w="60" w:type="dxa"/>
            </w:tcMar>
            <w:vAlign w:val="bottom"/>
          </w:tcPr>
          <w:p w14:paraId="71F3F7E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52,149</w:t>
            </w:r>
          </w:p>
        </w:tc>
      </w:tr>
      <w:tr w:rsidR="00510CAA" w14:paraId="71F3F7E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0" w:type="dxa"/>
              <w:right w:w="0" w:type="dxa"/>
            </w:tcMar>
            <w:vAlign w:val="bottom"/>
          </w:tcPr>
          <w:p w14:paraId="71F3F7E5" w14:textId="77777777" w:rsidR="00510CAA" w:rsidRDefault="003A4815">
            <w:pPr>
              <w:keepNext/>
              <w:rPr>
                <w:rFonts w:ascii="Arial" w:eastAsia="Arial" w:hAnsi="Arial" w:cs="Arial"/>
                <w:color w:val="000000"/>
                <w:sz w:val="20"/>
              </w:rPr>
            </w:pPr>
            <w:r>
              <w:rPr>
                <w:rFonts w:ascii="Arial" w:eastAsia="Arial" w:hAnsi="Arial" w:cs="Arial"/>
                <w:color w:val="000000"/>
                <w:sz w:val="20"/>
              </w:rPr>
              <w:t>Year 4</w:t>
            </w:r>
          </w:p>
        </w:tc>
        <w:tc>
          <w:tcPr>
            <w:tcW w:w="450" w:type="dxa"/>
            <w:tcBorders>
              <w:top w:val="nil"/>
              <w:left w:val="nil"/>
              <w:bottom w:val="nil"/>
              <w:right w:val="nil"/>
              <w:tl2br w:val="nil"/>
              <w:tr2bl w:val="nil"/>
            </w:tcBorders>
            <w:noWrap/>
            <w:tcMar>
              <w:left w:w="0" w:type="dxa"/>
              <w:right w:w="0" w:type="dxa"/>
            </w:tcMar>
            <w:vAlign w:val="bottom"/>
          </w:tcPr>
          <w:p w14:paraId="71F3F7E6" w14:textId="77777777" w:rsidR="00510CAA" w:rsidRDefault="00510CAA">
            <w:pPr>
              <w:keepNext/>
              <w:jc w:val="center"/>
              <w:rPr>
                <w:rFonts w:ascii="Arial" w:eastAsia="Arial" w:hAnsi="Arial" w:cs="Arial"/>
                <w:color w:val="000000"/>
                <w:sz w:val="20"/>
              </w:rPr>
            </w:pPr>
          </w:p>
        </w:tc>
        <w:tc>
          <w:tcPr>
            <w:tcW w:w="5670" w:type="dxa"/>
            <w:tcBorders>
              <w:top w:val="nil"/>
              <w:left w:val="nil"/>
              <w:bottom w:val="nil"/>
              <w:right w:val="nil"/>
              <w:tl2br w:val="nil"/>
              <w:tr2bl w:val="nil"/>
            </w:tcBorders>
            <w:noWrap/>
            <w:tcMar>
              <w:left w:w="0" w:type="dxa"/>
              <w:right w:w="0" w:type="dxa"/>
            </w:tcMar>
            <w:vAlign w:val="bottom"/>
          </w:tcPr>
          <w:p w14:paraId="71F3F7E7"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E8"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0" w:type="dxa"/>
              <w:right w:w="60" w:type="dxa"/>
            </w:tcMar>
            <w:vAlign w:val="bottom"/>
          </w:tcPr>
          <w:p w14:paraId="71F3F7E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227,149</w:t>
            </w:r>
          </w:p>
        </w:tc>
      </w:tr>
      <w:tr w:rsidR="00510CAA" w14:paraId="71F3F7F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0" w:type="dxa"/>
              <w:right w:w="0" w:type="dxa"/>
            </w:tcMar>
            <w:vAlign w:val="bottom"/>
          </w:tcPr>
          <w:p w14:paraId="71F3F7EB" w14:textId="77777777" w:rsidR="00510CAA" w:rsidRDefault="003A4815">
            <w:pPr>
              <w:keepNext/>
              <w:rPr>
                <w:rFonts w:ascii="Arial" w:eastAsia="Arial" w:hAnsi="Arial" w:cs="Arial"/>
                <w:color w:val="000000"/>
                <w:sz w:val="20"/>
              </w:rPr>
            </w:pPr>
            <w:r>
              <w:rPr>
                <w:rFonts w:ascii="Arial" w:eastAsia="Arial" w:hAnsi="Arial" w:cs="Arial"/>
                <w:color w:val="000000"/>
                <w:sz w:val="20"/>
              </w:rPr>
              <w:t>Year 5</w:t>
            </w:r>
          </w:p>
        </w:tc>
        <w:tc>
          <w:tcPr>
            <w:tcW w:w="450" w:type="dxa"/>
            <w:tcBorders>
              <w:top w:val="nil"/>
              <w:left w:val="nil"/>
              <w:bottom w:val="nil"/>
              <w:right w:val="nil"/>
              <w:tl2br w:val="nil"/>
              <w:tr2bl w:val="nil"/>
            </w:tcBorders>
            <w:noWrap/>
            <w:tcMar>
              <w:left w:w="0" w:type="dxa"/>
              <w:right w:w="0" w:type="dxa"/>
            </w:tcMar>
            <w:vAlign w:val="bottom"/>
          </w:tcPr>
          <w:p w14:paraId="71F3F7EC" w14:textId="77777777" w:rsidR="00510CAA" w:rsidRDefault="00510CAA">
            <w:pPr>
              <w:keepNext/>
              <w:jc w:val="center"/>
              <w:rPr>
                <w:rFonts w:ascii="Arial" w:eastAsia="Arial" w:hAnsi="Arial" w:cs="Arial"/>
                <w:color w:val="000000"/>
                <w:sz w:val="20"/>
              </w:rPr>
            </w:pPr>
          </w:p>
        </w:tc>
        <w:tc>
          <w:tcPr>
            <w:tcW w:w="5670" w:type="dxa"/>
            <w:tcBorders>
              <w:top w:val="nil"/>
              <w:left w:val="nil"/>
              <w:bottom w:val="nil"/>
              <w:right w:val="nil"/>
              <w:tl2br w:val="nil"/>
              <w:tr2bl w:val="nil"/>
            </w:tcBorders>
            <w:noWrap/>
            <w:tcMar>
              <w:left w:w="0" w:type="dxa"/>
              <w:right w:w="0" w:type="dxa"/>
            </w:tcMar>
            <w:vAlign w:val="bottom"/>
          </w:tcPr>
          <w:p w14:paraId="71F3F7ED"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EE"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0" w:type="dxa"/>
              <w:right w:w="60" w:type="dxa"/>
            </w:tcMar>
            <w:vAlign w:val="bottom"/>
          </w:tcPr>
          <w:p w14:paraId="71F3F7E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92,684</w:t>
            </w:r>
          </w:p>
        </w:tc>
      </w:tr>
      <w:tr w:rsidR="00510CAA" w14:paraId="71F3F7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7755" w:type="dxa"/>
            <w:gridSpan w:val="3"/>
            <w:tcBorders>
              <w:top w:val="nil"/>
              <w:left w:val="nil"/>
              <w:bottom w:val="nil"/>
              <w:right w:val="nil"/>
              <w:tl2br w:val="nil"/>
              <w:tr2bl w:val="nil"/>
            </w:tcBorders>
            <w:noWrap/>
            <w:tcMar>
              <w:left w:w="0" w:type="dxa"/>
              <w:right w:w="0" w:type="dxa"/>
            </w:tcMar>
            <w:vAlign w:val="bottom"/>
          </w:tcPr>
          <w:p w14:paraId="71F3F7F1" w14:textId="77777777" w:rsidR="00510CAA" w:rsidRDefault="003A4815">
            <w:pPr>
              <w:keepNext/>
              <w:rPr>
                <w:rFonts w:ascii="Arial" w:eastAsia="Arial" w:hAnsi="Arial" w:cs="Arial"/>
                <w:color w:val="000000"/>
                <w:sz w:val="20"/>
              </w:rPr>
            </w:pPr>
            <w:r>
              <w:rPr>
                <w:rFonts w:ascii="Arial" w:eastAsia="Arial" w:hAnsi="Arial" w:cs="Arial"/>
                <w:color w:val="000000"/>
                <w:sz w:val="20"/>
              </w:rPr>
              <w:t>Year 6 and thereafter</w:t>
            </w:r>
          </w:p>
        </w:tc>
        <w:tc>
          <w:tcPr>
            <w:tcW w:w="180" w:type="dxa"/>
            <w:tcBorders>
              <w:top w:val="nil"/>
              <w:left w:val="nil"/>
              <w:bottom w:val="nil"/>
              <w:right w:val="nil"/>
              <w:tl2br w:val="nil"/>
              <w:tr2bl w:val="nil"/>
            </w:tcBorders>
            <w:noWrap/>
            <w:tcMar>
              <w:left w:w="0" w:type="dxa"/>
              <w:right w:w="0" w:type="dxa"/>
            </w:tcMar>
            <w:vAlign w:val="bottom"/>
          </w:tcPr>
          <w:p w14:paraId="71F3F7F2" w14:textId="77777777" w:rsidR="00510CAA" w:rsidRDefault="00510CAA">
            <w:pPr>
              <w:keepNext/>
              <w:rPr>
                <w:rFonts w:ascii="Arial" w:eastAsia="Arial" w:hAnsi="Arial" w:cs="Arial"/>
                <w:color w:val="000000"/>
                <w:sz w:val="20"/>
              </w:rPr>
            </w:pPr>
          </w:p>
        </w:tc>
        <w:tc>
          <w:tcPr>
            <w:tcW w:w="2325" w:type="dxa"/>
            <w:tcBorders>
              <w:top w:val="nil"/>
              <w:left w:val="nil"/>
              <w:bottom w:val="single" w:sz="4" w:space="0" w:color="000000"/>
              <w:right w:val="nil"/>
              <w:tl2br w:val="nil"/>
              <w:tr2bl w:val="nil"/>
            </w:tcBorders>
            <w:noWrap/>
            <w:tcMar>
              <w:left w:w="0" w:type="dxa"/>
              <w:right w:w="60" w:type="dxa"/>
            </w:tcMar>
            <w:vAlign w:val="bottom"/>
          </w:tcPr>
          <w:p w14:paraId="71F3F7F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52,909</w:t>
            </w:r>
          </w:p>
        </w:tc>
      </w:tr>
      <w:tr w:rsidR="00510CAA" w14:paraId="71F3F7F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8"/>
        </w:trPr>
        <w:tc>
          <w:tcPr>
            <w:tcW w:w="1635" w:type="dxa"/>
            <w:tcBorders>
              <w:top w:val="nil"/>
              <w:left w:val="nil"/>
              <w:bottom w:val="nil"/>
              <w:right w:val="nil"/>
              <w:tl2br w:val="nil"/>
              <w:tr2bl w:val="nil"/>
            </w:tcBorders>
            <w:noWrap/>
            <w:tcMar>
              <w:left w:w="0" w:type="dxa"/>
              <w:right w:w="0" w:type="dxa"/>
            </w:tcMar>
            <w:vAlign w:val="bottom"/>
          </w:tcPr>
          <w:p w14:paraId="71F3F7F5" w14:textId="77777777" w:rsidR="00510CAA" w:rsidRDefault="003A4815">
            <w:pPr>
              <w:keepNext/>
              <w:rPr>
                <w:rFonts w:ascii="Arial" w:eastAsia="Arial" w:hAnsi="Arial" w:cs="Arial"/>
                <w:b/>
                <w:color w:val="000000"/>
                <w:sz w:val="20"/>
              </w:rPr>
            </w:pPr>
            <w:r>
              <w:rPr>
                <w:rFonts w:ascii="Arial" w:eastAsia="Arial" w:hAnsi="Arial" w:cs="Arial"/>
                <w:b/>
                <w:color w:val="000000"/>
                <w:sz w:val="20"/>
              </w:rPr>
              <w:t>Total</w:t>
            </w:r>
          </w:p>
        </w:tc>
        <w:tc>
          <w:tcPr>
            <w:tcW w:w="450" w:type="dxa"/>
            <w:tcBorders>
              <w:top w:val="nil"/>
              <w:left w:val="nil"/>
              <w:bottom w:val="nil"/>
              <w:right w:val="nil"/>
              <w:tl2br w:val="nil"/>
              <w:tr2bl w:val="nil"/>
            </w:tcBorders>
            <w:noWrap/>
            <w:tcMar>
              <w:left w:w="0" w:type="dxa"/>
              <w:right w:w="0" w:type="dxa"/>
            </w:tcMar>
            <w:vAlign w:val="bottom"/>
          </w:tcPr>
          <w:p w14:paraId="71F3F7F6" w14:textId="77777777" w:rsidR="00510CAA" w:rsidRDefault="00510CAA">
            <w:pPr>
              <w:keepNext/>
              <w:rPr>
                <w:rFonts w:ascii="Arial" w:eastAsia="Arial" w:hAnsi="Arial" w:cs="Arial"/>
                <w:color w:val="000000"/>
                <w:sz w:val="20"/>
              </w:rPr>
            </w:pPr>
          </w:p>
        </w:tc>
        <w:tc>
          <w:tcPr>
            <w:tcW w:w="5670" w:type="dxa"/>
            <w:tcBorders>
              <w:top w:val="nil"/>
              <w:left w:val="nil"/>
              <w:bottom w:val="nil"/>
              <w:right w:val="nil"/>
              <w:tl2br w:val="nil"/>
              <w:tr2bl w:val="nil"/>
            </w:tcBorders>
            <w:noWrap/>
            <w:tcMar>
              <w:left w:w="0" w:type="dxa"/>
              <w:right w:w="0" w:type="dxa"/>
            </w:tcMar>
            <w:vAlign w:val="bottom"/>
          </w:tcPr>
          <w:p w14:paraId="71F3F7F7"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7F8" w14:textId="77777777" w:rsidR="00510CAA" w:rsidRDefault="003A4815">
            <w:pPr>
              <w:keepNext/>
              <w:rPr>
                <w:rFonts w:ascii="Arial" w:eastAsia="Arial" w:hAnsi="Arial" w:cs="Arial"/>
                <w:b/>
                <w:color w:val="000000"/>
                <w:sz w:val="20"/>
              </w:rPr>
            </w:pPr>
            <w:r>
              <w:rPr>
                <w:rFonts w:ascii="Arial" w:eastAsia="Arial" w:hAnsi="Arial" w:cs="Arial"/>
                <w:b/>
                <w:color w:val="000000"/>
                <w:sz w:val="20"/>
              </w:rPr>
              <w:t>$</w:t>
            </w:r>
          </w:p>
        </w:tc>
        <w:tc>
          <w:tcPr>
            <w:tcW w:w="2325" w:type="dxa"/>
            <w:tcBorders>
              <w:top w:val="single" w:sz="4" w:space="0" w:color="000000"/>
              <w:left w:val="nil"/>
              <w:bottom w:val="single" w:sz="12" w:space="0" w:color="000000"/>
              <w:right w:val="nil"/>
              <w:tl2br w:val="nil"/>
              <w:tr2bl w:val="nil"/>
            </w:tcBorders>
            <w:noWrap/>
            <w:tcMar>
              <w:left w:w="0" w:type="dxa"/>
              <w:right w:w="60" w:type="dxa"/>
            </w:tcMar>
            <w:vAlign w:val="bottom"/>
          </w:tcPr>
          <w:p w14:paraId="71F3F7F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529,189</w:t>
            </w:r>
          </w:p>
        </w:tc>
      </w:tr>
    </w:tbl>
    <w:p w14:paraId="71F3F7FB" w14:textId="77777777" w:rsidR="00510CAA" w:rsidRDefault="00510CAA">
      <w:pPr>
        <w:pBdr>
          <w:top w:val="nil"/>
          <w:left w:val="nil"/>
          <w:bottom w:val="nil"/>
          <w:right w:val="nil"/>
          <w:between w:val="nil"/>
          <w:bar w:val="nil"/>
        </w:pBdr>
        <w:rPr>
          <w:rFonts w:eastAsia="Times New Roman"/>
          <w:bdr w:val="nil"/>
          <w:lang w:val="en-US"/>
        </w:rPr>
      </w:pPr>
    </w:p>
    <w:p w14:paraId="71F3F7FC" w14:textId="77777777" w:rsidR="00D06C9A" w:rsidRPr="00A42084" w:rsidRDefault="003A4815" w:rsidP="00A42084">
      <w:pPr>
        <w:pStyle w:val="Style1"/>
        <w:keepLines/>
        <w:pBdr>
          <w:top w:val="nil"/>
          <w:left w:val="nil"/>
          <w:bottom w:val="nil"/>
          <w:right w:val="nil"/>
          <w:between w:val="nil"/>
          <w:bar w:val="nil"/>
        </w:pBdr>
        <w:jc w:val="both"/>
        <w:rPr>
          <w:rFonts w:eastAsia="Arial" w:cs="Arial"/>
          <w:sz w:val="22"/>
          <w:bdr w:val="nil"/>
        </w:rPr>
      </w:pPr>
      <w:bookmarkStart w:id="698" w:name="RG_MARKER_23121"/>
      <w:bookmarkStart w:id="699" w:name="RG_MARKER_23120"/>
      <w:bookmarkStart w:id="700" w:name="_Ref157237496"/>
      <w:bookmarkStart w:id="701" w:name="XBRL_TS_8e464dbc028b4fb5a5c48e88b4fa5613"/>
      <w:r w:rsidRPr="00A42084">
        <w:rPr>
          <w:rFonts w:eastAsia="Arial" w:cs="Arial"/>
          <w:sz w:val="22"/>
        </w:rPr>
        <w:t>9.</w:t>
      </w:r>
      <w:bookmarkEnd w:id="698"/>
      <w:bookmarkEnd w:id="699"/>
      <w:r w:rsidRPr="00A42084">
        <w:rPr>
          <w:rFonts w:eastAsia="Arial" w:cs="Arial"/>
          <w:sz w:val="22"/>
        </w:rPr>
        <w:tab/>
      </w:r>
      <w:bookmarkEnd w:id="700"/>
      <w:r w:rsidRPr="00A42084">
        <w:rPr>
          <w:rFonts w:eastAsia="Arial" w:cs="Arial"/>
          <w:sz w:val="22"/>
        </w:rPr>
        <w:t>Finance Liabilities</w:t>
      </w:r>
    </w:p>
    <w:p w14:paraId="71F3F7FD" w14:textId="77777777" w:rsidR="00D06C9A" w:rsidRDefault="00D06C9A" w:rsidP="004C415E">
      <w:pPr>
        <w:pStyle w:val="Notesbody"/>
        <w:keepLines/>
        <w:pBdr>
          <w:top w:val="nil"/>
          <w:left w:val="nil"/>
          <w:bottom w:val="nil"/>
          <w:right w:val="nil"/>
          <w:between w:val="nil"/>
          <w:bar w:val="nil"/>
        </w:pBdr>
        <w:rPr>
          <w:rFonts w:ascii="Arial" w:eastAsia="Arial" w:hAnsi="Arial" w:cs="Arial"/>
          <w:bdr w:val="nil"/>
          <w:lang w:val="en-GB"/>
        </w:rPr>
      </w:pPr>
    </w:p>
    <w:p w14:paraId="71F3F7FE" w14:textId="77777777" w:rsidR="00092745" w:rsidRPr="000A7051" w:rsidRDefault="003A4815" w:rsidP="004C415E">
      <w:pPr>
        <w:pStyle w:val="Notesbody"/>
        <w:keepLines/>
        <w:pBdr>
          <w:top w:val="nil"/>
          <w:left w:val="nil"/>
          <w:bottom w:val="nil"/>
          <w:right w:val="nil"/>
          <w:between w:val="nil"/>
          <w:bar w:val="nil"/>
        </w:pBdr>
        <w:rPr>
          <w:rFonts w:ascii="Arial" w:eastAsia="Arial" w:hAnsi="Arial" w:cs="Arial"/>
          <w:bdr w:val="nil"/>
          <w:lang w:val="en-GB"/>
        </w:rPr>
      </w:pPr>
      <w:r w:rsidRPr="000A7051">
        <w:rPr>
          <w:rFonts w:ascii="Arial" w:eastAsia="Arial" w:hAnsi="Arial" w:cs="Arial"/>
          <w:szCs w:val="20"/>
          <w:lang w:val="en-GB" w:eastAsia="el-GR"/>
        </w:rPr>
        <w:t xml:space="preserve">On March 29, 2022, the Company </w:t>
      </w:r>
      <w:r w:rsidR="009A6EB9" w:rsidRPr="000A7051">
        <w:rPr>
          <w:rFonts w:ascii="Arial" w:eastAsia="Arial" w:hAnsi="Arial" w:cs="Arial"/>
          <w:szCs w:val="20"/>
          <w:lang w:val="en-GB" w:eastAsia="el-GR"/>
        </w:rPr>
        <w:t xml:space="preserve">sold </w:t>
      </w:r>
      <w:r w:rsidR="009A6EB9" w:rsidRPr="000A7051">
        <w:rPr>
          <w:rFonts w:ascii="Arial" w:eastAsia="Arial" w:hAnsi="Arial" w:cs="Arial"/>
          <w:i/>
          <w:szCs w:val="20"/>
          <w:lang w:val="en-GB" w:eastAsia="el-GR"/>
        </w:rPr>
        <w:t>Florida</w:t>
      </w:r>
      <w:r w:rsidRPr="000A7051">
        <w:rPr>
          <w:rFonts w:ascii="Arial" w:eastAsia="Arial" w:hAnsi="Arial" w:cs="Arial"/>
          <w:szCs w:val="20"/>
          <w:lang w:val="en-GB" w:eastAsia="el-GR"/>
        </w:rPr>
        <w:t xml:space="preserve"> </w:t>
      </w:r>
      <w:r w:rsidR="009A6EB9" w:rsidRPr="000A7051">
        <w:rPr>
          <w:rFonts w:ascii="Arial" w:eastAsia="Arial" w:hAnsi="Arial" w:cs="Arial"/>
          <w:szCs w:val="20"/>
          <w:lang w:val="en-GB" w:eastAsia="el-GR"/>
        </w:rPr>
        <w:t xml:space="preserve">to </w:t>
      </w:r>
      <w:r w:rsidRPr="000A7051">
        <w:rPr>
          <w:rFonts w:ascii="Arial" w:eastAsia="Arial" w:hAnsi="Arial" w:cs="Arial"/>
          <w:szCs w:val="20"/>
          <w:lang w:val="en-GB" w:eastAsia="el-GR"/>
        </w:rPr>
        <w:t xml:space="preserve">an unrelated third party </w:t>
      </w:r>
      <w:r w:rsidR="00FA0536">
        <w:rPr>
          <w:rFonts w:ascii="Arial" w:eastAsia="Arial" w:hAnsi="Arial" w:cs="Arial"/>
          <w:szCs w:val="20"/>
          <w:lang w:val="en-GB" w:eastAsia="el-GR"/>
        </w:rPr>
        <w:t xml:space="preserve">and leased back the vessel from the buyer </w:t>
      </w:r>
      <w:r w:rsidR="009A6EB9" w:rsidRPr="000A7051">
        <w:rPr>
          <w:rFonts w:ascii="Arial" w:eastAsia="Arial" w:hAnsi="Arial" w:cs="Arial"/>
          <w:szCs w:val="20"/>
          <w:lang w:val="en-GB" w:eastAsia="el-GR"/>
        </w:rPr>
        <w:t xml:space="preserve">for a period of </w:t>
      </w:r>
      <w:bookmarkStart w:id="702" w:name="XBRL_CS_2ad518550f7746f78ca80c485fa72656"/>
      <w:r w:rsidR="009A6EB9" w:rsidRPr="000A7051">
        <w:rPr>
          <w:rFonts w:ascii="Arial" w:eastAsia="Arial" w:hAnsi="Arial" w:cs="Arial"/>
          <w:szCs w:val="20"/>
          <w:lang w:val="en-GB" w:eastAsia="el-GR"/>
        </w:rPr>
        <w:t>ten year</w:t>
      </w:r>
      <w:r w:rsidRPr="000A7051">
        <w:rPr>
          <w:rFonts w:ascii="Arial" w:eastAsia="Arial" w:hAnsi="Arial" w:cs="Arial"/>
          <w:szCs w:val="20"/>
          <w:lang w:val="en-GB" w:eastAsia="el-GR"/>
        </w:rPr>
        <w:t>s</w:t>
      </w:r>
      <w:bookmarkEnd w:id="702"/>
      <w:r w:rsidRPr="000A7051">
        <w:rPr>
          <w:rFonts w:ascii="Arial" w:eastAsia="Arial" w:hAnsi="Arial" w:cs="Arial"/>
          <w:szCs w:val="20"/>
          <w:lang w:val="en-GB" w:eastAsia="el-GR"/>
        </w:rPr>
        <w:t>, under which the Company pays</w:t>
      </w:r>
      <w:r w:rsidR="00FA0536">
        <w:rPr>
          <w:rFonts w:ascii="Arial" w:eastAsia="Arial" w:hAnsi="Arial" w:cs="Arial"/>
          <w:szCs w:val="20"/>
          <w:lang w:val="en-GB" w:eastAsia="el-GR"/>
        </w:rPr>
        <w:t xml:space="preserve"> a fixed</w:t>
      </w:r>
      <w:r w:rsidRPr="000A7051">
        <w:rPr>
          <w:rFonts w:ascii="Arial" w:eastAsia="Arial" w:hAnsi="Arial" w:cs="Arial"/>
          <w:szCs w:val="20"/>
          <w:lang w:val="en-GB" w:eastAsia="el-GR"/>
        </w:rPr>
        <w:t xml:space="preserve"> monthly </w:t>
      </w:r>
      <w:r w:rsidR="00FA0536">
        <w:rPr>
          <w:rFonts w:ascii="Arial" w:eastAsia="Arial" w:hAnsi="Arial" w:cs="Arial"/>
          <w:szCs w:val="20"/>
          <w:lang w:val="en-GB" w:eastAsia="el-GR"/>
        </w:rPr>
        <w:t>hire</w:t>
      </w:r>
      <w:r w:rsidR="009A6EB9" w:rsidRPr="000A7051">
        <w:rPr>
          <w:rFonts w:ascii="Arial" w:eastAsia="Arial" w:hAnsi="Arial" w:cs="Arial"/>
          <w:szCs w:val="20"/>
          <w:lang w:val="en-GB" w:eastAsia="el-GR"/>
        </w:rPr>
        <w:t>.</w:t>
      </w:r>
      <w:r>
        <w:rPr>
          <w:rFonts w:ascii="Arial" w:eastAsia="Arial" w:hAnsi="Arial" w:cs="Arial"/>
          <w:szCs w:val="20"/>
          <w:lang w:val="en-GB" w:eastAsia="el-GR"/>
        </w:rPr>
        <w:t xml:space="preserve"> T</w:t>
      </w:r>
      <w:r w:rsidRPr="000A7051">
        <w:rPr>
          <w:rFonts w:ascii="Arial" w:eastAsia="Arial" w:hAnsi="Arial" w:cs="Arial"/>
          <w:szCs w:val="20"/>
          <w:lang w:val="en-GB" w:eastAsia="el-GR"/>
        </w:rPr>
        <w:t xml:space="preserve">he Company </w:t>
      </w:r>
      <w:r w:rsidR="00FA0536" w:rsidRPr="000A7051">
        <w:rPr>
          <w:rFonts w:ascii="Arial" w:eastAsia="Arial" w:hAnsi="Arial" w:cs="Arial"/>
          <w:szCs w:val="20"/>
          <w:lang w:val="en-GB" w:eastAsia="el-GR"/>
        </w:rPr>
        <w:t xml:space="preserve">has the option to repurchase the vessel </w:t>
      </w:r>
      <w:r w:rsidRPr="000A7051">
        <w:rPr>
          <w:rFonts w:ascii="Arial" w:eastAsia="Arial" w:hAnsi="Arial" w:cs="Arial"/>
          <w:szCs w:val="20"/>
          <w:lang w:val="en-GB" w:eastAsia="el-GR"/>
        </w:rPr>
        <w:t xml:space="preserve">at specific prices, after the end of the third year of the charter period </w:t>
      </w:r>
      <w:r>
        <w:rPr>
          <w:rFonts w:ascii="Arial" w:eastAsia="Arial" w:hAnsi="Arial" w:cs="Arial"/>
          <w:szCs w:val="20"/>
          <w:lang w:val="en-GB" w:eastAsia="el-GR"/>
        </w:rPr>
        <w:t xml:space="preserve">and for </w:t>
      </w:r>
      <w:r w:rsidRPr="000A7051">
        <w:rPr>
          <w:rFonts w:ascii="Arial" w:eastAsia="Arial" w:hAnsi="Arial" w:cs="Arial"/>
          <w:szCs w:val="20"/>
          <w:lang w:val="en-GB" w:eastAsia="el-GR"/>
        </w:rPr>
        <w:t xml:space="preserve">each year thereafter, </w:t>
      </w:r>
      <w:r w:rsidR="00FA0536">
        <w:rPr>
          <w:rFonts w:ascii="Arial" w:eastAsia="Arial" w:hAnsi="Arial" w:cs="Arial"/>
          <w:szCs w:val="20"/>
          <w:lang w:val="en-GB" w:eastAsia="el-GR"/>
        </w:rPr>
        <w:t>and the obligation</w:t>
      </w:r>
      <w:r w:rsidRPr="000A7051">
        <w:rPr>
          <w:rFonts w:ascii="Arial" w:eastAsia="Arial" w:hAnsi="Arial" w:cs="Arial"/>
          <w:szCs w:val="20"/>
          <w:lang w:val="en-GB" w:eastAsia="el-GR"/>
        </w:rPr>
        <w:t xml:space="preserve"> </w:t>
      </w:r>
      <w:r>
        <w:rPr>
          <w:rFonts w:ascii="Arial" w:eastAsia="Arial" w:hAnsi="Arial" w:cs="Arial"/>
          <w:szCs w:val="20"/>
          <w:lang w:val="en-GB" w:eastAsia="el-GR"/>
        </w:rPr>
        <w:t xml:space="preserve">to purchase the vessel </w:t>
      </w:r>
      <w:r w:rsidR="00230AC3" w:rsidRPr="000A7051">
        <w:rPr>
          <w:rFonts w:ascii="Arial" w:eastAsia="Arial" w:hAnsi="Arial" w:cs="Arial"/>
          <w:szCs w:val="20"/>
          <w:lang w:val="en-GB" w:eastAsia="el-GR"/>
        </w:rPr>
        <w:t>on the expiration of the lease on the tenth year</w:t>
      </w:r>
      <w:r w:rsidRPr="000A7051">
        <w:rPr>
          <w:rFonts w:ascii="Arial" w:eastAsia="Arial" w:hAnsi="Arial" w:cs="Arial"/>
          <w:szCs w:val="20"/>
          <w:lang w:val="en-GB" w:eastAsia="el-GR"/>
        </w:rPr>
        <w:t>.</w:t>
      </w:r>
      <w:r w:rsidRPr="00EA7EE7">
        <w:rPr>
          <w:rFonts w:ascii="Arial" w:eastAsia="Arial" w:hAnsi="Arial" w:cs="Arial"/>
          <w:szCs w:val="20"/>
          <w:lang w:eastAsia="el-GR"/>
        </w:rPr>
        <w:t> </w:t>
      </w:r>
    </w:p>
    <w:p w14:paraId="71F3F7FF" w14:textId="77777777" w:rsidR="00092745" w:rsidRPr="000A7051" w:rsidRDefault="00092745" w:rsidP="004C415E">
      <w:pPr>
        <w:pStyle w:val="Notesbody"/>
        <w:keepLines/>
        <w:pBdr>
          <w:top w:val="nil"/>
          <w:left w:val="nil"/>
          <w:bottom w:val="nil"/>
          <w:right w:val="nil"/>
          <w:between w:val="nil"/>
          <w:bar w:val="nil"/>
        </w:pBdr>
        <w:rPr>
          <w:rFonts w:ascii="Arial" w:eastAsia="Arial" w:hAnsi="Arial" w:cs="Arial"/>
          <w:bdr w:val="nil"/>
          <w:lang w:val="en-GB"/>
        </w:rPr>
      </w:pPr>
    </w:p>
    <w:p w14:paraId="71F3F800" w14:textId="77777777" w:rsidR="00F55EAD" w:rsidRPr="000A7051" w:rsidRDefault="003A4815" w:rsidP="004C415E">
      <w:pPr>
        <w:pStyle w:val="Notesbody"/>
        <w:keepLines/>
        <w:pBdr>
          <w:top w:val="nil"/>
          <w:left w:val="nil"/>
          <w:bottom w:val="nil"/>
          <w:right w:val="nil"/>
          <w:between w:val="nil"/>
          <w:bar w:val="nil"/>
        </w:pBdr>
        <w:rPr>
          <w:rFonts w:ascii="Arial" w:eastAsia="Arial" w:hAnsi="Arial" w:cs="Arial"/>
          <w:bdr w:val="nil"/>
          <w:lang w:val="en-GB"/>
        </w:rPr>
      </w:pPr>
      <w:r w:rsidRPr="000A7051">
        <w:rPr>
          <w:rFonts w:ascii="Arial" w:eastAsia="Arial" w:hAnsi="Arial" w:cs="Arial"/>
          <w:color w:val="auto"/>
          <w:szCs w:val="24"/>
          <w:bdr w:val="none" w:sz="0" w:space="0" w:color="auto" w:frame="1"/>
        </w:rPr>
        <w:t xml:space="preserve">On August 17, 2022, the Company entered into </w:t>
      </w:r>
      <w:bookmarkStart w:id="703" w:name="XBRL_CS_f468507d2176470cb8c9f07832685b5b"/>
      <w:r w:rsidRPr="000A7051">
        <w:rPr>
          <w:rFonts w:ascii="Arial" w:eastAsia="Arial" w:hAnsi="Arial" w:cs="Arial"/>
          <w:color w:val="auto"/>
          <w:szCs w:val="24"/>
          <w:bdr w:val="none" w:sz="0" w:space="0" w:color="auto" w:frame="1"/>
        </w:rPr>
        <w:t>two</w:t>
      </w:r>
      <w:bookmarkEnd w:id="703"/>
      <w:r w:rsidRPr="000A7051">
        <w:rPr>
          <w:rFonts w:ascii="Arial" w:eastAsia="Arial" w:hAnsi="Arial" w:cs="Arial"/>
          <w:color w:val="auto"/>
          <w:szCs w:val="24"/>
          <w:bdr w:val="none" w:sz="0" w:space="0" w:color="auto" w:frame="1"/>
        </w:rPr>
        <w:t xml:space="preserve"> sale and leaseback agreements with two unaffiliated third parties for </w:t>
      </w:r>
      <w:r w:rsidRPr="000A7051">
        <w:rPr>
          <w:rFonts w:ascii="Arial" w:eastAsia="Arial" w:hAnsi="Arial" w:cs="Arial"/>
          <w:i/>
          <w:iCs/>
          <w:color w:val="auto"/>
          <w:szCs w:val="24"/>
          <w:bdr w:val="none" w:sz="0" w:space="0" w:color="auto" w:frame="1"/>
        </w:rPr>
        <w:t>New Orleans</w:t>
      </w:r>
      <w:r w:rsidRPr="000A7051">
        <w:rPr>
          <w:rFonts w:ascii="Arial" w:eastAsia="Arial" w:hAnsi="Arial" w:cs="Arial"/>
          <w:color w:val="auto"/>
          <w:szCs w:val="24"/>
          <w:bdr w:val="none" w:sz="0" w:space="0" w:color="auto" w:frame="1"/>
        </w:rPr>
        <w:t xml:space="preserve"> and </w:t>
      </w:r>
      <w:r w:rsidRPr="000A7051">
        <w:rPr>
          <w:rFonts w:ascii="Arial" w:eastAsia="Arial" w:hAnsi="Arial" w:cs="Arial"/>
          <w:i/>
          <w:iCs/>
          <w:color w:val="auto"/>
          <w:szCs w:val="24"/>
          <w:bdr w:val="none" w:sz="0" w:space="0" w:color="auto" w:frame="1"/>
        </w:rPr>
        <w:t>Santa Barbara</w:t>
      </w:r>
      <w:r w:rsidRPr="000A7051">
        <w:rPr>
          <w:rFonts w:ascii="Arial" w:eastAsia="Arial" w:hAnsi="Arial" w:cs="Arial"/>
          <w:color w:val="auto"/>
          <w:szCs w:val="24"/>
          <w:bdr w:val="none" w:sz="0" w:space="0" w:color="auto" w:frame="1"/>
        </w:rPr>
        <w:t xml:space="preserve">. The vessels were delivered to their buyers </w:t>
      </w:r>
      <w:bookmarkStart w:id="704" w:name="_Hlk116059768"/>
      <w:r w:rsidRPr="000A7051">
        <w:rPr>
          <w:rFonts w:ascii="Arial" w:eastAsia="Arial" w:hAnsi="Arial" w:cs="Arial"/>
          <w:color w:val="auto"/>
          <w:szCs w:val="24"/>
          <w:bdr w:val="none" w:sz="0" w:space="0" w:color="auto" w:frame="1"/>
        </w:rPr>
        <w:t>on September 8, 2022 and September 12, 2022, respectively and the Company chartered</w:t>
      </w:r>
      <w:r>
        <w:rPr>
          <w:rFonts w:ascii="Arial" w:eastAsia="Arial" w:hAnsi="Arial" w:cs="Arial"/>
          <w:color w:val="auto"/>
          <w:szCs w:val="24"/>
          <w:bdr w:val="none" w:sz="0" w:space="0" w:color="auto" w:frame="1"/>
        </w:rPr>
        <w:t>-</w:t>
      </w:r>
      <w:r w:rsidRPr="000A7051">
        <w:rPr>
          <w:rFonts w:ascii="Arial" w:eastAsia="Arial" w:hAnsi="Arial" w:cs="Arial"/>
          <w:color w:val="auto"/>
          <w:szCs w:val="24"/>
          <w:bdr w:val="none" w:sz="0" w:space="0" w:color="auto" w:frame="1"/>
        </w:rPr>
        <w:t xml:space="preserve">in both vessels under bareboat charter </w:t>
      </w:r>
      <w:bookmarkEnd w:id="704"/>
      <w:r w:rsidRPr="000A7051">
        <w:rPr>
          <w:rFonts w:ascii="Arial" w:eastAsia="Arial" w:hAnsi="Arial" w:cs="Arial"/>
          <w:szCs w:val="20"/>
          <w:lang w:eastAsia="el-GR"/>
        </w:rPr>
        <w:t xml:space="preserve">parties </w:t>
      </w:r>
      <w:r w:rsidRPr="000A7051">
        <w:rPr>
          <w:rFonts w:ascii="Arial" w:eastAsia="Arial" w:hAnsi="Arial" w:cs="Arial"/>
          <w:color w:val="auto"/>
          <w:szCs w:val="24"/>
          <w:bdr w:val="none" w:sz="0" w:space="0" w:color="auto" w:frame="1"/>
        </w:rPr>
        <w:t xml:space="preserve">for a period of </w:t>
      </w:r>
      <w:bookmarkStart w:id="705" w:name="XBRL_CS_1e0f6f8c8f164d4b97e1beaed608cd16"/>
      <w:r w:rsidRPr="000A7051">
        <w:rPr>
          <w:rFonts w:ascii="Arial" w:eastAsia="Arial" w:hAnsi="Arial" w:cs="Arial"/>
          <w:color w:val="auto"/>
          <w:szCs w:val="24"/>
          <w:bdr w:val="none" w:sz="0" w:space="0" w:color="auto" w:frame="1"/>
        </w:rPr>
        <w:t>eight years</w:t>
      </w:r>
      <w:bookmarkEnd w:id="705"/>
      <w:r w:rsidRPr="000A7051">
        <w:rPr>
          <w:rFonts w:ascii="Arial" w:eastAsia="Arial" w:hAnsi="Arial" w:cs="Arial"/>
          <w:szCs w:val="20"/>
          <w:lang w:eastAsia="el-GR"/>
        </w:rPr>
        <w:t>, each</w:t>
      </w:r>
      <w:r>
        <w:rPr>
          <w:rFonts w:ascii="Arial" w:eastAsia="Arial" w:hAnsi="Arial" w:cs="Arial"/>
          <w:szCs w:val="20"/>
          <w:lang w:eastAsia="el-GR"/>
        </w:rPr>
        <w:t>,</w:t>
      </w:r>
      <w:r w:rsidRPr="00EA7EE7">
        <w:rPr>
          <w:rFonts w:ascii="Arial" w:eastAsia="Arial" w:hAnsi="Arial" w:cs="Arial"/>
          <w:szCs w:val="20"/>
          <w:lang w:val="en-GB" w:eastAsia="el-GR"/>
        </w:rPr>
        <w:t xml:space="preserve"> </w:t>
      </w:r>
      <w:r w:rsidRPr="000A7051">
        <w:rPr>
          <w:rFonts w:ascii="Arial" w:eastAsia="Arial" w:hAnsi="Arial" w:cs="Arial"/>
          <w:szCs w:val="20"/>
          <w:lang w:val="en-GB" w:eastAsia="el-GR"/>
        </w:rPr>
        <w:t>under which the Company pays</w:t>
      </w:r>
      <w:r>
        <w:rPr>
          <w:rFonts w:ascii="Arial" w:eastAsia="Arial" w:hAnsi="Arial" w:cs="Arial"/>
          <w:szCs w:val="20"/>
          <w:lang w:val="en-GB" w:eastAsia="el-GR"/>
        </w:rPr>
        <w:t xml:space="preserve"> a</w:t>
      </w:r>
      <w:r w:rsidRPr="000A7051">
        <w:rPr>
          <w:rFonts w:ascii="Arial" w:eastAsia="Arial" w:hAnsi="Arial" w:cs="Arial"/>
          <w:szCs w:val="20"/>
          <w:lang w:val="en-GB" w:eastAsia="el-GR"/>
        </w:rPr>
        <w:t xml:space="preserve"> </w:t>
      </w:r>
      <w:r>
        <w:rPr>
          <w:rFonts w:ascii="Arial" w:eastAsia="Arial" w:hAnsi="Arial" w:cs="Arial"/>
          <w:szCs w:val="20"/>
          <w:lang w:val="en-GB" w:eastAsia="el-GR"/>
        </w:rPr>
        <w:t>fixed</w:t>
      </w:r>
      <w:r w:rsidRPr="000A7051">
        <w:rPr>
          <w:rFonts w:ascii="Arial" w:eastAsia="Arial" w:hAnsi="Arial" w:cs="Arial"/>
          <w:szCs w:val="20"/>
          <w:lang w:val="en-GB" w:eastAsia="el-GR"/>
        </w:rPr>
        <w:t xml:space="preserve"> monthly </w:t>
      </w:r>
      <w:r>
        <w:rPr>
          <w:rFonts w:ascii="Arial" w:eastAsia="Arial" w:hAnsi="Arial" w:cs="Arial"/>
          <w:szCs w:val="20"/>
          <w:lang w:val="en-GB" w:eastAsia="el-GR"/>
        </w:rPr>
        <w:t>hire</w:t>
      </w:r>
      <w:r w:rsidR="00FA0536">
        <w:rPr>
          <w:rFonts w:ascii="Arial" w:eastAsia="Arial" w:hAnsi="Arial" w:cs="Arial"/>
          <w:szCs w:val="20"/>
          <w:lang w:eastAsia="el-GR"/>
        </w:rPr>
        <w:t xml:space="preserve">. </w:t>
      </w:r>
      <w:r w:rsidR="00FA0536" w:rsidRPr="000A7051">
        <w:rPr>
          <w:rFonts w:ascii="Arial" w:eastAsia="Arial" w:hAnsi="Arial" w:cs="Arial"/>
          <w:szCs w:val="20"/>
          <w:lang w:val="en-GB" w:eastAsia="el-GR"/>
        </w:rPr>
        <w:t xml:space="preserve">Under the bareboat charter, the Company has the option to repurchase the vessel at specific prices, </w:t>
      </w:r>
      <w:r w:rsidRPr="000A7051">
        <w:rPr>
          <w:rFonts w:ascii="Arial" w:eastAsia="Arial" w:hAnsi="Arial" w:cs="Arial"/>
          <w:szCs w:val="20"/>
          <w:lang w:val="en-GB" w:eastAsia="el-GR"/>
        </w:rPr>
        <w:t xml:space="preserve">after the end of the third year of the charter period </w:t>
      </w:r>
      <w:r>
        <w:rPr>
          <w:rFonts w:ascii="Arial" w:eastAsia="Arial" w:hAnsi="Arial" w:cs="Arial"/>
          <w:szCs w:val="20"/>
          <w:lang w:val="en-GB" w:eastAsia="el-GR"/>
        </w:rPr>
        <w:t xml:space="preserve">and for </w:t>
      </w:r>
      <w:r w:rsidRPr="000A7051">
        <w:rPr>
          <w:rFonts w:ascii="Arial" w:eastAsia="Arial" w:hAnsi="Arial" w:cs="Arial"/>
          <w:szCs w:val="20"/>
          <w:lang w:val="en-GB" w:eastAsia="el-GR"/>
        </w:rPr>
        <w:t xml:space="preserve">each year thereafter, </w:t>
      </w:r>
      <w:r w:rsidR="00FA0536">
        <w:rPr>
          <w:rFonts w:ascii="Arial" w:eastAsia="Arial" w:hAnsi="Arial" w:cs="Arial"/>
          <w:szCs w:val="20"/>
          <w:lang w:val="en-GB" w:eastAsia="el-GR"/>
        </w:rPr>
        <w:t>and the obligation</w:t>
      </w:r>
      <w:r w:rsidR="00FA0536" w:rsidRPr="000A7051">
        <w:rPr>
          <w:rFonts w:ascii="Arial" w:eastAsia="Arial" w:hAnsi="Arial" w:cs="Arial"/>
          <w:szCs w:val="20"/>
          <w:lang w:val="en-GB" w:eastAsia="el-GR"/>
        </w:rPr>
        <w:t xml:space="preserve"> </w:t>
      </w:r>
      <w:r>
        <w:rPr>
          <w:rFonts w:ascii="Arial" w:eastAsia="Arial" w:hAnsi="Arial" w:cs="Arial"/>
          <w:szCs w:val="20"/>
          <w:lang w:val="en-GB" w:eastAsia="el-GR"/>
        </w:rPr>
        <w:t xml:space="preserve">to purchase the vessel </w:t>
      </w:r>
      <w:r w:rsidR="00FA0536" w:rsidRPr="000A7051">
        <w:rPr>
          <w:rFonts w:ascii="Arial" w:eastAsia="Arial" w:hAnsi="Arial" w:cs="Arial"/>
          <w:szCs w:val="20"/>
          <w:lang w:val="en-GB" w:eastAsia="el-GR"/>
        </w:rPr>
        <w:t xml:space="preserve">on the expiration of the lease </w:t>
      </w:r>
      <w:r w:rsidRPr="000A7051">
        <w:rPr>
          <w:rFonts w:ascii="Arial" w:eastAsia="Arial" w:hAnsi="Arial" w:cs="Arial"/>
          <w:szCs w:val="20"/>
          <w:lang w:val="en-GB" w:eastAsia="el-GR"/>
        </w:rPr>
        <w:t>on the eighth year.</w:t>
      </w:r>
      <w:r w:rsidRPr="00EA7EE7">
        <w:rPr>
          <w:rFonts w:ascii="Arial" w:eastAsia="Arial" w:hAnsi="Arial" w:cs="Arial"/>
          <w:szCs w:val="20"/>
          <w:lang w:eastAsia="el-GR"/>
        </w:rPr>
        <w:t> </w:t>
      </w:r>
    </w:p>
    <w:p w14:paraId="71F3F801" w14:textId="77777777" w:rsidR="003712B2" w:rsidRPr="000A7051" w:rsidRDefault="003712B2" w:rsidP="004C415E">
      <w:pPr>
        <w:pStyle w:val="Notesbody"/>
        <w:keepLines/>
        <w:pBdr>
          <w:top w:val="nil"/>
          <w:left w:val="nil"/>
          <w:bottom w:val="nil"/>
          <w:right w:val="nil"/>
          <w:between w:val="nil"/>
          <w:bar w:val="nil"/>
        </w:pBdr>
        <w:rPr>
          <w:rFonts w:ascii="Arial" w:eastAsia="Arial" w:hAnsi="Arial" w:cs="Arial"/>
          <w:bdr w:val="nil"/>
          <w:lang w:val="en-GB"/>
        </w:rPr>
      </w:pPr>
    </w:p>
    <w:p w14:paraId="71F3F802" w14:textId="77777777" w:rsidR="00EA7EE7" w:rsidRPr="000A7051" w:rsidRDefault="003A4815" w:rsidP="00EA7EE7">
      <w:pPr>
        <w:pStyle w:val="Notesbody"/>
        <w:keepLines/>
        <w:pBdr>
          <w:top w:val="nil"/>
          <w:left w:val="nil"/>
          <w:bottom w:val="nil"/>
          <w:right w:val="nil"/>
          <w:between w:val="nil"/>
          <w:bar w:val="nil"/>
        </w:pBdr>
        <w:rPr>
          <w:rFonts w:ascii="Arial" w:eastAsia="Arial" w:hAnsi="Arial" w:cs="Arial"/>
          <w:bdr w:val="nil"/>
          <w:lang w:val="en-GB"/>
        </w:rPr>
      </w:pPr>
      <w:r w:rsidRPr="000A7051">
        <w:rPr>
          <w:rFonts w:ascii="Arial" w:eastAsia="Arial" w:hAnsi="Arial" w:cs="Arial"/>
          <w:szCs w:val="20"/>
          <w:lang w:val="en-GB" w:eastAsia="el-GR"/>
        </w:rPr>
        <w:t xml:space="preserve">On December 6, 2022, the Company sold </w:t>
      </w:r>
      <w:r w:rsidRPr="000A7051">
        <w:rPr>
          <w:rFonts w:ascii="Arial" w:eastAsia="Arial" w:hAnsi="Arial" w:cs="Arial"/>
          <w:i/>
          <w:szCs w:val="20"/>
          <w:lang w:val="en-GB" w:eastAsia="el-GR"/>
        </w:rPr>
        <w:t>DSI Andromeda</w:t>
      </w:r>
      <w:r w:rsidRPr="000A7051">
        <w:rPr>
          <w:rFonts w:ascii="Arial" w:eastAsia="Arial" w:hAnsi="Arial" w:cs="Arial"/>
          <w:szCs w:val="20"/>
          <w:lang w:val="en-GB" w:eastAsia="el-GR"/>
        </w:rPr>
        <w:t xml:space="preserve"> to an unrelated third party and leased back the vessel under a bareboat agreement, for a period of </w:t>
      </w:r>
      <w:bookmarkStart w:id="706" w:name="XBRL_CS_d5407f862b9543f086670f942883014f"/>
      <w:r w:rsidRPr="000A7051">
        <w:rPr>
          <w:rFonts w:ascii="Arial" w:eastAsia="Arial" w:hAnsi="Arial" w:cs="Arial"/>
          <w:szCs w:val="20"/>
          <w:lang w:val="en-GB" w:eastAsia="el-GR"/>
        </w:rPr>
        <w:t>ten years</w:t>
      </w:r>
      <w:bookmarkEnd w:id="706"/>
      <w:r w:rsidRPr="000A7051">
        <w:rPr>
          <w:rFonts w:ascii="Arial" w:eastAsia="Arial" w:hAnsi="Arial" w:cs="Arial"/>
          <w:szCs w:val="20"/>
          <w:lang w:val="en-GB" w:eastAsia="el-GR"/>
        </w:rPr>
        <w:t>, under which the Company pays</w:t>
      </w:r>
      <w:r>
        <w:rPr>
          <w:rFonts w:ascii="Arial" w:eastAsia="Arial" w:hAnsi="Arial" w:cs="Arial"/>
          <w:szCs w:val="20"/>
          <w:lang w:val="en-GB" w:eastAsia="el-GR"/>
        </w:rPr>
        <w:t xml:space="preserve"> a</w:t>
      </w:r>
      <w:r w:rsidRPr="000A7051">
        <w:rPr>
          <w:rFonts w:ascii="Arial" w:eastAsia="Arial" w:hAnsi="Arial" w:cs="Arial"/>
          <w:szCs w:val="20"/>
          <w:lang w:val="en-GB" w:eastAsia="el-GR"/>
        </w:rPr>
        <w:t xml:space="preserve"> </w:t>
      </w:r>
      <w:r>
        <w:rPr>
          <w:rFonts w:ascii="Arial" w:eastAsia="Arial" w:hAnsi="Arial" w:cs="Arial"/>
          <w:szCs w:val="20"/>
          <w:lang w:val="en-GB" w:eastAsia="el-GR"/>
        </w:rPr>
        <w:t>fixed</w:t>
      </w:r>
      <w:r w:rsidRPr="000A7051">
        <w:rPr>
          <w:rFonts w:ascii="Arial" w:eastAsia="Arial" w:hAnsi="Arial" w:cs="Arial"/>
          <w:szCs w:val="20"/>
          <w:lang w:val="en-GB" w:eastAsia="el-GR"/>
        </w:rPr>
        <w:t xml:space="preserve"> monthly </w:t>
      </w:r>
      <w:r>
        <w:rPr>
          <w:rFonts w:ascii="Arial" w:eastAsia="Arial" w:hAnsi="Arial" w:cs="Arial"/>
          <w:szCs w:val="20"/>
          <w:lang w:val="en-GB" w:eastAsia="el-GR"/>
        </w:rPr>
        <w:t>hire</w:t>
      </w:r>
      <w:r w:rsidRPr="000A7051">
        <w:rPr>
          <w:rFonts w:ascii="Arial" w:eastAsia="Arial" w:hAnsi="Arial" w:cs="Arial"/>
          <w:szCs w:val="20"/>
          <w:lang w:val="en-GB" w:eastAsia="el-GR"/>
        </w:rPr>
        <w:t xml:space="preserve">. </w:t>
      </w:r>
      <w:r>
        <w:rPr>
          <w:rFonts w:ascii="Arial" w:eastAsia="Arial" w:hAnsi="Arial" w:cs="Arial"/>
          <w:szCs w:val="20"/>
          <w:lang w:val="en-GB" w:eastAsia="el-GR"/>
        </w:rPr>
        <w:t>T</w:t>
      </w:r>
      <w:r w:rsidRPr="000A7051">
        <w:rPr>
          <w:rFonts w:ascii="Arial" w:eastAsia="Arial" w:hAnsi="Arial" w:cs="Arial"/>
          <w:szCs w:val="20"/>
          <w:lang w:val="en-GB" w:eastAsia="el-GR"/>
        </w:rPr>
        <w:t xml:space="preserve">he Company has the option to repurchase the vessel at specific prices, after the end of the third year of the charter period </w:t>
      </w:r>
      <w:r>
        <w:rPr>
          <w:rFonts w:ascii="Arial" w:eastAsia="Arial" w:hAnsi="Arial" w:cs="Arial"/>
          <w:szCs w:val="20"/>
          <w:lang w:val="en-GB" w:eastAsia="el-GR"/>
        </w:rPr>
        <w:t xml:space="preserve">and for </w:t>
      </w:r>
      <w:r w:rsidRPr="000A7051">
        <w:rPr>
          <w:rFonts w:ascii="Arial" w:eastAsia="Arial" w:hAnsi="Arial" w:cs="Arial"/>
          <w:szCs w:val="20"/>
          <w:lang w:val="en-GB" w:eastAsia="el-GR"/>
        </w:rPr>
        <w:t xml:space="preserve">each year thereafter, </w:t>
      </w:r>
      <w:r>
        <w:rPr>
          <w:rFonts w:ascii="Arial" w:eastAsia="Arial" w:hAnsi="Arial" w:cs="Arial"/>
          <w:szCs w:val="20"/>
          <w:lang w:val="en-GB" w:eastAsia="el-GR"/>
        </w:rPr>
        <w:t>and the obligation</w:t>
      </w:r>
      <w:r w:rsidRPr="000A7051">
        <w:rPr>
          <w:rFonts w:ascii="Arial" w:eastAsia="Arial" w:hAnsi="Arial" w:cs="Arial"/>
          <w:szCs w:val="20"/>
          <w:lang w:val="en-GB" w:eastAsia="el-GR"/>
        </w:rPr>
        <w:t xml:space="preserve"> </w:t>
      </w:r>
      <w:r>
        <w:rPr>
          <w:rFonts w:ascii="Arial" w:eastAsia="Arial" w:hAnsi="Arial" w:cs="Arial"/>
          <w:szCs w:val="20"/>
          <w:lang w:val="en-GB" w:eastAsia="el-GR"/>
        </w:rPr>
        <w:t xml:space="preserve">to purchase the vessel </w:t>
      </w:r>
      <w:r w:rsidRPr="000A7051">
        <w:rPr>
          <w:rFonts w:ascii="Arial" w:eastAsia="Arial" w:hAnsi="Arial" w:cs="Arial"/>
          <w:szCs w:val="20"/>
          <w:lang w:val="en-GB" w:eastAsia="el-GR"/>
        </w:rPr>
        <w:t>on the expiration of the lease on the tenth year.</w:t>
      </w:r>
      <w:r w:rsidRPr="00EA7EE7">
        <w:rPr>
          <w:rFonts w:ascii="Arial" w:eastAsia="Arial" w:hAnsi="Arial" w:cs="Arial"/>
          <w:szCs w:val="20"/>
          <w:lang w:eastAsia="el-GR"/>
        </w:rPr>
        <w:t> </w:t>
      </w:r>
    </w:p>
    <w:p w14:paraId="71F3F803" w14:textId="77777777" w:rsidR="0063740C" w:rsidRPr="000A7051" w:rsidRDefault="0063740C" w:rsidP="004C415E">
      <w:pPr>
        <w:pStyle w:val="Notesbody"/>
        <w:keepLines/>
        <w:pBdr>
          <w:top w:val="nil"/>
          <w:left w:val="nil"/>
          <w:bottom w:val="nil"/>
          <w:right w:val="nil"/>
          <w:between w:val="nil"/>
          <w:bar w:val="nil"/>
        </w:pBdr>
        <w:rPr>
          <w:rFonts w:ascii="Arial" w:eastAsia="Arial" w:hAnsi="Arial" w:cs="Arial"/>
          <w:bdr w:val="nil"/>
          <w:lang w:val="en-GB"/>
        </w:rPr>
      </w:pPr>
    </w:p>
    <w:p w14:paraId="71F3F804" w14:textId="77777777" w:rsidR="003712B2" w:rsidRPr="000A7051" w:rsidRDefault="003A4815" w:rsidP="004C415E">
      <w:pPr>
        <w:pStyle w:val="Notesbody"/>
        <w:keepLines/>
        <w:pBdr>
          <w:top w:val="nil"/>
          <w:left w:val="nil"/>
          <w:bottom w:val="nil"/>
          <w:right w:val="nil"/>
          <w:between w:val="nil"/>
          <w:bar w:val="nil"/>
        </w:pBdr>
        <w:rPr>
          <w:rFonts w:ascii="Arial" w:eastAsia="Arial" w:hAnsi="Arial" w:cs="Arial"/>
          <w:color w:val="auto"/>
          <w:szCs w:val="24"/>
          <w:bdr w:val="nil"/>
        </w:rPr>
      </w:pPr>
      <w:r w:rsidRPr="000A7051">
        <w:rPr>
          <w:rFonts w:ascii="Arial" w:eastAsia="Arial" w:hAnsi="Arial" w:cs="Arial"/>
          <w:szCs w:val="20"/>
          <w:lang w:val="en-GB" w:eastAsia="el-GR"/>
        </w:rPr>
        <w:t xml:space="preserve">The Company determined that, under ACS 842-40 Sale and Leaseback Transactions, the transactions are </w:t>
      </w:r>
      <w:r w:rsidRPr="000A7051">
        <w:rPr>
          <w:rFonts w:ascii="Arial" w:eastAsia="Arial" w:hAnsi="Arial" w:cs="Arial"/>
          <w:szCs w:val="20"/>
          <w:lang w:eastAsia="el-GR"/>
        </w:rPr>
        <w:t>failed</w:t>
      </w:r>
      <w:r w:rsidRPr="000A7051">
        <w:rPr>
          <w:rFonts w:ascii="Arial" w:eastAsia="Arial" w:hAnsi="Arial" w:cs="Arial"/>
          <w:szCs w:val="20"/>
          <w:lang w:val="en-GB" w:eastAsia="el-GR"/>
        </w:rPr>
        <w:t xml:space="preserve"> sales and consequently the assets were not derecognized from the financial statements and the proceeds from the sale of the vessels were accounted for as financial liabilities.</w:t>
      </w:r>
      <w:r w:rsidRPr="000A7051">
        <w:rPr>
          <w:rFonts w:ascii="Arial" w:eastAsia="Arial" w:hAnsi="Arial" w:cs="Arial"/>
          <w:szCs w:val="20"/>
          <w:lang w:eastAsia="el-GR"/>
        </w:rPr>
        <w:t xml:space="preserve"> </w:t>
      </w:r>
      <w:r w:rsidR="001361E2" w:rsidRPr="000A7051">
        <w:rPr>
          <w:rFonts w:ascii="Arial" w:eastAsia="Arial" w:hAnsi="Arial" w:cs="Arial"/>
          <w:szCs w:val="20"/>
          <w:lang w:eastAsia="el-GR"/>
        </w:rPr>
        <w:t xml:space="preserve">As of December 31, 2025 </w:t>
      </w:r>
      <w:r w:rsidR="001361E2">
        <w:rPr>
          <w:rFonts w:ascii="Arial" w:eastAsia="Arial" w:hAnsi="Arial" w:cs="Arial"/>
          <w:szCs w:val="20"/>
          <w:lang w:eastAsia="el-GR"/>
        </w:rPr>
        <w:t xml:space="preserve">and </w:t>
      </w:r>
      <w:r w:rsidR="001361E2" w:rsidRPr="000A7051">
        <w:rPr>
          <w:rFonts w:ascii="Arial" w:eastAsia="Arial" w:hAnsi="Arial" w:cs="Arial"/>
          <w:szCs w:val="20"/>
          <w:lang w:eastAsia="el-GR"/>
        </w:rPr>
        <w:t>2024,</w:t>
      </w:r>
      <w:r>
        <w:rPr>
          <w:rFonts w:ascii="Arial" w:eastAsia="Arial" w:hAnsi="Arial" w:cs="Arial"/>
          <w:szCs w:val="20"/>
          <w:lang w:eastAsia="el-GR"/>
        </w:rPr>
        <w:t xml:space="preserve"> finance liability amounted to</w:t>
      </w:r>
      <w:r w:rsidR="001361E2" w:rsidRPr="000A7051">
        <w:rPr>
          <w:rFonts w:ascii="Arial" w:eastAsia="Arial" w:hAnsi="Arial" w:cs="Arial"/>
          <w:szCs w:val="20"/>
          <w:lang w:eastAsia="el-GR"/>
        </w:rPr>
        <w:t xml:space="preserve"> </w:t>
      </w:r>
      <w:r>
        <w:rPr>
          <w:rFonts w:ascii="Arial" w:eastAsia="Arial" w:hAnsi="Arial" w:cs="Arial"/>
          <w:szCs w:val="20"/>
          <w:lang w:eastAsia="el-GR"/>
        </w:rPr>
        <w:t>$</w:t>
      </w:r>
      <w:bookmarkStart w:id="707" w:name="XBRL_CS_bf1dabcd9cda4fa0a0e8ab23b7df155e"/>
      <w:r>
        <w:rPr>
          <w:rFonts w:ascii="Arial" w:eastAsia="Arial" w:hAnsi="Arial" w:cs="Arial"/>
          <w:szCs w:val="20"/>
          <w:lang w:eastAsia="el-GR"/>
        </w:rPr>
        <w:t>10,041</w:t>
      </w:r>
      <w:bookmarkEnd w:id="707"/>
      <w:r>
        <w:rPr>
          <w:rFonts w:ascii="Arial" w:eastAsia="Arial" w:hAnsi="Arial" w:cs="Arial"/>
          <w:szCs w:val="20"/>
          <w:lang w:eastAsia="el-GR"/>
        </w:rPr>
        <w:t xml:space="preserve"> and $</w:t>
      </w:r>
      <w:bookmarkStart w:id="708" w:name="XBRL_CS_b9b879c16df74fb3b2ee5d2bbca088e0"/>
      <w:r>
        <w:rPr>
          <w:rFonts w:ascii="Arial" w:eastAsia="Arial" w:hAnsi="Arial" w:cs="Arial"/>
          <w:szCs w:val="20"/>
          <w:lang w:eastAsia="el-GR"/>
        </w:rPr>
        <w:t>9,608</w:t>
      </w:r>
      <w:bookmarkEnd w:id="708"/>
      <w:r>
        <w:rPr>
          <w:rFonts w:ascii="Arial" w:eastAsia="Arial" w:hAnsi="Arial" w:cs="Arial"/>
          <w:szCs w:val="20"/>
          <w:lang w:eastAsia="el-GR"/>
        </w:rPr>
        <w:t xml:space="preserve">, respectively, included in </w:t>
      </w:r>
      <w:r w:rsidRPr="00B44D85">
        <w:rPr>
          <w:rFonts w:ascii="Arial" w:eastAsia="Arial" w:hAnsi="Arial" w:cs="Arial"/>
          <w:szCs w:val="20"/>
          <w:lang w:eastAsia="el-GR"/>
        </w:rPr>
        <w:t>finance liabilities</w:t>
      </w:r>
      <w:r>
        <w:rPr>
          <w:rFonts w:ascii="Arial" w:eastAsia="Arial" w:hAnsi="Arial" w:cs="Arial"/>
          <w:szCs w:val="20"/>
          <w:lang w:eastAsia="el-GR"/>
        </w:rPr>
        <w:t>, current and $</w:t>
      </w:r>
      <w:bookmarkStart w:id="709" w:name="XBRL_CS_3cddb8081090458c99cf3ba2fea6a592"/>
      <w:r>
        <w:rPr>
          <w:rFonts w:ascii="Arial" w:eastAsia="Arial" w:hAnsi="Arial" w:cs="Arial"/>
          <w:szCs w:val="20"/>
          <w:lang w:eastAsia="el-GR"/>
        </w:rPr>
        <w:t>103,259</w:t>
      </w:r>
      <w:bookmarkEnd w:id="709"/>
      <w:r>
        <w:rPr>
          <w:rFonts w:ascii="Arial" w:eastAsia="Arial" w:hAnsi="Arial" w:cs="Arial"/>
          <w:szCs w:val="20"/>
          <w:lang w:eastAsia="el-GR"/>
        </w:rPr>
        <w:t xml:space="preserve"> and $</w:t>
      </w:r>
      <w:bookmarkStart w:id="710" w:name="XBRL_CS_5e9e2dda7a084c47830768fffec679e4"/>
      <w:r>
        <w:rPr>
          <w:rFonts w:ascii="Arial" w:eastAsia="Arial" w:hAnsi="Arial" w:cs="Arial"/>
          <w:szCs w:val="20"/>
          <w:lang w:eastAsia="el-GR"/>
        </w:rPr>
        <w:t>113,300</w:t>
      </w:r>
      <w:bookmarkEnd w:id="710"/>
      <w:r>
        <w:rPr>
          <w:rFonts w:ascii="Arial" w:eastAsia="Arial" w:hAnsi="Arial" w:cs="Arial"/>
          <w:szCs w:val="20"/>
          <w:lang w:eastAsia="el-GR"/>
        </w:rPr>
        <w:t xml:space="preserve"> respectively included in f</w:t>
      </w:r>
      <w:r w:rsidRPr="00B44D85">
        <w:rPr>
          <w:rFonts w:ascii="Arial" w:eastAsia="Arial" w:hAnsi="Arial" w:cs="Arial"/>
          <w:szCs w:val="20"/>
          <w:lang w:eastAsia="el-GR"/>
        </w:rPr>
        <w:t>inance liabilities, net of current portion</w:t>
      </w:r>
      <w:r>
        <w:rPr>
          <w:rFonts w:ascii="Arial" w:eastAsia="Arial" w:hAnsi="Arial" w:cs="Arial"/>
          <w:szCs w:val="20"/>
          <w:lang w:eastAsia="el-GR"/>
        </w:rPr>
        <w:t xml:space="preserve">. </w:t>
      </w:r>
      <w:r w:rsidRPr="000A7051">
        <w:rPr>
          <w:rFonts w:ascii="Arial" w:eastAsia="Arial" w:hAnsi="Arial" w:cs="Arial"/>
          <w:szCs w:val="20"/>
          <w:lang w:eastAsia="el-GR"/>
        </w:rPr>
        <w:t xml:space="preserve">As of December 31, 2025, the weighted average remaining lease term of the above lease agreements was </w:t>
      </w:r>
      <w:bookmarkStart w:id="711" w:name="XBRL_CS_117021fe89d744878ce674c2f9433023"/>
      <w:r>
        <w:rPr>
          <w:rFonts w:ascii="Arial" w:eastAsia="Arial" w:hAnsi="Arial" w:cs="Arial"/>
          <w:szCs w:val="20"/>
          <w:lang w:eastAsia="el-GR"/>
        </w:rPr>
        <w:t>5.</w:t>
      </w:r>
      <w:r w:rsidR="00B371B1">
        <w:rPr>
          <w:rFonts w:ascii="Arial" w:eastAsia="Arial" w:hAnsi="Arial" w:cs="Arial"/>
          <w:szCs w:val="20"/>
          <w:lang w:eastAsia="el-GR"/>
        </w:rPr>
        <w:t>71</w:t>
      </w:r>
      <w:bookmarkEnd w:id="711"/>
      <w:r>
        <w:rPr>
          <w:rFonts w:ascii="Arial" w:eastAsia="Arial" w:hAnsi="Arial" w:cs="Arial"/>
          <w:szCs w:val="20"/>
          <w:lang w:eastAsia="el-GR"/>
        </w:rPr>
        <w:t xml:space="preserve"> years,</w:t>
      </w:r>
      <w:r w:rsidRPr="000A7051">
        <w:rPr>
          <w:rFonts w:ascii="Arial" w:eastAsia="Arial" w:hAnsi="Arial" w:cs="Arial"/>
          <w:szCs w:val="20"/>
          <w:lang w:eastAsia="el-GR"/>
        </w:rPr>
        <w:t xml:space="preserve"> the average interest rate was </w:t>
      </w:r>
      <w:bookmarkStart w:id="712" w:name="XBRL_CS_86db8e5eb57846b08dbf837835debc20"/>
      <w:r>
        <w:rPr>
          <w:rFonts w:ascii="Arial" w:eastAsia="Arial" w:hAnsi="Arial" w:cs="Arial"/>
          <w:szCs w:val="20"/>
          <w:lang w:eastAsia="el-GR"/>
        </w:rPr>
        <w:t>4.8</w:t>
      </w:r>
      <w:r w:rsidR="005367A0">
        <w:rPr>
          <w:rFonts w:ascii="Arial" w:eastAsia="Arial" w:hAnsi="Arial" w:cs="Arial"/>
          <w:szCs w:val="20"/>
          <w:lang w:eastAsia="el-GR"/>
        </w:rPr>
        <w:t>3</w:t>
      </w:r>
      <w:bookmarkEnd w:id="712"/>
      <w:r>
        <w:rPr>
          <w:rFonts w:ascii="Arial" w:eastAsia="Arial" w:hAnsi="Arial" w:cs="Arial"/>
          <w:szCs w:val="20"/>
          <w:lang w:eastAsia="el-GR"/>
        </w:rPr>
        <w:t xml:space="preserve">% and the sublease income </w:t>
      </w:r>
      <w:r w:rsidR="007971CF">
        <w:rPr>
          <w:rFonts w:ascii="Arial" w:eastAsia="Arial" w:hAnsi="Arial" w:cs="Arial"/>
          <w:szCs w:val="20"/>
          <w:lang w:eastAsia="el-GR"/>
        </w:rPr>
        <w:t>for</w:t>
      </w:r>
      <w:r>
        <w:rPr>
          <w:rFonts w:ascii="Arial" w:eastAsia="Arial" w:hAnsi="Arial" w:cs="Arial"/>
          <w:szCs w:val="20"/>
          <w:lang w:eastAsia="el-GR"/>
        </w:rPr>
        <w:t xml:space="preserve"> the </w:t>
      </w:r>
      <w:r w:rsidR="007971CF">
        <w:rPr>
          <w:rFonts w:ascii="Arial" w:eastAsia="Arial" w:hAnsi="Arial" w:cs="Arial"/>
          <w:szCs w:val="20"/>
          <w:lang w:eastAsia="el-GR"/>
        </w:rPr>
        <w:t xml:space="preserve">years ended December 31, </w:t>
      </w:r>
      <w:r>
        <w:rPr>
          <w:rFonts w:ascii="Arial" w:eastAsia="Arial" w:hAnsi="Arial" w:cs="Arial"/>
          <w:szCs w:val="20"/>
          <w:lang w:eastAsia="el-GR"/>
        </w:rPr>
        <w:t>2025</w:t>
      </w:r>
      <w:r w:rsidR="00C45A86">
        <w:rPr>
          <w:rFonts w:ascii="Arial" w:eastAsia="Arial" w:hAnsi="Arial" w:cs="Arial"/>
          <w:szCs w:val="20"/>
          <w:lang w:eastAsia="el-GR"/>
        </w:rPr>
        <w:t>,</w:t>
      </w:r>
      <w:r>
        <w:rPr>
          <w:rFonts w:ascii="Arial" w:eastAsia="Arial" w:hAnsi="Arial" w:cs="Arial"/>
          <w:szCs w:val="20"/>
          <w:lang w:eastAsia="el-GR"/>
        </w:rPr>
        <w:t xml:space="preserve"> 2024</w:t>
      </w:r>
      <w:r w:rsidR="00C45A86" w:rsidRPr="00C45A86">
        <w:rPr>
          <w:rFonts w:ascii="Arial" w:eastAsia="Arial" w:hAnsi="Arial" w:cs="Arial"/>
          <w:szCs w:val="20"/>
          <w:lang w:eastAsia="el-GR"/>
        </w:rPr>
        <w:t xml:space="preserve"> </w:t>
      </w:r>
      <w:r w:rsidR="00C45A86">
        <w:rPr>
          <w:rFonts w:ascii="Arial" w:eastAsia="Arial" w:hAnsi="Arial" w:cs="Arial"/>
          <w:szCs w:val="20"/>
          <w:lang w:eastAsia="el-GR"/>
        </w:rPr>
        <w:t>and 2023</w:t>
      </w:r>
      <w:r>
        <w:rPr>
          <w:rFonts w:ascii="Arial" w:eastAsia="Arial" w:hAnsi="Arial" w:cs="Arial"/>
          <w:szCs w:val="20"/>
          <w:lang w:eastAsia="el-GR"/>
        </w:rPr>
        <w:t xml:space="preserve"> was $</w:t>
      </w:r>
      <w:bookmarkStart w:id="713" w:name="XBRL_CS_f8ba7204b966491a8a093251a80b9e0b"/>
      <w:r>
        <w:rPr>
          <w:rFonts w:ascii="Arial" w:eastAsia="Arial" w:hAnsi="Arial" w:cs="Arial"/>
          <w:szCs w:val="20"/>
          <w:lang w:eastAsia="el-GR"/>
        </w:rPr>
        <w:t>2</w:t>
      </w:r>
      <w:r w:rsidR="007971CF">
        <w:rPr>
          <w:rFonts w:ascii="Arial" w:eastAsia="Arial" w:hAnsi="Arial" w:cs="Arial"/>
          <w:szCs w:val="20"/>
          <w:lang w:eastAsia="el-GR"/>
        </w:rPr>
        <w:t>9</w:t>
      </w:r>
      <w:r>
        <w:rPr>
          <w:rFonts w:ascii="Arial" w:eastAsia="Arial" w:hAnsi="Arial" w:cs="Arial"/>
          <w:szCs w:val="20"/>
          <w:lang w:eastAsia="el-GR"/>
        </w:rPr>
        <w:t>,</w:t>
      </w:r>
      <w:r w:rsidR="007971CF">
        <w:rPr>
          <w:rFonts w:ascii="Arial" w:eastAsia="Arial" w:hAnsi="Arial" w:cs="Arial"/>
          <w:szCs w:val="20"/>
          <w:lang w:eastAsia="el-GR"/>
        </w:rPr>
        <w:t>073</w:t>
      </w:r>
      <w:bookmarkEnd w:id="713"/>
      <w:r w:rsidR="00C45A86">
        <w:rPr>
          <w:rFonts w:ascii="Arial" w:eastAsia="Arial" w:hAnsi="Arial" w:cs="Arial"/>
          <w:szCs w:val="20"/>
          <w:lang w:eastAsia="el-GR"/>
        </w:rPr>
        <w:t>,</w:t>
      </w:r>
      <w:r>
        <w:rPr>
          <w:rFonts w:ascii="Arial" w:eastAsia="Arial" w:hAnsi="Arial" w:cs="Arial"/>
          <w:szCs w:val="20"/>
          <w:lang w:eastAsia="el-GR"/>
        </w:rPr>
        <w:t xml:space="preserve"> $</w:t>
      </w:r>
      <w:bookmarkStart w:id="714" w:name="XBRL_CS_f7cbfd885a734eb2ba6ddff4709e1a18"/>
      <w:r>
        <w:rPr>
          <w:rFonts w:ascii="Arial" w:eastAsia="Arial" w:hAnsi="Arial" w:cs="Arial"/>
          <w:szCs w:val="20"/>
          <w:lang w:eastAsia="el-GR"/>
        </w:rPr>
        <w:t>2</w:t>
      </w:r>
      <w:r w:rsidR="007971CF">
        <w:rPr>
          <w:rFonts w:ascii="Arial" w:eastAsia="Arial" w:hAnsi="Arial" w:cs="Arial"/>
          <w:szCs w:val="20"/>
          <w:lang w:eastAsia="el-GR"/>
        </w:rPr>
        <w:t>8</w:t>
      </w:r>
      <w:r>
        <w:rPr>
          <w:rFonts w:ascii="Arial" w:eastAsia="Arial" w:hAnsi="Arial" w:cs="Arial"/>
          <w:szCs w:val="20"/>
          <w:lang w:eastAsia="el-GR"/>
        </w:rPr>
        <w:t>,</w:t>
      </w:r>
      <w:r w:rsidR="007971CF">
        <w:rPr>
          <w:rFonts w:ascii="Arial" w:eastAsia="Arial" w:hAnsi="Arial" w:cs="Arial"/>
          <w:szCs w:val="20"/>
          <w:lang w:eastAsia="el-GR"/>
        </w:rPr>
        <w:t>814</w:t>
      </w:r>
      <w:bookmarkEnd w:id="714"/>
      <w:r w:rsidR="00C45A86">
        <w:rPr>
          <w:rFonts w:ascii="Arial" w:eastAsia="Arial" w:hAnsi="Arial" w:cs="Arial"/>
          <w:szCs w:val="20"/>
          <w:lang w:eastAsia="el-GR"/>
        </w:rPr>
        <w:t xml:space="preserve"> and $</w:t>
      </w:r>
      <w:bookmarkStart w:id="715" w:name="XBRL_CS_6d96f48d71644b8f9c11c97b45393f3a"/>
      <w:r w:rsidR="00C45A86">
        <w:rPr>
          <w:rFonts w:ascii="Arial" w:eastAsia="Arial" w:hAnsi="Arial" w:cs="Arial"/>
          <w:szCs w:val="20"/>
          <w:lang w:eastAsia="el-GR"/>
        </w:rPr>
        <w:t>34,560</w:t>
      </w:r>
      <w:bookmarkEnd w:id="715"/>
      <w:r>
        <w:rPr>
          <w:rFonts w:ascii="Arial" w:eastAsia="Arial" w:hAnsi="Arial" w:cs="Arial"/>
          <w:szCs w:val="20"/>
          <w:lang w:eastAsia="el-GR"/>
        </w:rPr>
        <w:t>, respectively, included in time charter revenues</w:t>
      </w:r>
      <w:r w:rsidRPr="000A7051">
        <w:rPr>
          <w:rFonts w:ascii="Arial" w:eastAsia="Arial" w:hAnsi="Arial" w:cs="Arial"/>
          <w:szCs w:val="20"/>
          <w:lang w:eastAsia="el-GR"/>
        </w:rPr>
        <w:t>.</w:t>
      </w:r>
    </w:p>
    <w:p w14:paraId="71F3F805" w14:textId="77777777" w:rsidR="00F55EAD" w:rsidRPr="000A7051" w:rsidRDefault="00F55EAD" w:rsidP="004C415E">
      <w:pPr>
        <w:pStyle w:val="Notesbody"/>
        <w:keepLines/>
        <w:pBdr>
          <w:top w:val="nil"/>
          <w:left w:val="nil"/>
          <w:bottom w:val="nil"/>
          <w:right w:val="nil"/>
          <w:between w:val="nil"/>
          <w:bar w:val="nil"/>
        </w:pBdr>
        <w:rPr>
          <w:rFonts w:ascii="Arial" w:eastAsia="Arial" w:hAnsi="Arial" w:cs="Arial"/>
          <w:bdr w:val="nil"/>
        </w:rPr>
      </w:pPr>
    </w:p>
    <w:p w14:paraId="71F3F806" w14:textId="77777777" w:rsidR="00267C38" w:rsidRPr="000A7051" w:rsidRDefault="003A4815" w:rsidP="004C415E">
      <w:pPr>
        <w:pStyle w:val="Notesbody"/>
        <w:keepLines/>
        <w:pBdr>
          <w:top w:val="nil"/>
          <w:left w:val="nil"/>
          <w:bottom w:val="nil"/>
          <w:right w:val="nil"/>
          <w:between w:val="nil"/>
          <w:bar w:val="nil"/>
        </w:pBdr>
        <w:rPr>
          <w:rFonts w:ascii="Arial" w:eastAsia="Arial" w:hAnsi="Arial" w:cs="Arial"/>
          <w:bdr w:val="nil"/>
          <w:lang w:val="en-GB"/>
        </w:rPr>
      </w:pPr>
      <w:r w:rsidRPr="000A7051">
        <w:rPr>
          <w:rFonts w:ascii="Arial" w:eastAsia="Arial" w:hAnsi="Arial" w:cs="Arial"/>
          <w:szCs w:val="20"/>
          <w:lang w:val="en-GB" w:eastAsia="el-GR"/>
        </w:rPr>
        <w:t xml:space="preserve">As </w:t>
      </w:r>
      <w:r w:rsidR="00B61B78" w:rsidRPr="000A7051">
        <w:rPr>
          <w:rFonts w:ascii="Arial" w:eastAsia="Arial" w:hAnsi="Arial" w:cs="Arial"/>
          <w:szCs w:val="20"/>
          <w:lang w:val="en-GB" w:eastAsia="el-GR"/>
        </w:rPr>
        <w:t>of</w:t>
      </w:r>
      <w:r w:rsidRPr="000A7051">
        <w:rPr>
          <w:rFonts w:ascii="Arial" w:eastAsia="Arial" w:hAnsi="Arial" w:cs="Arial"/>
          <w:szCs w:val="20"/>
          <w:lang w:val="en-GB" w:eastAsia="el-GR"/>
        </w:rPr>
        <w:t xml:space="preserve"> December 31, 2025, and throughout the ter</w:t>
      </w:r>
      <w:r w:rsidR="0033122E" w:rsidRPr="000A7051">
        <w:rPr>
          <w:rFonts w:ascii="Arial" w:eastAsia="Arial" w:hAnsi="Arial" w:cs="Arial"/>
          <w:szCs w:val="20"/>
          <w:lang w:val="en-GB" w:eastAsia="el-GR"/>
        </w:rPr>
        <w:t>m</w:t>
      </w:r>
      <w:r w:rsidRPr="000A7051">
        <w:rPr>
          <w:rFonts w:ascii="Arial" w:eastAsia="Arial" w:hAnsi="Arial" w:cs="Arial"/>
          <w:szCs w:val="20"/>
          <w:lang w:val="en-GB" w:eastAsia="el-GR"/>
        </w:rPr>
        <w:t xml:space="preserve"> of the leases</w:t>
      </w:r>
      <w:r w:rsidR="0033122E" w:rsidRPr="000A7051">
        <w:rPr>
          <w:rFonts w:ascii="Arial" w:eastAsia="Arial" w:hAnsi="Arial" w:cs="Arial"/>
          <w:szCs w:val="20"/>
          <w:lang w:val="en-GB" w:eastAsia="el-GR"/>
        </w:rPr>
        <w:t xml:space="preserve">, </w:t>
      </w:r>
      <w:r w:rsidRPr="000A7051">
        <w:rPr>
          <w:rFonts w:ascii="Arial" w:eastAsia="Arial" w:hAnsi="Arial" w:cs="Arial"/>
          <w:szCs w:val="20"/>
          <w:lang w:val="en-GB" w:eastAsia="el-GR"/>
        </w:rPr>
        <w:t xml:space="preserve">the Company has annual </w:t>
      </w:r>
      <w:r w:rsidRPr="000A7051">
        <w:rPr>
          <w:rFonts w:ascii="Arial" w:eastAsia="Arial" w:hAnsi="Arial" w:cs="Arial"/>
          <w:szCs w:val="20"/>
          <w:lang w:eastAsia="el-GR"/>
        </w:rPr>
        <w:t>finance</w:t>
      </w:r>
      <w:r w:rsidRPr="000A7051">
        <w:rPr>
          <w:rFonts w:ascii="Arial" w:eastAsia="Arial" w:hAnsi="Arial" w:cs="Arial"/>
          <w:szCs w:val="20"/>
          <w:lang w:val="en-GB" w:eastAsia="el-GR"/>
        </w:rPr>
        <w:t xml:space="preserve"> liabilities </w:t>
      </w:r>
      <w:r w:rsidR="0033122E" w:rsidRPr="000A7051">
        <w:rPr>
          <w:rFonts w:ascii="Arial" w:eastAsia="Arial" w:hAnsi="Arial" w:cs="Arial"/>
          <w:szCs w:val="20"/>
          <w:lang w:val="en-GB" w:eastAsia="el-GR"/>
        </w:rPr>
        <w:t>a</w:t>
      </w:r>
      <w:r w:rsidRPr="000A7051">
        <w:rPr>
          <w:rFonts w:ascii="Arial" w:eastAsia="Arial" w:hAnsi="Arial" w:cs="Arial"/>
          <w:szCs w:val="20"/>
          <w:lang w:val="en-GB" w:eastAsia="el-GR"/>
        </w:rPr>
        <w:t>s</w:t>
      </w:r>
      <w:r w:rsidR="0033122E" w:rsidRPr="000A7051">
        <w:rPr>
          <w:rFonts w:ascii="Arial" w:eastAsia="Arial" w:hAnsi="Arial" w:cs="Arial"/>
          <w:szCs w:val="20"/>
          <w:lang w:val="en-GB" w:eastAsia="el-GR"/>
        </w:rPr>
        <w:t xml:space="preserve"> shown in the table below</w:t>
      </w:r>
      <w:r w:rsidRPr="000A7051">
        <w:rPr>
          <w:rFonts w:ascii="Arial" w:eastAsia="Arial" w:hAnsi="Arial" w:cs="Arial"/>
          <w:szCs w:val="20"/>
          <w:lang w:val="en-GB" w:eastAsia="el-GR"/>
        </w:rPr>
        <w:t>:</w:t>
      </w:r>
      <w:r w:rsidR="0033122E" w:rsidRPr="000A7051">
        <w:rPr>
          <w:rFonts w:ascii="Arial" w:eastAsia="Arial" w:hAnsi="Arial" w:cs="Arial"/>
          <w:szCs w:val="20"/>
          <w:lang w:val="en-GB" w:eastAsia="el-GR"/>
        </w:rPr>
        <w:t xml:space="preserve">  </w:t>
      </w:r>
      <w:bookmarkEnd w:id="701"/>
    </w:p>
    <w:p w14:paraId="71F3F807" w14:textId="77777777" w:rsidR="00510CAA" w:rsidRDefault="00510CAA"/>
    <w:tbl>
      <w:tblPr>
        <w:tblStyle w:val="CDMRange2"/>
        <w:tblW w:w="10275" w:type="dxa"/>
        <w:tblLayout w:type="fixed"/>
        <w:tblLook w:val="0600" w:firstRow="0" w:lastRow="0" w:firstColumn="0" w:lastColumn="0" w:noHBand="1" w:noVBand="1"/>
      </w:tblPr>
      <w:tblGrid>
        <w:gridCol w:w="1635"/>
        <w:gridCol w:w="450"/>
        <w:gridCol w:w="5685"/>
        <w:gridCol w:w="180"/>
        <w:gridCol w:w="2325"/>
      </w:tblGrid>
      <w:tr w:rsidR="00510CAA" w14:paraId="71F3F80B" w14:textId="77777777">
        <w:trPr>
          <w:cantSplit/>
          <w:trHeight w:hRule="exact" w:val="276"/>
        </w:trPr>
        <w:tc>
          <w:tcPr>
            <w:tcW w:w="7770" w:type="dxa"/>
            <w:gridSpan w:val="3"/>
            <w:tcBorders>
              <w:top w:val="nil"/>
              <w:left w:val="nil"/>
              <w:bottom w:val="single" w:sz="4" w:space="0" w:color="000000"/>
              <w:right w:val="nil"/>
              <w:tl2br w:val="nil"/>
              <w:tr2bl w:val="nil"/>
            </w:tcBorders>
            <w:noWrap/>
            <w:tcMar>
              <w:left w:w="40" w:type="dxa"/>
              <w:right w:w="40" w:type="dxa"/>
            </w:tcMar>
            <w:vAlign w:val="bottom"/>
          </w:tcPr>
          <w:p w14:paraId="71F3F808" w14:textId="77777777" w:rsidR="00510CAA" w:rsidRDefault="003A4815">
            <w:pPr>
              <w:keepNext/>
              <w:rPr>
                <w:rFonts w:ascii="Arial" w:eastAsia="Arial" w:hAnsi="Arial" w:cs="Arial"/>
                <w:b/>
                <w:color w:val="000000"/>
                <w:sz w:val="20"/>
              </w:rPr>
            </w:pPr>
            <w:bookmarkStart w:id="716" w:name="RG_MARKER_23086"/>
            <w:r>
              <w:rPr>
                <w:rFonts w:ascii="Arial" w:eastAsia="Arial" w:hAnsi="Arial" w:cs="Arial"/>
                <w:b/>
                <w:color w:val="000000"/>
                <w:sz w:val="20"/>
              </w:rPr>
              <w:t>Period</w:t>
            </w:r>
            <w:bookmarkEnd w:id="716"/>
          </w:p>
        </w:tc>
        <w:tc>
          <w:tcPr>
            <w:tcW w:w="180" w:type="dxa"/>
            <w:tcBorders>
              <w:top w:val="nil"/>
              <w:left w:val="nil"/>
              <w:bottom w:val="nil"/>
              <w:right w:val="nil"/>
              <w:tl2br w:val="nil"/>
              <w:tr2bl w:val="nil"/>
            </w:tcBorders>
            <w:noWrap/>
            <w:tcMar>
              <w:left w:w="0" w:type="dxa"/>
              <w:right w:w="0" w:type="dxa"/>
            </w:tcMar>
            <w:vAlign w:val="bottom"/>
          </w:tcPr>
          <w:p w14:paraId="71F3F809" w14:textId="77777777" w:rsidR="00510CAA" w:rsidRDefault="00510CAA">
            <w:pPr>
              <w:keepNext/>
              <w:rPr>
                <w:rFonts w:ascii="Arial" w:eastAsia="Arial" w:hAnsi="Arial" w:cs="Arial"/>
                <w:b/>
                <w:color w:val="000000"/>
                <w:sz w:val="20"/>
              </w:rPr>
            </w:pPr>
          </w:p>
        </w:tc>
        <w:tc>
          <w:tcPr>
            <w:tcW w:w="2325" w:type="dxa"/>
            <w:tcBorders>
              <w:top w:val="nil"/>
              <w:left w:val="nil"/>
              <w:bottom w:val="single" w:sz="4" w:space="0" w:color="000000"/>
              <w:right w:val="nil"/>
              <w:tl2br w:val="nil"/>
              <w:tr2bl w:val="nil"/>
            </w:tcBorders>
            <w:noWrap/>
            <w:tcMar>
              <w:left w:w="40" w:type="dxa"/>
              <w:right w:w="40" w:type="dxa"/>
            </w:tcMar>
            <w:vAlign w:val="bottom"/>
          </w:tcPr>
          <w:p w14:paraId="71F3F80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Principal Repayment</w:t>
            </w:r>
          </w:p>
        </w:tc>
      </w:tr>
      <w:tr w:rsidR="00510CAA" w14:paraId="71F3F81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single" w:sz="4" w:space="0" w:color="000000"/>
              <w:left w:val="nil"/>
              <w:bottom w:val="nil"/>
              <w:right w:val="nil"/>
              <w:tl2br w:val="nil"/>
              <w:tr2bl w:val="nil"/>
            </w:tcBorders>
            <w:noWrap/>
            <w:tcMar>
              <w:left w:w="40" w:type="dxa"/>
              <w:right w:w="40" w:type="dxa"/>
            </w:tcMar>
            <w:vAlign w:val="bottom"/>
          </w:tcPr>
          <w:p w14:paraId="71F3F80C" w14:textId="77777777" w:rsidR="00510CAA" w:rsidRDefault="003A4815">
            <w:pPr>
              <w:keepNext/>
              <w:rPr>
                <w:rFonts w:ascii="Arial" w:eastAsia="Arial" w:hAnsi="Arial" w:cs="Arial"/>
                <w:color w:val="000000"/>
                <w:sz w:val="20"/>
              </w:rPr>
            </w:pPr>
            <w:r>
              <w:rPr>
                <w:rFonts w:ascii="Arial" w:eastAsia="Arial" w:hAnsi="Arial" w:cs="Arial"/>
                <w:color w:val="000000"/>
                <w:sz w:val="20"/>
              </w:rPr>
              <w:t>Year 1</w:t>
            </w:r>
          </w:p>
        </w:tc>
        <w:tc>
          <w:tcPr>
            <w:tcW w:w="450" w:type="dxa"/>
            <w:tcBorders>
              <w:top w:val="single" w:sz="4" w:space="0" w:color="000000"/>
              <w:left w:val="nil"/>
              <w:bottom w:val="nil"/>
              <w:right w:val="nil"/>
              <w:tl2br w:val="nil"/>
              <w:tr2bl w:val="nil"/>
            </w:tcBorders>
            <w:noWrap/>
            <w:tcMar>
              <w:left w:w="0" w:type="dxa"/>
              <w:right w:w="0" w:type="dxa"/>
            </w:tcMar>
            <w:vAlign w:val="bottom"/>
          </w:tcPr>
          <w:p w14:paraId="71F3F80D" w14:textId="77777777" w:rsidR="00510CAA" w:rsidRDefault="00510CAA">
            <w:pPr>
              <w:keepNext/>
              <w:jc w:val="center"/>
              <w:rPr>
                <w:rFonts w:ascii="Arial" w:eastAsia="Arial" w:hAnsi="Arial" w:cs="Arial"/>
                <w:color w:val="000000"/>
                <w:sz w:val="20"/>
              </w:rPr>
            </w:pPr>
          </w:p>
        </w:tc>
        <w:tc>
          <w:tcPr>
            <w:tcW w:w="5685" w:type="dxa"/>
            <w:tcBorders>
              <w:top w:val="single" w:sz="4" w:space="0" w:color="000000"/>
              <w:left w:val="nil"/>
              <w:bottom w:val="nil"/>
              <w:right w:val="nil"/>
              <w:tl2br w:val="nil"/>
              <w:tr2bl w:val="nil"/>
            </w:tcBorders>
            <w:noWrap/>
            <w:tcMar>
              <w:left w:w="0" w:type="dxa"/>
              <w:right w:w="0" w:type="dxa"/>
            </w:tcMar>
            <w:vAlign w:val="bottom"/>
          </w:tcPr>
          <w:p w14:paraId="71F3F80E"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40" w:type="dxa"/>
              <w:right w:w="40" w:type="dxa"/>
            </w:tcMar>
            <w:vAlign w:val="bottom"/>
          </w:tcPr>
          <w:p w14:paraId="71F3F80F"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2325" w:type="dxa"/>
            <w:tcBorders>
              <w:top w:val="single" w:sz="4" w:space="0" w:color="000000"/>
              <w:left w:val="nil"/>
              <w:bottom w:val="nil"/>
              <w:right w:val="nil"/>
              <w:tl2br w:val="nil"/>
              <w:tr2bl w:val="nil"/>
            </w:tcBorders>
            <w:noWrap/>
            <w:tcMar>
              <w:left w:w="40" w:type="dxa"/>
              <w:right w:w="100" w:type="dxa"/>
            </w:tcMar>
            <w:vAlign w:val="bottom"/>
          </w:tcPr>
          <w:p w14:paraId="71F3F81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10,224</w:t>
            </w:r>
          </w:p>
        </w:tc>
      </w:tr>
      <w:tr w:rsidR="00510CAA" w14:paraId="71F3F81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12" w14:textId="77777777" w:rsidR="00510CAA" w:rsidRDefault="003A4815">
            <w:pPr>
              <w:keepNext/>
              <w:rPr>
                <w:rFonts w:ascii="Arial" w:eastAsia="Arial" w:hAnsi="Arial" w:cs="Arial"/>
                <w:color w:val="000000"/>
                <w:sz w:val="20"/>
              </w:rPr>
            </w:pPr>
            <w:r>
              <w:rPr>
                <w:rFonts w:ascii="Arial" w:eastAsia="Arial" w:hAnsi="Arial" w:cs="Arial"/>
                <w:color w:val="000000"/>
                <w:sz w:val="20"/>
              </w:rPr>
              <w:t>Year 2</w:t>
            </w:r>
          </w:p>
        </w:tc>
        <w:tc>
          <w:tcPr>
            <w:tcW w:w="450" w:type="dxa"/>
            <w:tcBorders>
              <w:top w:val="nil"/>
              <w:left w:val="nil"/>
              <w:bottom w:val="nil"/>
              <w:right w:val="nil"/>
              <w:tl2br w:val="nil"/>
              <w:tr2bl w:val="nil"/>
            </w:tcBorders>
            <w:noWrap/>
            <w:tcMar>
              <w:left w:w="0" w:type="dxa"/>
              <w:right w:w="0" w:type="dxa"/>
            </w:tcMar>
            <w:vAlign w:val="bottom"/>
          </w:tcPr>
          <w:p w14:paraId="71F3F813"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14"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15"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1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10,661</w:t>
            </w:r>
          </w:p>
        </w:tc>
      </w:tr>
      <w:tr w:rsidR="00510CAA" w14:paraId="71F3F81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18" w14:textId="77777777" w:rsidR="00510CAA" w:rsidRDefault="003A4815">
            <w:pPr>
              <w:keepNext/>
              <w:rPr>
                <w:rFonts w:ascii="Arial" w:eastAsia="Arial" w:hAnsi="Arial" w:cs="Arial"/>
                <w:color w:val="000000"/>
                <w:sz w:val="20"/>
              </w:rPr>
            </w:pPr>
            <w:r>
              <w:rPr>
                <w:rFonts w:ascii="Arial" w:eastAsia="Arial" w:hAnsi="Arial" w:cs="Arial"/>
                <w:color w:val="000000"/>
                <w:sz w:val="20"/>
              </w:rPr>
              <w:t>Year 3</w:t>
            </w:r>
          </w:p>
        </w:tc>
        <w:tc>
          <w:tcPr>
            <w:tcW w:w="450" w:type="dxa"/>
            <w:tcBorders>
              <w:top w:val="nil"/>
              <w:left w:val="nil"/>
              <w:bottom w:val="nil"/>
              <w:right w:val="nil"/>
              <w:tl2br w:val="nil"/>
              <w:tr2bl w:val="nil"/>
            </w:tcBorders>
            <w:noWrap/>
            <w:tcMar>
              <w:left w:w="0" w:type="dxa"/>
              <w:right w:w="0" w:type="dxa"/>
            </w:tcMar>
            <w:vAlign w:val="bottom"/>
          </w:tcPr>
          <w:p w14:paraId="71F3F819"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1A"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1B"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1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11,151</w:t>
            </w:r>
          </w:p>
        </w:tc>
      </w:tr>
      <w:tr w:rsidR="00510CAA" w14:paraId="71F3F82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1E" w14:textId="77777777" w:rsidR="00510CAA" w:rsidRDefault="003A4815">
            <w:pPr>
              <w:keepNext/>
              <w:rPr>
                <w:rFonts w:ascii="Arial" w:eastAsia="Arial" w:hAnsi="Arial" w:cs="Arial"/>
                <w:color w:val="000000"/>
                <w:sz w:val="20"/>
              </w:rPr>
            </w:pPr>
            <w:r>
              <w:rPr>
                <w:rFonts w:ascii="Arial" w:eastAsia="Arial" w:hAnsi="Arial" w:cs="Arial"/>
                <w:color w:val="000000"/>
                <w:sz w:val="20"/>
              </w:rPr>
              <w:t>Year 4</w:t>
            </w:r>
          </w:p>
        </w:tc>
        <w:tc>
          <w:tcPr>
            <w:tcW w:w="450" w:type="dxa"/>
            <w:tcBorders>
              <w:top w:val="nil"/>
              <w:left w:val="nil"/>
              <w:bottom w:val="nil"/>
              <w:right w:val="nil"/>
              <w:tl2br w:val="nil"/>
              <w:tr2bl w:val="nil"/>
            </w:tcBorders>
            <w:noWrap/>
            <w:tcMar>
              <w:left w:w="0" w:type="dxa"/>
              <w:right w:w="0" w:type="dxa"/>
            </w:tcMar>
            <w:vAlign w:val="bottom"/>
          </w:tcPr>
          <w:p w14:paraId="71F3F81F"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20"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21"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2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11,604</w:t>
            </w:r>
          </w:p>
        </w:tc>
      </w:tr>
      <w:tr w:rsidR="00510CAA" w14:paraId="71F3F82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24" w14:textId="77777777" w:rsidR="00510CAA" w:rsidRDefault="003A4815">
            <w:pPr>
              <w:keepNext/>
              <w:rPr>
                <w:rFonts w:ascii="Arial" w:eastAsia="Arial" w:hAnsi="Arial" w:cs="Arial"/>
                <w:color w:val="000000"/>
                <w:sz w:val="20"/>
              </w:rPr>
            </w:pPr>
            <w:r>
              <w:rPr>
                <w:rFonts w:ascii="Arial" w:eastAsia="Arial" w:hAnsi="Arial" w:cs="Arial"/>
                <w:color w:val="000000"/>
                <w:sz w:val="20"/>
              </w:rPr>
              <w:t>Year 5</w:t>
            </w:r>
          </w:p>
        </w:tc>
        <w:tc>
          <w:tcPr>
            <w:tcW w:w="450" w:type="dxa"/>
            <w:tcBorders>
              <w:top w:val="nil"/>
              <w:left w:val="nil"/>
              <w:bottom w:val="nil"/>
              <w:right w:val="nil"/>
              <w:tl2br w:val="nil"/>
              <w:tr2bl w:val="nil"/>
            </w:tcBorders>
            <w:noWrap/>
            <w:tcMar>
              <w:left w:w="0" w:type="dxa"/>
              <w:right w:w="0" w:type="dxa"/>
            </w:tcMar>
            <w:vAlign w:val="bottom"/>
          </w:tcPr>
          <w:p w14:paraId="71F3F825"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26"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27"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2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36,170</w:t>
            </w:r>
          </w:p>
        </w:tc>
      </w:tr>
      <w:tr w:rsidR="00510CAA" w14:paraId="71F3F82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7770" w:type="dxa"/>
            <w:gridSpan w:val="3"/>
            <w:tcBorders>
              <w:top w:val="nil"/>
              <w:left w:val="nil"/>
              <w:bottom w:val="nil"/>
              <w:right w:val="nil"/>
              <w:tl2br w:val="nil"/>
              <w:tr2bl w:val="nil"/>
            </w:tcBorders>
            <w:noWrap/>
            <w:tcMar>
              <w:left w:w="40" w:type="dxa"/>
              <w:right w:w="40" w:type="dxa"/>
            </w:tcMar>
            <w:vAlign w:val="bottom"/>
          </w:tcPr>
          <w:p w14:paraId="71F3F82A" w14:textId="77777777" w:rsidR="00510CAA" w:rsidRDefault="003A4815">
            <w:pPr>
              <w:keepNext/>
              <w:rPr>
                <w:rFonts w:ascii="Arial" w:eastAsia="Arial" w:hAnsi="Arial" w:cs="Arial"/>
                <w:color w:val="000000"/>
                <w:sz w:val="20"/>
              </w:rPr>
            </w:pPr>
            <w:r>
              <w:rPr>
                <w:rFonts w:ascii="Arial" w:eastAsia="Arial" w:hAnsi="Arial" w:cs="Arial"/>
                <w:color w:val="000000"/>
                <w:sz w:val="20"/>
              </w:rPr>
              <w:t>Year 6 and thereafter</w:t>
            </w:r>
          </w:p>
        </w:tc>
        <w:tc>
          <w:tcPr>
            <w:tcW w:w="180" w:type="dxa"/>
            <w:tcBorders>
              <w:top w:val="nil"/>
              <w:left w:val="nil"/>
              <w:bottom w:val="nil"/>
              <w:right w:val="nil"/>
              <w:tl2br w:val="nil"/>
              <w:tr2bl w:val="nil"/>
            </w:tcBorders>
            <w:noWrap/>
            <w:tcMar>
              <w:left w:w="0" w:type="dxa"/>
              <w:right w:w="0" w:type="dxa"/>
            </w:tcMar>
            <w:vAlign w:val="bottom"/>
          </w:tcPr>
          <w:p w14:paraId="71F3F82B" w14:textId="77777777" w:rsidR="00510CAA" w:rsidRDefault="00510CAA">
            <w:pPr>
              <w:keepNext/>
              <w:rPr>
                <w:rFonts w:ascii="Arial" w:eastAsia="Arial" w:hAnsi="Arial" w:cs="Arial"/>
                <w:color w:val="000000"/>
                <w:sz w:val="20"/>
              </w:rPr>
            </w:pPr>
          </w:p>
        </w:tc>
        <w:tc>
          <w:tcPr>
            <w:tcW w:w="2325" w:type="dxa"/>
            <w:tcBorders>
              <w:top w:val="nil"/>
              <w:left w:val="nil"/>
              <w:bottom w:val="single" w:sz="4" w:space="0" w:color="000000"/>
              <w:right w:val="nil"/>
              <w:tl2br w:val="nil"/>
              <w:tr2bl w:val="nil"/>
            </w:tcBorders>
            <w:noWrap/>
            <w:tcMar>
              <w:left w:w="40" w:type="dxa"/>
              <w:right w:w="100" w:type="dxa"/>
            </w:tcMar>
            <w:vAlign w:val="bottom"/>
          </w:tcPr>
          <w:p w14:paraId="71F3F82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34,282</w:t>
            </w:r>
          </w:p>
        </w:tc>
      </w:tr>
      <w:tr w:rsidR="00510CAA" w14:paraId="71F3F83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8"/>
        </w:trPr>
        <w:tc>
          <w:tcPr>
            <w:tcW w:w="1635" w:type="dxa"/>
            <w:tcBorders>
              <w:top w:val="nil"/>
              <w:left w:val="nil"/>
              <w:bottom w:val="nil"/>
              <w:right w:val="nil"/>
              <w:tl2br w:val="nil"/>
              <w:tr2bl w:val="nil"/>
            </w:tcBorders>
            <w:noWrap/>
            <w:tcMar>
              <w:left w:w="40" w:type="dxa"/>
              <w:right w:w="40" w:type="dxa"/>
            </w:tcMar>
            <w:vAlign w:val="bottom"/>
          </w:tcPr>
          <w:p w14:paraId="71F3F82E" w14:textId="77777777" w:rsidR="00510CAA" w:rsidRDefault="003A4815">
            <w:pPr>
              <w:keepNext/>
              <w:rPr>
                <w:rFonts w:ascii="Arial" w:eastAsia="Arial" w:hAnsi="Arial" w:cs="Arial"/>
                <w:b/>
                <w:color w:val="000000"/>
                <w:sz w:val="20"/>
              </w:rPr>
            </w:pPr>
            <w:r>
              <w:rPr>
                <w:rFonts w:ascii="Arial" w:eastAsia="Arial" w:hAnsi="Arial" w:cs="Arial"/>
                <w:b/>
                <w:color w:val="000000"/>
                <w:sz w:val="20"/>
              </w:rPr>
              <w:t>Total</w:t>
            </w:r>
          </w:p>
        </w:tc>
        <w:tc>
          <w:tcPr>
            <w:tcW w:w="450" w:type="dxa"/>
            <w:tcBorders>
              <w:top w:val="nil"/>
              <w:left w:val="nil"/>
              <w:bottom w:val="nil"/>
              <w:right w:val="nil"/>
              <w:tl2br w:val="nil"/>
              <w:tr2bl w:val="nil"/>
            </w:tcBorders>
            <w:noWrap/>
            <w:tcMar>
              <w:left w:w="0" w:type="dxa"/>
              <w:right w:w="0" w:type="dxa"/>
            </w:tcMar>
            <w:vAlign w:val="bottom"/>
          </w:tcPr>
          <w:p w14:paraId="71F3F82F" w14:textId="77777777" w:rsidR="00510CAA" w:rsidRDefault="00510CAA">
            <w:pPr>
              <w:keepNext/>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30"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40" w:type="dxa"/>
              <w:right w:w="40" w:type="dxa"/>
            </w:tcMar>
            <w:vAlign w:val="bottom"/>
          </w:tcPr>
          <w:p w14:paraId="71F3F831" w14:textId="77777777" w:rsidR="00510CAA" w:rsidRDefault="003A4815">
            <w:pPr>
              <w:keepNext/>
              <w:rPr>
                <w:rFonts w:ascii="Arial" w:eastAsia="Arial" w:hAnsi="Arial" w:cs="Arial"/>
                <w:b/>
                <w:color w:val="000000"/>
                <w:sz w:val="20"/>
              </w:rPr>
            </w:pPr>
            <w:r>
              <w:rPr>
                <w:rFonts w:ascii="Arial" w:eastAsia="Arial" w:hAnsi="Arial" w:cs="Arial"/>
                <w:b/>
                <w:color w:val="000000"/>
                <w:sz w:val="20"/>
              </w:rPr>
              <w:t>$</w:t>
            </w:r>
          </w:p>
        </w:tc>
        <w:tc>
          <w:tcPr>
            <w:tcW w:w="2325" w:type="dxa"/>
            <w:tcBorders>
              <w:top w:val="single" w:sz="4" w:space="0" w:color="000000"/>
              <w:left w:val="nil"/>
              <w:bottom w:val="single" w:sz="12" w:space="0" w:color="000000"/>
              <w:right w:val="nil"/>
              <w:tl2br w:val="nil"/>
              <w:tr2bl w:val="nil"/>
            </w:tcBorders>
            <w:noWrap/>
            <w:tcMar>
              <w:left w:w="40" w:type="dxa"/>
              <w:right w:w="100" w:type="dxa"/>
            </w:tcMar>
            <w:vAlign w:val="bottom"/>
          </w:tcPr>
          <w:p w14:paraId="71F3F83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114,092</w:t>
            </w:r>
          </w:p>
        </w:tc>
      </w:tr>
    </w:tbl>
    <w:p w14:paraId="71F3F834"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835" w14:textId="77777777" w:rsidR="00C070DC" w:rsidRPr="002522D6" w:rsidRDefault="003A4815" w:rsidP="002522D6">
      <w:pPr>
        <w:pStyle w:val="Header1notes"/>
        <w:keepLines/>
        <w:pBdr>
          <w:top w:val="nil"/>
          <w:left w:val="nil"/>
          <w:bottom w:val="nil"/>
          <w:right w:val="nil"/>
          <w:between w:val="nil"/>
          <w:bar w:val="nil"/>
        </w:pBdr>
        <w:spacing w:before="0" w:after="0"/>
        <w:rPr>
          <w:rFonts w:ascii="Arial" w:eastAsia="Arial" w:hAnsi="Arial" w:cs="Arial"/>
          <w:sz w:val="24"/>
          <w:bdr w:val="nil"/>
        </w:rPr>
      </w:pPr>
      <w:bookmarkStart w:id="717" w:name="RG_MARKER_23088"/>
      <w:bookmarkStart w:id="718" w:name="RG_MARKER_23179"/>
      <w:bookmarkStart w:id="719" w:name="XBRL_TS_af513c8543334071a08aad44e12255b1"/>
      <w:r w:rsidRPr="002522D6">
        <w:rPr>
          <w:rFonts w:ascii="Arial" w:eastAsia="Arial" w:hAnsi="Arial" w:cs="Arial"/>
          <w:sz w:val="24"/>
        </w:rPr>
        <w:t>10.</w:t>
      </w:r>
      <w:bookmarkEnd w:id="717"/>
      <w:bookmarkEnd w:id="718"/>
      <w:r w:rsidRPr="002522D6">
        <w:rPr>
          <w:rFonts w:ascii="Arial" w:eastAsia="Arial" w:hAnsi="Arial" w:cs="Arial"/>
          <w:sz w:val="24"/>
        </w:rPr>
        <w:tab/>
        <w:t>Commitments and Contingencies</w:t>
      </w:r>
    </w:p>
    <w:p w14:paraId="71F3F836" w14:textId="77777777" w:rsidR="00DC5941" w:rsidRPr="002522D6" w:rsidRDefault="00DC5941" w:rsidP="002522D6">
      <w:pPr>
        <w:keepNext/>
        <w:keepLines/>
        <w:pBdr>
          <w:top w:val="nil"/>
          <w:left w:val="nil"/>
          <w:bottom w:val="nil"/>
          <w:right w:val="nil"/>
          <w:between w:val="nil"/>
          <w:bar w:val="nil"/>
        </w:pBdr>
        <w:jc w:val="both"/>
        <w:rPr>
          <w:rFonts w:ascii="Arial" w:eastAsia="Arial" w:hAnsi="Arial" w:cs="Arial"/>
          <w:bdr w:val="nil"/>
          <w:lang w:val="en-GB"/>
        </w:rPr>
      </w:pPr>
    </w:p>
    <w:p w14:paraId="71F3F837" w14:textId="77777777" w:rsidR="00046A88" w:rsidRPr="00AA0DE9" w:rsidRDefault="003A4815" w:rsidP="002522D6">
      <w:pPr>
        <w:pStyle w:val="ListParagraph"/>
        <w:numPr>
          <w:ilvl w:val="0"/>
          <w:numId w:val="25"/>
        </w:numPr>
        <w:pBdr>
          <w:top w:val="nil"/>
          <w:left w:val="nil"/>
          <w:bottom w:val="nil"/>
          <w:right w:val="nil"/>
          <w:between w:val="nil"/>
          <w:bar w:val="nil"/>
        </w:pBdr>
        <w:jc w:val="both"/>
        <w:rPr>
          <w:rFonts w:ascii="Arial" w:eastAsia="Arial" w:hAnsi="Arial" w:cs="Arial"/>
          <w:bdr w:val="nil"/>
          <w:lang w:val="en-US" w:bidi="en-US"/>
        </w:rPr>
      </w:pPr>
      <w:r w:rsidRPr="00AA0DE9">
        <w:rPr>
          <w:rFonts w:ascii="Arial" w:eastAsia="Arial" w:hAnsi="Arial" w:cs="Arial"/>
          <w:lang w:val="en-GB" w:bidi="en-US"/>
        </w:rPr>
        <w:t>Various claims, suits, and complaints, including those involving government regulations and product liability, arise in the ordinary course of the shipping business. In addition, losses may arise from disputes with charterers, agents, insurance and other claims with suppliers relating to the operations of the Company’s vessels. The Company accrues for the cost of environmental and other liabilities when management becomes aware that a liability is probable and is able to reasonably estimate the probable exposure. The Company’s vessels are covered for pollution in the amount of $</w:t>
      </w:r>
      <w:bookmarkStart w:id="720" w:name="XBRL_CS_99370196ccf04dfc9b732309c591aeed"/>
      <w:r w:rsidRPr="00AA0DE9">
        <w:rPr>
          <w:rFonts w:ascii="Arial" w:eastAsia="Arial" w:hAnsi="Arial" w:cs="Arial"/>
          <w:lang w:val="en-GB" w:bidi="en-US"/>
        </w:rPr>
        <w:t>1</w:t>
      </w:r>
      <w:bookmarkEnd w:id="720"/>
      <w:r w:rsidRPr="00AA0DE9">
        <w:rPr>
          <w:rFonts w:ascii="Arial" w:eastAsia="Arial" w:hAnsi="Arial" w:cs="Arial"/>
          <w:lang w:val="en-GB" w:bidi="en-US"/>
        </w:rPr>
        <w:t> billion per vessel per incident, by the P&amp;I Association in which the Company’s vessels are entered.</w:t>
      </w:r>
      <w:r w:rsidR="00ED1142" w:rsidRPr="00AA0DE9">
        <w:rPr>
          <w:rFonts w:ascii="Arial" w:eastAsia="Arial" w:hAnsi="Arial" w:cs="Arial"/>
          <w:lang w:val="en-GB" w:bidi="en-US"/>
        </w:rPr>
        <w:t xml:space="preserve"> </w:t>
      </w:r>
    </w:p>
    <w:p w14:paraId="71F3F838" w14:textId="77777777" w:rsidR="00AA0DE9" w:rsidRPr="00AA0DE9" w:rsidRDefault="00AA0DE9" w:rsidP="00AA0DE9">
      <w:pPr>
        <w:pBdr>
          <w:top w:val="nil"/>
          <w:left w:val="nil"/>
          <w:bottom w:val="nil"/>
          <w:right w:val="nil"/>
          <w:between w:val="nil"/>
          <w:bar w:val="nil"/>
        </w:pBdr>
        <w:jc w:val="both"/>
        <w:rPr>
          <w:rFonts w:ascii="Arial" w:eastAsia="Arial" w:hAnsi="Arial" w:cs="Arial"/>
          <w:bdr w:val="nil"/>
          <w:lang w:val="en-US"/>
        </w:rPr>
      </w:pPr>
    </w:p>
    <w:p w14:paraId="71F3F839" w14:textId="77777777" w:rsidR="00AA383F" w:rsidRDefault="003A4815" w:rsidP="002522D6">
      <w:pPr>
        <w:pStyle w:val="ListParagraph"/>
        <w:numPr>
          <w:ilvl w:val="0"/>
          <w:numId w:val="25"/>
        </w:numPr>
        <w:pBdr>
          <w:top w:val="nil"/>
          <w:left w:val="nil"/>
          <w:bottom w:val="nil"/>
          <w:right w:val="nil"/>
          <w:between w:val="nil"/>
          <w:bar w:val="nil"/>
        </w:pBdr>
        <w:jc w:val="both"/>
        <w:rPr>
          <w:rFonts w:ascii="Arial" w:eastAsia="Arial" w:hAnsi="Arial" w:cs="Arial"/>
          <w:bdr w:val="nil"/>
          <w:lang w:val="en-GB" w:bidi="en-US"/>
        </w:rPr>
      </w:pPr>
      <w:r w:rsidRPr="002522D6">
        <w:rPr>
          <w:rFonts w:ascii="Arial" w:eastAsia="Arial" w:hAnsi="Arial" w:cs="Arial"/>
          <w:lang w:val="en-GB" w:bidi="en-US"/>
        </w:rPr>
        <w:t xml:space="preserve">Pursuant to the sale and lease back agreements signed between the Company and its counterparties, the Company has purchase obligations </w:t>
      </w:r>
      <w:r w:rsidR="00462544">
        <w:rPr>
          <w:rFonts w:ascii="Arial" w:eastAsia="Arial" w:hAnsi="Arial" w:cs="Arial"/>
          <w:lang w:val="en-GB" w:bidi="en-US"/>
        </w:rPr>
        <w:t>amounting to $</w:t>
      </w:r>
      <w:bookmarkStart w:id="721" w:name="XBRL_CS_6f8bbb92f6604dab96d394ac35ae8277"/>
      <w:r w:rsidR="00462544">
        <w:rPr>
          <w:rFonts w:ascii="Arial" w:eastAsia="Arial" w:hAnsi="Arial" w:cs="Arial"/>
          <w:lang w:val="en-GB" w:bidi="en-US"/>
        </w:rPr>
        <w:t>50,400</w:t>
      </w:r>
      <w:bookmarkEnd w:id="721"/>
      <w:r w:rsidR="00462544">
        <w:rPr>
          <w:rFonts w:ascii="Arial" w:eastAsia="Arial" w:hAnsi="Arial" w:cs="Arial"/>
          <w:lang w:val="en-GB" w:bidi="en-US"/>
        </w:rPr>
        <w:t xml:space="preserve">, </w:t>
      </w:r>
      <w:r>
        <w:rPr>
          <w:rFonts w:ascii="Arial" w:eastAsia="Arial" w:hAnsi="Arial" w:cs="Arial"/>
          <w:lang w:val="en-GB" w:bidi="en-US"/>
        </w:rPr>
        <w:t>at</w:t>
      </w:r>
      <w:r w:rsidR="00462544">
        <w:rPr>
          <w:rFonts w:ascii="Arial" w:eastAsia="Arial" w:hAnsi="Arial" w:cs="Arial"/>
          <w:lang w:val="en-GB" w:bidi="en-US"/>
        </w:rPr>
        <w:t xml:space="preserve"> the end of the lease agreements described in </w:t>
      </w:r>
      <w:r w:rsidRPr="002522D6">
        <w:rPr>
          <w:rFonts w:ascii="Arial" w:eastAsia="Arial" w:hAnsi="Arial" w:cs="Arial"/>
          <w:lang w:val="en-GB" w:bidi="en-US"/>
        </w:rPr>
        <w:t>Note 9.</w:t>
      </w:r>
      <w:r w:rsidR="00462544">
        <w:rPr>
          <w:rFonts w:ascii="Arial" w:eastAsia="Arial" w:hAnsi="Arial" w:cs="Arial"/>
          <w:lang w:val="en-GB" w:bidi="en-US"/>
        </w:rPr>
        <w:t xml:space="preserve"> </w:t>
      </w:r>
    </w:p>
    <w:p w14:paraId="71F3F83A" w14:textId="77777777" w:rsidR="00870AAA" w:rsidRPr="00870AAA" w:rsidRDefault="00870AAA" w:rsidP="00870AAA">
      <w:pPr>
        <w:pStyle w:val="ListParagraph"/>
        <w:pBdr>
          <w:top w:val="nil"/>
          <w:left w:val="nil"/>
          <w:bottom w:val="nil"/>
          <w:right w:val="nil"/>
          <w:between w:val="nil"/>
          <w:bar w:val="nil"/>
        </w:pBdr>
        <w:ind w:left="360"/>
        <w:jc w:val="both"/>
        <w:rPr>
          <w:rFonts w:ascii="Arial" w:eastAsia="Arial" w:hAnsi="Arial" w:cs="Arial"/>
          <w:bdr w:val="nil"/>
          <w:lang w:val="en-US" w:bidi="en-US"/>
        </w:rPr>
      </w:pPr>
    </w:p>
    <w:p w14:paraId="71F3F83B" w14:textId="77777777" w:rsidR="00870AAA" w:rsidRPr="00DB662F" w:rsidRDefault="003A4815" w:rsidP="008F7FBF">
      <w:pPr>
        <w:pStyle w:val="ListParagraph"/>
        <w:numPr>
          <w:ilvl w:val="0"/>
          <w:numId w:val="25"/>
        </w:numPr>
        <w:pBdr>
          <w:top w:val="nil"/>
          <w:left w:val="nil"/>
          <w:bottom w:val="nil"/>
          <w:right w:val="nil"/>
          <w:between w:val="nil"/>
          <w:bar w:val="nil"/>
        </w:pBdr>
        <w:jc w:val="both"/>
        <w:rPr>
          <w:rFonts w:ascii="Arial" w:eastAsia="Arial" w:hAnsi="Arial" w:cs="Arial"/>
          <w:bdr w:val="nil"/>
          <w:lang w:val="en-GB" w:bidi="en-US"/>
        </w:rPr>
      </w:pPr>
      <w:r w:rsidRPr="008F7FBF">
        <w:rPr>
          <w:rFonts w:ascii="Arial" w:eastAsia="Arial" w:hAnsi="Arial" w:cs="Arial"/>
          <w:lang w:val="en-GB" w:bidi="en-US"/>
        </w:rPr>
        <w:t xml:space="preserve">On March 30, 2023, </w:t>
      </w:r>
      <w:r w:rsidR="008F61F6" w:rsidRPr="008F7FBF">
        <w:rPr>
          <w:rFonts w:ascii="Arial" w:eastAsia="Arial" w:hAnsi="Arial" w:cs="Arial"/>
          <w:lang w:val="en-US" w:bidi="en-US"/>
        </w:rPr>
        <w:t>t</w:t>
      </w:r>
      <w:r w:rsidRPr="008F7FBF">
        <w:rPr>
          <w:rFonts w:ascii="Arial" w:eastAsia="Arial" w:hAnsi="Arial" w:cs="Arial"/>
          <w:lang w:val="en-US" w:bidi="en-US"/>
        </w:rPr>
        <w:t xml:space="preserve">he Company entered into a </w:t>
      </w:r>
      <w:r w:rsidR="008F61F6" w:rsidRPr="008F7FBF">
        <w:rPr>
          <w:rFonts w:ascii="Arial" w:eastAsia="Arial" w:hAnsi="Arial" w:cs="Arial"/>
          <w:lang w:val="en-US" w:bidi="en-US"/>
        </w:rPr>
        <w:t xml:space="preserve">corporate </w:t>
      </w:r>
      <w:r w:rsidRPr="008F7FBF">
        <w:rPr>
          <w:rFonts w:ascii="Arial" w:eastAsia="Arial" w:hAnsi="Arial" w:cs="Arial"/>
          <w:lang w:val="en-US" w:bidi="en-US"/>
        </w:rPr>
        <w:t>guarantee with Nordea</w:t>
      </w:r>
      <w:r w:rsidR="008F61F6" w:rsidRPr="008F7FBF">
        <w:rPr>
          <w:rFonts w:ascii="Arial" w:eastAsia="Arial" w:hAnsi="Arial" w:cs="Arial"/>
          <w:lang w:val="en-US" w:bidi="en-US"/>
        </w:rPr>
        <w:t xml:space="preserve"> under which the Company guarantees the performance by Bergen of all of its obligations under the loan</w:t>
      </w:r>
      <w:r>
        <w:rPr>
          <w:rFonts w:ascii="Arial" w:eastAsia="Arial" w:hAnsi="Arial" w:cs="Arial"/>
          <w:lang w:val="en-US" w:bidi="en-US"/>
        </w:rPr>
        <w:t xml:space="preserve"> until the maturity of the loan on March 30, 2028</w:t>
      </w:r>
      <w:r w:rsidR="008F7FBF" w:rsidRPr="008F7FBF">
        <w:rPr>
          <w:rFonts w:ascii="Arial" w:eastAsia="Arial" w:hAnsi="Arial" w:cs="Arial"/>
          <w:lang w:val="en-US" w:bidi="en-US"/>
        </w:rPr>
        <w:t xml:space="preserve"> (Note 4</w:t>
      </w:r>
      <w:r>
        <w:rPr>
          <w:rFonts w:ascii="Arial" w:eastAsia="Arial" w:hAnsi="Arial" w:cs="Arial"/>
          <w:lang w:val="en-US" w:bidi="en-US"/>
        </w:rPr>
        <w:t xml:space="preserve"> (b)</w:t>
      </w:r>
      <w:r w:rsidR="008F7FBF" w:rsidRPr="008F7FBF">
        <w:rPr>
          <w:rFonts w:ascii="Arial" w:eastAsia="Arial" w:hAnsi="Arial" w:cs="Arial"/>
          <w:lang w:val="en-US" w:bidi="en-US"/>
        </w:rPr>
        <w:t>).</w:t>
      </w:r>
      <w:r>
        <w:rPr>
          <w:rFonts w:ascii="Arial" w:eastAsia="Arial" w:hAnsi="Arial" w:cs="Arial"/>
          <w:lang w:val="en-US" w:bidi="en-US"/>
        </w:rPr>
        <w:t xml:space="preserve"> </w:t>
      </w:r>
      <w:r w:rsidR="008F7FBF" w:rsidRPr="008F7FBF">
        <w:rPr>
          <w:rFonts w:ascii="Arial" w:eastAsia="Arial" w:hAnsi="Arial" w:cs="Arial"/>
          <w:lang w:val="en-US" w:bidi="en-US"/>
        </w:rPr>
        <w:t xml:space="preserve">The Company considers the likelihood of having to make any payments under the guarantee </w:t>
      </w:r>
      <w:r w:rsidR="008F7FBF">
        <w:rPr>
          <w:rFonts w:ascii="Arial" w:eastAsia="Arial" w:hAnsi="Arial" w:cs="Arial"/>
          <w:lang w:val="en-US" w:bidi="en-US"/>
        </w:rPr>
        <w:t>to be</w:t>
      </w:r>
      <w:r w:rsidR="008F7FBF" w:rsidRPr="008F7FBF">
        <w:rPr>
          <w:rFonts w:ascii="Arial" w:eastAsia="Arial" w:hAnsi="Arial" w:cs="Arial"/>
          <w:lang w:val="en-US" w:bidi="en-US"/>
        </w:rPr>
        <w:t xml:space="preserve"> remote</w:t>
      </w:r>
      <w:r w:rsidR="008F7FBF">
        <w:rPr>
          <w:rFonts w:ascii="Arial" w:eastAsia="Arial" w:hAnsi="Arial" w:cs="Arial"/>
          <w:lang w:val="en-US" w:bidi="en-US"/>
        </w:rPr>
        <w:t>, as the loan is also secured by a</w:t>
      </w:r>
      <w:r w:rsidR="00EF73BF">
        <w:rPr>
          <w:rFonts w:ascii="Arial" w:eastAsia="Arial" w:hAnsi="Arial" w:cs="Arial"/>
          <w:lang w:val="en-US" w:bidi="en-US"/>
        </w:rPr>
        <w:t>n account pledge by Bergen,</w:t>
      </w:r>
      <w:r w:rsidR="00CC14D1">
        <w:rPr>
          <w:rFonts w:ascii="Arial" w:eastAsia="Arial" w:hAnsi="Arial" w:cs="Arial"/>
          <w:lang w:val="en-US" w:bidi="en-US"/>
        </w:rPr>
        <w:t xml:space="preserve"> </w:t>
      </w:r>
      <w:r w:rsidR="008F7FBF">
        <w:rPr>
          <w:rFonts w:ascii="Arial" w:eastAsia="Arial" w:hAnsi="Arial" w:cs="Arial"/>
          <w:lang w:val="en-US" w:bidi="en-US"/>
        </w:rPr>
        <w:t>first</w:t>
      </w:r>
      <w:r w:rsidR="008F7FBF" w:rsidRPr="008F7FBF">
        <w:rPr>
          <w:rFonts w:ascii="Arial" w:eastAsia="Arial" w:hAnsi="Arial" w:cs="Arial"/>
          <w:lang w:val="en-US" w:bidi="en-US"/>
        </w:rPr>
        <w:t xml:space="preserve"> </w:t>
      </w:r>
      <w:r w:rsidR="00EF73BF">
        <w:rPr>
          <w:rFonts w:ascii="Arial" w:eastAsia="Arial" w:hAnsi="Arial" w:cs="Arial"/>
          <w:lang w:val="en-US" w:bidi="en-US"/>
        </w:rPr>
        <w:t xml:space="preserve">preferred mortgage on the vessel, a </w:t>
      </w:r>
      <w:r w:rsidR="00CC14D1">
        <w:rPr>
          <w:rFonts w:ascii="Arial" w:eastAsia="Arial" w:hAnsi="Arial" w:cs="Arial"/>
          <w:lang w:val="en-US" w:bidi="en-US"/>
        </w:rPr>
        <w:t xml:space="preserve">first priority </w:t>
      </w:r>
      <w:r w:rsidR="00EF73BF">
        <w:rPr>
          <w:rFonts w:ascii="Arial" w:eastAsia="Arial" w:hAnsi="Arial" w:cs="Arial"/>
          <w:lang w:val="en-US" w:bidi="en-US"/>
        </w:rPr>
        <w:t>general assignment</w:t>
      </w:r>
      <w:r w:rsidR="00CC14D1">
        <w:rPr>
          <w:rFonts w:ascii="Arial" w:eastAsia="Arial" w:hAnsi="Arial" w:cs="Arial"/>
          <w:lang w:val="en-US" w:bidi="en-US"/>
        </w:rPr>
        <w:t xml:space="preserve"> of the earnings, insurances and requisition compensation </w:t>
      </w:r>
      <w:r>
        <w:rPr>
          <w:rFonts w:ascii="Arial" w:eastAsia="Arial" w:hAnsi="Arial" w:cs="Arial"/>
          <w:lang w:val="en-US" w:bidi="en-US"/>
        </w:rPr>
        <w:t>of</w:t>
      </w:r>
      <w:r w:rsidR="00CC14D1">
        <w:rPr>
          <w:rFonts w:ascii="Arial" w:eastAsia="Arial" w:hAnsi="Arial" w:cs="Arial"/>
          <w:lang w:val="en-US" w:bidi="en-US"/>
        </w:rPr>
        <w:t xml:space="preserve"> the vessel</w:t>
      </w:r>
      <w:r w:rsidR="00EF73BF">
        <w:rPr>
          <w:rFonts w:ascii="Arial" w:eastAsia="Arial" w:hAnsi="Arial" w:cs="Arial"/>
          <w:lang w:val="en-US" w:bidi="en-US"/>
        </w:rPr>
        <w:t xml:space="preserve">, a charter party assignment, a partnership interests security deed, and a manager’s undertaking. </w:t>
      </w:r>
      <w:r w:rsidR="00CC14D1">
        <w:rPr>
          <w:rFonts w:ascii="Arial" w:eastAsia="Arial" w:hAnsi="Arial" w:cs="Arial"/>
          <w:lang w:val="en-US" w:bidi="en-US"/>
        </w:rPr>
        <w:t>Accordingly, as</w:t>
      </w:r>
      <w:r w:rsidRPr="008F7FBF">
        <w:rPr>
          <w:rFonts w:ascii="Arial" w:eastAsia="Arial" w:hAnsi="Arial" w:cs="Arial"/>
          <w:lang w:val="en-US" w:bidi="en-US"/>
        </w:rPr>
        <w:t xml:space="preserve"> of December 31, 2025, </w:t>
      </w:r>
      <w:r w:rsidR="00CC14D1" w:rsidRPr="008F7FBF">
        <w:rPr>
          <w:rFonts w:ascii="Arial" w:eastAsia="Arial" w:hAnsi="Arial" w:cs="Arial"/>
          <w:lang w:val="en-US" w:bidi="en-US"/>
        </w:rPr>
        <w:t>the</w:t>
      </w:r>
      <w:r w:rsidR="00CC14D1">
        <w:rPr>
          <w:rFonts w:ascii="Arial" w:eastAsia="Arial" w:hAnsi="Arial" w:cs="Arial"/>
          <w:lang w:val="en-US" w:bidi="en-US"/>
        </w:rPr>
        <w:t xml:space="preserve"> Company did not record a provision for losses under the guarantee of Bergen’s</w:t>
      </w:r>
      <w:r w:rsidR="00CC14D1" w:rsidRPr="008F7FBF">
        <w:rPr>
          <w:rFonts w:ascii="Arial" w:eastAsia="Arial" w:hAnsi="Arial" w:cs="Arial"/>
          <w:lang w:val="en-US" w:bidi="en-US"/>
        </w:rPr>
        <w:t xml:space="preserve"> loan</w:t>
      </w:r>
      <w:r w:rsidR="00CC14D1">
        <w:rPr>
          <w:rFonts w:ascii="Arial" w:eastAsia="Arial" w:hAnsi="Arial" w:cs="Arial"/>
          <w:lang w:val="en-US" w:bidi="en-US"/>
        </w:rPr>
        <w:t xml:space="preserve"> </w:t>
      </w:r>
      <w:r>
        <w:rPr>
          <w:rFonts w:ascii="Arial" w:eastAsia="Arial" w:hAnsi="Arial" w:cs="Arial"/>
          <w:lang w:val="en-US" w:bidi="en-US"/>
        </w:rPr>
        <w:t>amounting to</w:t>
      </w:r>
      <w:r w:rsidRPr="008F7FBF">
        <w:rPr>
          <w:rFonts w:ascii="Arial" w:eastAsia="Arial" w:hAnsi="Arial" w:cs="Arial"/>
          <w:lang w:val="en-US" w:bidi="en-US"/>
        </w:rPr>
        <w:t xml:space="preserve"> $</w:t>
      </w:r>
      <w:bookmarkStart w:id="722" w:name="XBRL_CS_4c230b832d244f55a9c74e63d37bba19"/>
      <w:r>
        <w:rPr>
          <w:rFonts w:ascii="Arial" w:eastAsia="Arial" w:hAnsi="Arial" w:cs="Arial"/>
          <w:lang w:val="en-US" w:bidi="en-US"/>
        </w:rPr>
        <w:t>12,</w:t>
      </w:r>
      <w:r w:rsidR="00634A61">
        <w:rPr>
          <w:rFonts w:ascii="Arial" w:eastAsia="Arial" w:hAnsi="Arial" w:cs="Arial"/>
          <w:lang w:val="en-US" w:bidi="en-US"/>
        </w:rPr>
        <w:t>288</w:t>
      </w:r>
      <w:bookmarkEnd w:id="722"/>
      <w:r>
        <w:rPr>
          <w:rFonts w:ascii="Arial" w:eastAsia="Arial" w:hAnsi="Arial" w:cs="Arial"/>
          <w:lang w:val="en-US" w:bidi="en-US"/>
        </w:rPr>
        <w:t xml:space="preserve"> on that date</w:t>
      </w:r>
      <w:r w:rsidR="006355FF">
        <w:rPr>
          <w:rFonts w:ascii="Arial" w:eastAsia="Arial" w:hAnsi="Arial" w:cs="Arial"/>
          <w:lang w:val="en-US" w:bidi="en-US"/>
        </w:rPr>
        <w:t xml:space="preserve"> (Note</w:t>
      </w:r>
      <w:r w:rsidR="0085242F">
        <w:rPr>
          <w:rFonts w:ascii="Arial" w:eastAsia="Arial" w:hAnsi="Arial" w:cs="Arial"/>
          <w:lang w:val="en-US" w:bidi="en-US"/>
        </w:rPr>
        <w:t>s</w:t>
      </w:r>
      <w:r w:rsidR="006355FF">
        <w:rPr>
          <w:rFonts w:ascii="Arial" w:eastAsia="Arial" w:hAnsi="Arial" w:cs="Arial"/>
          <w:lang w:val="en-US" w:bidi="en-US"/>
        </w:rPr>
        <w:t xml:space="preserve"> 4 and 16)</w:t>
      </w:r>
      <w:r w:rsidRPr="008F7FBF">
        <w:rPr>
          <w:rFonts w:ascii="Arial" w:eastAsia="Arial" w:hAnsi="Arial" w:cs="Arial"/>
          <w:lang w:val="en-US" w:bidi="en-US"/>
        </w:rPr>
        <w:t>.</w:t>
      </w:r>
    </w:p>
    <w:p w14:paraId="71F3F83C" w14:textId="77777777" w:rsidR="00DB662F" w:rsidRPr="00DB662F" w:rsidRDefault="00DB662F" w:rsidP="00DB662F">
      <w:pPr>
        <w:pStyle w:val="ListParagraph"/>
        <w:pBdr>
          <w:top w:val="nil"/>
          <w:left w:val="nil"/>
          <w:bottom w:val="nil"/>
          <w:right w:val="nil"/>
          <w:between w:val="nil"/>
          <w:bar w:val="nil"/>
        </w:pBdr>
        <w:rPr>
          <w:rFonts w:ascii="Arial" w:eastAsia="Arial" w:hAnsi="Arial" w:cs="Arial"/>
          <w:bdr w:val="nil"/>
          <w:lang w:val="en-GB" w:bidi="en-US"/>
        </w:rPr>
      </w:pPr>
    </w:p>
    <w:p w14:paraId="71F3F83D" w14:textId="77777777" w:rsidR="00DB662F" w:rsidRPr="0014661E" w:rsidRDefault="003A4815" w:rsidP="008F7FBF">
      <w:pPr>
        <w:pStyle w:val="ListParagraph"/>
        <w:numPr>
          <w:ilvl w:val="0"/>
          <w:numId w:val="25"/>
        </w:numPr>
        <w:pBdr>
          <w:top w:val="nil"/>
          <w:left w:val="nil"/>
          <w:bottom w:val="nil"/>
          <w:right w:val="nil"/>
          <w:between w:val="nil"/>
          <w:bar w:val="nil"/>
        </w:pBdr>
        <w:jc w:val="both"/>
        <w:rPr>
          <w:rFonts w:ascii="Arial" w:eastAsia="Arial" w:hAnsi="Arial" w:cs="Arial"/>
          <w:bdr w:val="nil"/>
          <w:lang w:val="en-GB" w:bidi="en-US"/>
        </w:rPr>
      </w:pPr>
      <w:r>
        <w:rPr>
          <w:rFonts w:ascii="Arial" w:eastAsia="Arial" w:hAnsi="Arial" w:cs="Arial"/>
          <w:lang w:val="en-GB" w:bidi="en-US"/>
        </w:rPr>
        <w:t xml:space="preserve">As of December 31, 2025, </w:t>
      </w:r>
      <w:r w:rsidR="00EB536C">
        <w:rPr>
          <w:rFonts w:ascii="Arial" w:eastAsia="Arial" w:hAnsi="Arial" w:cs="Arial"/>
          <w:lang w:val="en-GB" w:bidi="en-US"/>
        </w:rPr>
        <w:t xml:space="preserve">the Company’s remaining commitments to its joint ventures consist of </w:t>
      </w:r>
      <w:r>
        <w:rPr>
          <w:rFonts w:ascii="Arial" w:eastAsia="Arial" w:hAnsi="Arial" w:cs="Arial"/>
          <w:lang w:val="en-GB" w:bidi="en-US"/>
        </w:rPr>
        <w:t xml:space="preserve">EUR </w:t>
      </w:r>
      <w:bookmarkStart w:id="723" w:name="XBRL_CS_a3b648b3c24544029b02d38d2f885667"/>
      <w:r w:rsidR="001B0E20">
        <w:rPr>
          <w:rFonts w:ascii="Arial" w:eastAsia="Arial" w:hAnsi="Arial" w:cs="Arial"/>
          <w:lang w:val="en-GB" w:bidi="en-US"/>
        </w:rPr>
        <w:t>10</w:t>
      </w:r>
      <w:r w:rsidR="001B73EA">
        <w:rPr>
          <w:rFonts w:ascii="Arial" w:eastAsia="Arial" w:hAnsi="Arial" w:cs="Arial"/>
          <w:lang w:val="en-GB" w:bidi="en-US"/>
        </w:rPr>
        <w:t>.7</w:t>
      </w:r>
      <w:bookmarkEnd w:id="723"/>
      <w:r w:rsidR="00950F53">
        <w:rPr>
          <w:rFonts w:ascii="Arial" w:eastAsia="Arial" w:hAnsi="Arial" w:cs="Arial"/>
          <w:lang w:val="en-GB" w:bidi="en-US"/>
        </w:rPr>
        <w:t xml:space="preserve"> million</w:t>
      </w:r>
      <w:r>
        <w:rPr>
          <w:rFonts w:ascii="Arial" w:eastAsia="Arial" w:hAnsi="Arial" w:cs="Arial"/>
          <w:lang w:val="en-GB" w:bidi="en-US"/>
        </w:rPr>
        <w:t xml:space="preserve"> to Windward and $</w:t>
      </w:r>
      <w:bookmarkStart w:id="724" w:name="XBRL_CS_49ed7036b6da4049bb71048034ffa09a"/>
      <w:r>
        <w:rPr>
          <w:rFonts w:ascii="Arial" w:eastAsia="Arial" w:hAnsi="Arial" w:cs="Arial"/>
          <w:lang w:val="en-GB" w:bidi="en-US"/>
        </w:rPr>
        <w:t>8,220</w:t>
      </w:r>
      <w:bookmarkEnd w:id="724"/>
      <w:r>
        <w:rPr>
          <w:rFonts w:ascii="Arial" w:eastAsia="Arial" w:hAnsi="Arial" w:cs="Arial"/>
          <w:lang w:val="en-GB" w:bidi="en-US"/>
        </w:rPr>
        <w:t xml:space="preserve"> to Ecogas. </w:t>
      </w:r>
    </w:p>
    <w:p w14:paraId="71F3F83E" w14:textId="77777777" w:rsidR="0014661E" w:rsidRPr="0014661E" w:rsidRDefault="0014661E" w:rsidP="0014661E">
      <w:pPr>
        <w:pStyle w:val="ListParagraph"/>
        <w:pBdr>
          <w:top w:val="nil"/>
          <w:left w:val="nil"/>
          <w:bottom w:val="nil"/>
          <w:right w:val="nil"/>
          <w:between w:val="nil"/>
          <w:bar w:val="nil"/>
        </w:pBdr>
        <w:rPr>
          <w:rFonts w:ascii="Arial" w:eastAsia="Arial" w:hAnsi="Arial" w:cs="Arial"/>
          <w:bdr w:val="nil"/>
          <w:lang w:val="en-GB" w:bidi="en-US"/>
        </w:rPr>
      </w:pPr>
    </w:p>
    <w:p w14:paraId="71F3F83F" w14:textId="77777777" w:rsidR="00032F1B" w:rsidRPr="00DA4759" w:rsidRDefault="003A4815" w:rsidP="00F71966">
      <w:pPr>
        <w:pStyle w:val="ListParagraph"/>
        <w:numPr>
          <w:ilvl w:val="0"/>
          <w:numId w:val="25"/>
        </w:numPr>
        <w:pBdr>
          <w:top w:val="nil"/>
          <w:left w:val="nil"/>
          <w:bottom w:val="nil"/>
          <w:right w:val="nil"/>
          <w:between w:val="nil"/>
          <w:bar w:val="nil"/>
        </w:pBdr>
        <w:jc w:val="both"/>
        <w:rPr>
          <w:rFonts w:ascii="Arial" w:eastAsia="Arial" w:hAnsi="Arial" w:cs="Arial"/>
          <w:bdr w:val="nil"/>
          <w:lang w:val="en-US" w:bidi="en-US"/>
        </w:rPr>
      </w:pPr>
      <w:r w:rsidRPr="00F71966">
        <w:rPr>
          <w:rFonts w:ascii="Arial" w:eastAsia="Arial" w:hAnsi="Arial" w:cs="Arial"/>
          <w:lang w:val="en-US" w:bidi="en-US"/>
        </w:rPr>
        <w:t>As of December 31, 2025, the Company had total obligations under shipbuilding contracts (Note 6), as follows:</w:t>
      </w:r>
      <w:bookmarkEnd w:id="719"/>
    </w:p>
    <w:p w14:paraId="71F3F840" w14:textId="77777777" w:rsidR="00DA4759" w:rsidRPr="00DA4759" w:rsidRDefault="00DA4759" w:rsidP="00DA4759">
      <w:pPr>
        <w:pBdr>
          <w:top w:val="nil"/>
          <w:left w:val="nil"/>
          <w:bottom w:val="nil"/>
          <w:right w:val="nil"/>
          <w:between w:val="nil"/>
          <w:bar w:val="nil"/>
        </w:pBdr>
        <w:jc w:val="both"/>
        <w:rPr>
          <w:rFonts w:ascii="Arial" w:eastAsia="Arial" w:hAnsi="Arial" w:cs="Arial"/>
          <w:bdr w:val="nil"/>
          <w:lang w:val="en-US"/>
        </w:rPr>
      </w:pPr>
    </w:p>
    <w:p w14:paraId="71F3F841" w14:textId="77777777" w:rsidR="00510CAA" w:rsidRDefault="00510CAA"/>
    <w:tbl>
      <w:tblPr>
        <w:tblStyle w:val="CDMRange1"/>
        <w:tblW w:w="10275" w:type="dxa"/>
        <w:tblLayout w:type="fixed"/>
        <w:tblLook w:val="0600" w:firstRow="0" w:lastRow="0" w:firstColumn="0" w:lastColumn="0" w:noHBand="1" w:noVBand="1"/>
      </w:tblPr>
      <w:tblGrid>
        <w:gridCol w:w="1635"/>
        <w:gridCol w:w="450"/>
        <w:gridCol w:w="5685"/>
        <w:gridCol w:w="180"/>
        <w:gridCol w:w="2325"/>
      </w:tblGrid>
      <w:tr w:rsidR="00510CAA" w14:paraId="71F3F845" w14:textId="77777777">
        <w:trPr>
          <w:cantSplit/>
          <w:trHeight w:hRule="exact" w:val="276"/>
        </w:trPr>
        <w:tc>
          <w:tcPr>
            <w:tcW w:w="7770" w:type="dxa"/>
            <w:gridSpan w:val="3"/>
            <w:tcBorders>
              <w:top w:val="nil"/>
              <w:left w:val="nil"/>
              <w:bottom w:val="single" w:sz="4" w:space="0" w:color="000000"/>
              <w:right w:val="nil"/>
              <w:tl2br w:val="nil"/>
              <w:tr2bl w:val="nil"/>
            </w:tcBorders>
            <w:noWrap/>
            <w:tcMar>
              <w:left w:w="40" w:type="dxa"/>
              <w:right w:w="40" w:type="dxa"/>
            </w:tcMar>
            <w:vAlign w:val="bottom"/>
          </w:tcPr>
          <w:p w14:paraId="71F3F842" w14:textId="77777777" w:rsidR="00510CAA" w:rsidRDefault="003A4815">
            <w:pPr>
              <w:keepNext/>
              <w:rPr>
                <w:rFonts w:ascii="Arial" w:eastAsia="Arial" w:hAnsi="Arial" w:cs="Arial"/>
                <w:b/>
                <w:color w:val="000000"/>
                <w:sz w:val="20"/>
              </w:rPr>
            </w:pPr>
            <w:bookmarkStart w:id="725" w:name="RG_MARKER_23203"/>
            <w:r>
              <w:rPr>
                <w:rFonts w:ascii="Arial" w:eastAsia="Arial" w:hAnsi="Arial" w:cs="Arial"/>
                <w:b/>
                <w:color w:val="000000"/>
                <w:sz w:val="20"/>
              </w:rPr>
              <w:t>Period</w:t>
            </w:r>
            <w:bookmarkEnd w:id="725"/>
          </w:p>
        </w:tc>
        <w:tc>
          <w:tcPr>
            <w:tcW w:w="180" w:type="dxa"/>
            <w:tcBorders>
              <w:top w:val="nil"/>
              <w:left w:val="nil"/>
              <w:bottom w:val="nil"/>
              <w:right w:val="nil"/>
              <w:tl2br w:val="nil"/>
              <w:tr2bl w:val="nil"/>
            </w:tcBorders>
            <w:noWrap/>
            <w:tcMar>
              <w:left w:w="0" w:type="dxa"/>
              <w:right w:w="0" w:type="dxa"/>
            </w:tcMar>
            <w:vAlign w:val="bottom"/>
          </w:tcPr>
          <w:p w14:paraId="71F3F843" w14:textId="77777777" w:rsidR="00510CAA" w:rsidRDefault="00510CAA">
            <w:pPr>
              <w:keepNext/>
              <w:rPr>
                <w:rFonts w:ascii="Arial" w:eastAsia="Arial" w:hAnsi="Arial" w:cs="Arial"/>
                <w:b/>
                <w:color w:val="000000"/>
                <w:sz w:val="20"/>
              </w:rPr>
            </w:pPr>
          </w:p>
        </w:tc>
        <w:tc>
          <w:tcPr>
            <w:tcW w:w="2325" w:type="dxa"/>
            <w:tcBorders>
              <w:top w:val="nil"/>
              <w:left w:val="nil"/>
              <w:bottom w:val="single" w:sz="4" w:space="0" w:color="000000"/>
              <w:right w:val="nil"/>
              <w:tl2br w:val="nil"/>
              <w:tr2bl w:val="nil"/>
            </w:tcBorders>
            <w:noWrap/>
            <w:tcMar>
              <w:left w:w="40" w:type="dxa"/>
              <w:right w:w="40" w:type="dxa"/>
            </w:tcMar>
            <w:vAlign w:val="bottom"/>
          </w:tcPr>
          <w:p w14:paraId="71F3F844"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Amount</w:t>
            </w:r>
          </w:p>
        </w:tc>
      </w:tr>
      <w:tr w:rsidR="00510CAA" w14:paraId="71F3F84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single" w:sz="4" w:space="0" w:color="000000"/>
              <w:left w:val="nil"/>
              <w:bottom w:val="nil"/>
              <w:right w:val="nil"/>
              <w:tl2br w:val="nil"/>
              <w:tr2bl w:val="nil"/>
            </w:tcBorders>
            <w:noWrap/>
            <w:tcMar>
              <w:left w:w="40" w:type="dxa"/>
              <w:right w:w="40" w:type="dxa"/>
            </w:tcMar>
            <w:vAlign w:val="bottom"/>
          </w:tcPr>
          <w:p w14:paraId="71F3F846" w14:textId="77777777" w:rsidR="00510CAA" w:rsidRDefault="003A4815">
            <w:pPr>
              <w:keepNext/>
              <w:rPr>
                <w:rFonts w:ascii="Arial" w:eastAsia="Arial" w:hAnsi="Arial" w:cs="Arial"/>
                <w:color w:val="000000"/>
                <w:sz w:val="20"/>
              </w:rPr>
            </w:pPr>
            <w:r>
              <w:rPr>
                <w:rFonts w:ascii="Arial" w:eastAsia="Arial" w:hAnsi="Arial" w:cs="Arial"/>
                <w:color w:val="000000"/>
                <w:sz w:val="20"/>
              </w:rPr>
              <w:t>Year 1</w:t>
            </w:r>
          </w:p>
        </w:tc>
        <w:tc>
          <w:tcPr>
            <w:tcW w:w="450" w:type="dxa"/>
            <w:tcBorders>
              <w:top w:val="single" w:sz="4" w:space="0" w:color="000000"/>
              <w:left w:val="nil"/>
              <w:bottom w:val="nil"/>
              <w:right w:val="nil"/>
              <w:tl2br w:val="nil"/>
              <w:tr2bl w:val="nil"/>
            </w:tcBorders>
            <w:noWrap/>
            <w:tcMar>
              <w:left w:w="0" w:type="dxa"/>
              <w:right w:w="0" w:type="dxa"/>
            </w:tcMar>
            <w:vAlign w:val="bottom"/>
          </w:tcPr>
          <w:p w14:paraId="71F3F847" w14:textId="77777777" w:rsidR="00510CAA" w:rsidRDefault="00510CAA">
            <w:pPr>
              <w:keepNext/>
              <w:jc w:val="center"/>
              <w:rPr>
                <w:rFonts w:ascii="Arial" w:eastAsia="Arial" w:hAnsi="Arial" w:cs="Arial"/>
                <w:color w:val="000000"/>
                <w:sz w:val="20"/>
              </w:rPr>
            </w:pPr>
          </w:p>
        </w:tc>
        <w:tc>
          <w:tcPr>
            <w:tcW w:w="5685" w:type="dxa"/>
            <w:tcBorders>
              <w:top w:val="single" w:sz="4" w:space="0" w:color="000000"/>
              <w:left w:val="nil"/>
              <w:bottom w:val="nil"/>
              <w:right w:val="nil"/>
              <w:tl2br w:val="nil"/>
              <w:tr2bl w:val="nil"/>
            </w:tcBorders>
            <w:noWrap/>
            <w:tcMar>
              <w:left w:w="0" w:type="dxa"/>
              <w:right w:w="0" w:type="dxa"/>
            </w:tcMar>
            <w:vAlign w:val="bottom"/>
          </w:tcPr>
          <w:p w14:paraId="71F3F848"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40" w:type="dxa"/>
              <w:right w:w="40" w:type="dxa"/>
            </w:tcMar>
            <w:vAlign w:val="bottom"/>
          </w:tcPr>
          <w:p w14:paraId="71F3F849"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2325" w:type="dxa"/>
            <w:tcBorders>
              <w:top w:val="single" w:sz="4" w:space="0" w:color="000000"/>
              <w:left w:val="nil"/>
              <w:bottom w:val="nil"/>
              <w:right w:val="nil"/>
              <w:tl2br w:val="nil"/>
              <w:tr2bl w:val="nil"/>
            </w:tcBorders>
            <w:noWrap/>
            <w:tcMar>
              <w:left w:w="40" w:type="dxa"/>
              <w:right w:w="100" w:type="dxa"/>
            </w:tcMar>
            <w:vAlign w:val="bottom"/>
          </w:tcPr>
          <w:p w14:paraId="71F3F84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9,200</w:t>
            </w:r>
          </w:p>
        </w:tc>
      </w:tr>
      <w:tr w:rsidR="00510CAA" w14:paraId="71F3F85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4C" w14:textId="77777777" w:rsidR="00510CAA" w:rsidRDefault="003A4815">
            <w:pPr>
              <w:keepNext/>
              <w:rPr>
                <w:rFonts w:ascii="Arial" w:eastAsia="Arial" w:hAnsi="Arial" w:cs="Arial"/>
                <w:color w:val="000000"/>
                <w:sz w:val="20"/>
              </w:rPr>
            </w:pPr>
            <w:r>
              <w:rPr>
                <w:rFonts w:ascii="Arial" w:eastAsia="Arial" w:hAnsi="Arial" w:cs="Arial"/>
                <w:color w:val="000000"/>
                <w:sz w:val="20"/>
              </w:rPr>
              <w:t>Year 2</w:t>
            </w:r>
          </w:p>
        </w:tc>
        <w:tc>
          <w:tcPr>
            <w:tcW w:w="450" w:type="dxa"/>
            <w:tcBorders>
              <w:top w:val="nil"/>
              <w:left w:val="nil"/>
              <w:bottom w:val="nil"/>
              <w:right w:val="nil"/>
              <w:tl2br w:val="nil"/>
              <w:tr2bl w:val="nil"/>
            </w:tcBorders>
            <w:noWrap/>
            <w:tcMar>
              <w:left w:w="0" w:type="dxa"/>
              <w:right w:w="0" w:type="dxa"/>
            </w:tcMar>
            <w:vAlign w:val="bottom"/>
          </w:tcPr>
          <w:p w14:paraId="71F3F84D"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4E"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4F"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5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36,800</w:t>
            </w:r>
          </w:p>
        </w:tc>
      </w:tr>
      <w:tr w:rsidR="00510CAA" w14:paraId="71F3F85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6"/>
        </w:trPr>
        <w:tc>
          <w:tcPr>
            <w:tcW w:w="1635" w:type="dxa"/>
            <w:tcBorders>
              <w:top w:val="nil"/>
              <w:left w:val="nil"/>
              <w:bottom w:val="nil"/>
              <w:right w:val="nil"/>
              <w:tl2br w:val="nil"/>
              <w:tr2bl w:val="nil"/>
            </w:tcBorders>
            <w:noWrap/>
            <w:tcMar>
              <w:left w:w="40" w:type="dxa"/>
              <w:right w:w="40" w:type="dxa"/>
            </w:tcMar>
            <w:vAlign w:val="bottom"/>
          </w:tcPr>
          <w:p w14:paraId="71F3F852" w14:textId="77777777" w:rsidR="00510CAA" w:rsidRDefault="003A4815">
            <w:pPr>
              <w:keepNext/>
              <w:rPr>
                <w:rFonts w:ascii="Arial" w:eastAsia="Arial" w:hAnsi="Arial" w:cs="Arial"/>
                <w:color w:val="000000"/>
                <w:sz w:val="20"/>
              </w:rPr>
            </w:pPr>
            <w:r>
              <w:rPr>
                <w:rFonts w:ascii="Arial" w:eastAsia="Arial" w:hAnsi="Arial" w:cs="Arial"/>
                <w:color w:val="000000"/>
                <w:sz w:val="20"/>
              </w:rPr>
              <w:t>Year 3</w:t>
            </w:r>
          </w:p>
        </w:tc>
        <w:tc>
          <w:tcPr>
            <w:tcW w:w="450" w:type="dxa"/>
            <w:tcBorders>
              <w:top w:val="nil"/>
              <w:left w:val="nil"/>
              <w:bottom w:val="nil"/>
              <w:right w:val="nil"/>
              <w:tl2br w:val="nil"/>
              <w:tr2bl w:val="nil"/>
            </w:tcBorders>
            <w:noWrap/>
            <w:tcMar>
              <w:left w:w="0" w:type="dxa"/>
              <w:right w:w="0" w:type="dxa"/>
            </w:tcMar>
            <w:vAlign w:val="bottom"/>
          </w:tcPr>
          <w:p w14:paraId="71F3F853" w14:textId="77777777" w:rsidR="00510CAA" w:rsidRDefault="00510CAA">
            <w:pPr>
              <w:keepNext/>
              <w:jc w:val="center"/>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54"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55" w14:textId="77777777" w:rsidR="00510CAA" w:rsidRDefault="00510CAA">
            <w:pPr>
              <w:keepNext/>
              <w:rPr>
                <w:rFonts w:ascii="Arial" w:eastAsia="Arial" w:hAnsi="Arial" w:cs="Arial"/>
                <w:color w:val="000000"/>
                <w:sz w:val="20"/>
              </w:rPr>
            </w:pPr>
          </w:p>
        </w:tc>
        <w:tc>
          <w:tcPr>
            <w:tcW w:w="2325" w:type="dxa"/>
            <w:tcBorders>
              <w:top w:val="nil"/>
              <w:left w:val="nil"/>
              <w:bottom w:val="nil"/>
              <w:right w:val="nil"/>
              <w:tl2br w:val="nil"/>
              <w:tr2bl w:val="nil"/>
            </w:tcBorders>
            <w:noWrap/>
            <w:tcMar>
              <w:left w:w="40" w:type="dxa"/>
              <w:right w:w="100" w:type="dxa"/>
            </w:tcMar>
            <w:vAlign w:val="bottom"/>
          </w:tcPr>
          <w:p w14:paraId="71F3F85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27,600</w:t>
            </w:r>
          </w:p>
        </w:tc>
      </w:tr>
      <w:tr w:rsidR="00510CAA" w14:paraId="71F3F85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8"/>
        </w:trPr>
        <w:tc>
          <w:tcPr>
            <w:tcW w:w="1635" w:type="dxa"/>
            <w:tcBorders>
              <w:top w:val="nil"/>
              <w:left w:val="nil"/>
              <w:bottom w:val="nil"/>
              <w:right w:val="nil"/>
              <w:tl2br w:val="nil"/>
              <w:tr2bl w:val="nil"/>
            </w:tcBorders>
            <w:noWrap/>
            <w:tcMar>
              <w:left w:w="40" w:type="dxa"/>
              <w:right w:w="40" w:type="dxa"/>
            </w:tcMar>
            <w:vAlign w:val="bottom"/>
          </w:tcPr>
          <w:p w14:paraId="71F3F858" w14:textId="77777777" w:rsidR="00510CAA" w:rsidRDefault="003A4815">
            <w:pPr>
              <w:keepNext/>
              <w:rPr>
                <w:rFonts w:ascii="Arial" w:eastAsia="Arial" w:hAnsi="Arial" w:cs="Arial"/>
                <w:b/>
                <w:color w:val="000000"/>
                <w:sz w:val="20"/>
              </w:rPr>
            </w:pPr>
            <w:r>
              <w:rPr>
                <w:rFonts w:ascii="Arial" w:eastAsia="Arial" w:hAnsi="Arial" w:cs="Arial"/>
                <w:b/>
                <w:color w:val="000000"/>
                <w:sz w:val="20"/>
              </w:rPr>
              <w:t>Total</w:t>
            </w:r>
          </w:p>
        </w:tc>
        <w:tc>
          <w:tcPr>
            <w:tcW w:w="450" w:type="dxa"/>
            <w:tcBorders>
              <w:top w:val="nil"/>
              <w:left w:val="nil"/>
              <w:bottom w:val="nil"/>
              <w:right w:val="nil"/>
              <w:tl2br w:val="nil"/>
              <w:tr2bl w:val="nil"/>
            </w:tcBorders>
            <w:noWrap/>
            <w:tcMar>
              <w:left w:w="0" w:type="dxa"/>
              <w:right w:w="0" w:type="dxa"/>
            </w:tcMar>
            <w:vAlign w:val="bottom"/>
          </w:tcPr>
          <w:p w14:paraId="71F3F859" w14:textId="77777777" w:rsidR="00510CAA" w:rsidRDefault="00510CAA">
            <w:pPr>
              <w:keepNext/>
              <w:rPr>
                <w:rFonts w:ascii="Arial" w:eastAsia="Arial" w:hAnsi="Arial" w:cs="Arial"/>
                <w:color w:val="000000"/>
                <w:sz w:val="20"/>
              </w:rPr>
            </w:pPr>
          </w:p>
        </w:tc>
        <w:tc>
          <w:tcPr>
            <w:tcW w:w="5685" w:type="dxa"/>
            <w:tcBorders>
              <w:top w:val="nil"/>
              <w:left w:val="nil"/>
              <w:bottom w:val="nil"/>
              <w:right w:val="nil"/>
              <w:tl2br w:val="nil"/>
              <w:tr2bl w:val="nil"/>
            </w:tcBorders>
            <w:noWrap/>
            <w:tcMar>
              <w:left w:w="0" w:type="dxa"/>
              <w:right w:w="0" w:type="dxa"/>
            </w:tcMar>
            <w:vAlign w:val="bottom"/>
          </w:tcPr>
          <w:p w14:paraId="71F3F85A"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40" w:type="dxa"/>
              <w:right w:w="40" w:type="dxa"/>
            </w:tcMar>
            <w:vAlign w:val="bottom"/>
          </w:tcPr>
          <w:p w14:paraId="71F3F85B" w14:textId="77777777" w:rsidR="00510CAA" w:rsidRDefault="003A4815">
            <w:pPr>
              <w:keepNext/>
              <w:rPr>
                <w:rFonts w:ascii="Arial" w:eastAsia="Arial" w:hAnsi="Arial" w:cs="Arial"/>
                <w:b/>
                <w:color w:val="000000"/>
                <w:sz w:val="20"/>
              </w:rPr>
            </w:pPr>
            <w:r>
              <w:rPr>
                <w:rFonts w:ascii="Arial" w:eastAsia="Arial" w:hAnsi="Arial" w:cs="Arial"/>
                <w:b/>
                <w:color w:val="000000"/>
                <w:sz w:val="20"/>
              </w:rPr>
              <w:t>$</w:t>
            </w:r>
          </w:p>
        </w:tc>
        <w:tc>
          <w:tcPr>
            <w:tcW w:w="2325" w:type="dxa"/>
            <w:tcBorders>
              <w:top w:val="single" w:sz="4" w:space="0" w:color="000000"/>
              <w:left w:val="nil"/>
              <w:bottom w:val="single" w:sz="12" w:space="0" w:color="000000"/>
              <w:right w:val="nil"/>
              <w:tl2br w:val="nil"/>
              <w:tr2bl w:val="nil"/>
            </w:tcBorders>
            <w:noWrap/>
            <w:tcMar>
              <w:left w:w="40" w:type="dxa"/>
              <w:right w:w="100" w:type="dxa"/>
            </w:tcMar>
            <w:vAlign w:val="bottom"/>
          </w:tcPr>
          <w:p w14:paraId="71F3F85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73,600</w:t>
            </w:r>
          </w:p>
        </w:tc>
      </w:tr>
    </w:tbl>
    <w:p w14:paraId="71F3F85E"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85F" w14:textId="77777777" w:rsidR="00032F1B" w:rsidRPr="00870AAA" w:rsidRDefault="00032F1B" w:rsidP="00870AAA">
      <w:pPr>
        <w:pStyle w:val="ListParagraph"/>
        <w:pBdr>
          <w:top w:val="nil"/>
          <w:left w:val="nil"/>
          <w:bottom w:val="nil"/>
          <w:right w:val="nil"/>
          <w:between w:val="nil"/>
          <w:bar w:val="nil"/>
        </w:pBdr>
        <w:ind w:left="360"/>
        <w:jc w:val="both"/>
        <w:rPr>
          <w:rFonts w:ascii="Arial" w:eastAsia="Arial" w:hAnsi="Arial" w:cs="Arial"/>
          <w:bdr w:val="nil"/>
          <w:lang w:val="en-US" w:bidi="en-US"/>
        </w:rPr>
      </w:pPr>
      <w:bookmarkStart w:id="726" w:name="RG_MARKER_23204"/>
      <w:bookmarkStart w:id="727" w:name="XBRL_TS_45463403b5d9454daa39ae01a92277f4"/>
      <w:bookmarkEnd w:id="726"/>
    </w:p>
    <w:p w14:paraId="71F3F860" w14:textId="77777777" w:rsidR="00FD6D48" w:rsidRPr="00A26B44" w:rsidRDefault="003A4815" w:rsidP="00A26B44">
      <w:pPr>
        <w:pStyle w:val="ListParagraph"/>
        <w:numPr>
          <w:ilvl w:val="0"/>
          <w:numId w:val="26"/>
        </w:numPr>
        <w:pBdr>
          <w:top w:val="nil"/>
          <w:left w:val="nil"/>
          <w:bottom w:val="nil"/>
          <w:right w:val="nil"/>
          <w:between w:val="nil"/>
          <w:bar w:val="nil"/>
        </w:pBdr>
        <w:ind w:left="357" w:hanging="357"/>
        <w:jc w:val="both"/>
        <w:rPr>
          <w:rFonts w:ascii="Arial" w:eastAsia="Arial" w:hAnsi="Arial" w:cs="Arial"/>
          <w:bdr w:val="nil"/>
          <w:lang w:val="en-US" w:bidi="en-US"/>
        </w:rPr>
      </w:pPr>
      <w:r w:rsidRPr="00A26B44">
        <w:rPr>
          <w:rFonts w:ascii="Arial" w:eastAsia="Arial" w:hAnsi="Arial" w:cs="Arial"/>
          <w:lang w:val="en-US" w:bidi="en-US"/>
        </w:rPr>
        <w:t>As of December 31, 2025</w:t>
      </w:r>
      <w:r w:rsidR="00F051C6" w:rsidRPr="00A26B44">
        <w:rPr>
          <w:rFonts w:ascii="Arial" w:eastAsia="Arial" w:hAnsi="Arial" w:cs="Arial"/>
          <w:lang w:val="en-US" w:bidi="en-US"/>
        </w:rPr>
        <w:t>, the Company’s vessels</w:t>
      </w:r>
      <w:r w:rsidRPr="00A26B44">
        <w:rPr>
          <w:rFonts w:ascii="Arial" w:eastAsia="Arial" w:hAnsi="Arial" w:cs="Arial"/>
          <w:lang w:val="en-US" w:bidi="en-US"/>
        </w:rPr>
        <w:t>, owned and chartered-in,</w:t>
      </w:r>
      <w:r w:rsidR="00F051C6" w:rsidRPr="00A26B44">
        <w:rPr>
          <w:rFonts w:ascii="Arial" w:eastAsia="Arial" w:hAnsi="Arial" w:cs="Arial"/>
          <w:lang w:val="en-US" w:bidi="en-US"/>
        </w:rPr>
        <w:t xml:space="preserve"> </w:t>
      </w:r>
      <w:r w:rsidRPr="00A26B44">
        <w:rPr>
          <w:rFonts w:ascii="Arial" w:eastAsia="Arial" w:hAnsi="Arial" w:cs="Arial"/>
          <w:lang w:val="en-US" w:bidi="en-US"/>
        </w:rPr>
        <w:t>were fixed under time charter agreemen</w:t>
      </w:r>
      <w:r w:rsidR="00567B0C" w:rsidRPr="00A26B44">
        <w:rPr>
          <w:rFonts w:ascii="Arial" w:eastAsia="Arial" w:hAnsi="Arial" w:cs="Arial"/>
          <w:lang w:val="en-US" w:bidi="en-US"/>
        </w:rPr>
        <w:t>ts, considered operating leases</w:t>
      </w:r>
      <w:r w:rsidRPr="00A26B44">
        <w:rPr>
          <w:rFonts w:ascii="Arial" w:eastAsia="Arial" w:hAnsi="Arial" w:cs="Arial"/>
          <w:lang w:val="en-US" w:bidi="en-US"/>
        </w:rPr>
        <w:t>. The minimum contractual gross charter revenue expected to be generated from fixed and non-cancelable time charter contracts existing as of December 31, 2025 and until their expiration was as follows:</w:t>
      </w:r>
      <w:bookmarkEnd w:id="727"/>
    </w:p>
    <w:p w14:paraId="71F3F861" w14:textId="77777777" w:rsidR="00510CAA" w:rsidRDefault="00510CAA">
      <w:pPr>
        <w:rPr>
          <w:rFonts w:ascii="Arial" w:eastAsia="Arial" w:hAnsi="Arial" w:cs="Arial"/>
        </w:rPr>
      </w:pPr>
    </w:p>
    <w:tbl>
      <w:tblPr>
        <w:tblStyle w:val="CDMRange2"/>
        <w:tblW w:w="10260" w:type="dxa"/>
        <w:tblLayout w:type="fixed"/>
        <w:tblLook w:val="0600" w:firstRow="0" w:lastRow="0" w:firstColumn="0" w:lastColumn="0" w:noHBand="1" w:noVBand="1"/>
      </w:tblPr>
      <w:tblGrid>
        <w:gridCol w:w="7020"/>
        <w:gridCol w:w="180"/>
        <w:gridCol w:w="1440"/>
        <w:gridCol w:w="180"/>
        <w:gridCol w:w="1440"/>
      </w:tblGrid>
      <w:tr w:rsidR="00510CAA" w14:paraId="71F3F867" w14:textId="77777777">
        <w:trPr>
          <w:cantSplit/>
          <w:trHeight w:hRule="exact" w:val="255"/>
        </w:trPr>
        <w:tc>
          <w:tcPr>
            <w:tcW w:w="7020" w:type="dxa"/>
            <w:tcBorders>
              <w:top w:val="nil"/>
              <w:left w:val="nil"/>
              <w:bottom w:val="single" w:sz="4" w:space="0" w:color="000000"/>
              <w:right w:val="nil"/>
              <w:tl2br w:val="nil"/>
              <w:tr2bl w:val="nil"/>
            </w:tcBorders>
            <w:noWrap/>
            <w:tcMar>
              <w:left w:w="0" w:type="dxa"/>
              <w:right w:w="0" w:type="dxa"/>
            </w:tcMar>
            <w:vAlign w:val="bottom"/>
          </w:tcPr>
          <w:p w14:paraId="71F3F862" w14:textId="77777777" w:rsidR="00510CAA" w:rsidRDefault="003A4815">
            <w:pPr>
              <w:keepNext/>
              <w:rPr>
                <w:rFonts w:ascii="Arial" w:eastAsia="Arial" w:hAnsi="Arial" w:cs="Arial"/>
                <w:b/>
                <w:color w:val="000000"/>
                <w:sz w:val="20"/>
              </w:rPr>
            </w:pPr>
            <w:bookmarkStart w:id="728" w:name="RG_MARKER_23089"/>
            <w:r>
              <w:rPr>
                <w:rFonts w:ascii="Arial" w:eastAsia="Arial" w:hAnsi="Arial" w:cs="Arial"/>
                <w:b/>
                <w:color w:val="000000"/>
                <w:sz w:val="20"/>
              </w:rPr>
              <w:t>Period</w:t>
            </w:r>
            <w:bookmarkEnd w:id="728"/>
          </w:p>
        </w:tc>
        <w:tc>
          <w:tcPr>
            <w:tcW w:w="180" w:type="dxa"/>
            <w:tcBorders>
              <w:top w:val="nil"/>
              <w:left w:val="nil"/>
              <w:bottom w:val="single" w:sz="4" w:space="0" w:color="000000"/>
              <w:right w:val="nil"/>
              <w:tl2br w:val="nil"/>
              <w:tr2bl w:val="nil"/>
            </w:tcBorders>
            <w:noWrap/>
            <w:tcMar>
              <w:left w:w="0" w:type="dxa"/>
              <w:right w:w="0" w:type="dxa"/>
            </w:tcMar>
            <w:vAlign w:val="bottom"/>
          </w:tcPr>
          <w:p w14:paraId="71F3F863"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864"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65"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866"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Amount</w:t>
            </w:r>
          </w:p>
        </w:tc>
      </w:tr>
      <w:tr w:rsidR="00510CAA" w14:paraId="71F3F86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7020" w:type="dxa"/>
            <w:tcBorders>
              <w:top w:val="single" w:sz="4" w:space="0" w:color="000000"/>
              <w:left w:val="nil"/>
              <w:bottom w:val="nil"/>
              <w:right w:val="nil"/>
              <w:tl2br w:val="nil"/>
              <w:tr2bl w:val="nil"/>
            </w:tcBorders>
            <w:noWrap/>
            <w:tcMar>
              <w:left w:w="0" w:type="dxa"/>
              <w:right w:w="0" w:type="dxa"/>
            </w:tcMar>
            <w:vAlign w:val="bottom"/>
          </w:tcPr>
          <w:p w14:paraId="71F3F868" w14:textId="77777777" w:rsidR="00510CAA" w:rsidRDefault="003A4815">
            <w:pPr>
              <w:keepNext/>
              <w:rPr>
                <w:rFonts w:ascii="Arial" w:eastAsia="Arial" w:hAnsi="Arial" w:cs="Arial"/>
                <w:color w:val="000000"/>
                <w:sz w:val="20"/>
              </w:rPr>
            </w:pPr>
            <w:r>
              <w:rPr>
                <w:rFonts w:ascii="Arial" w:eastAsia="Arial" w:hAnsi="Arial" w:cs="Arial"/>
                <w:color w:val="000000"/>
                <w:sz w:val="20"/>
              </w:rPr>
              <w:t>Year 1</w:t>
            </w:r>
          </w:p>
        </w:tc>
        <w:tc>
          <w:tcPr>
            <w:tcW w:w="180" w:type="dxa"/>
            <w:tcBorders>
              <w:top w:val="single" w:sz="4" w:space="0" w:color="000000"/>
              <w:left w:val="nil"/>
              <w:bottom w:val="nil"/>
              <w:right w:val="nil"/>
              <w:tl2br w:val="nil"/>
              <w:tr2bl w:val="nil"/>
            </w:tcBorders>
            <w:noWrap/>
            <w:tcMar>
              <w:left w:w="0" w:type="dxa"/>
              <w:right w:w="0" w:type="dxa"/>
            </w:tcMar>
            <w:vAlign w:val="bottom"/>
          </w:tcPr>
          <w:p w14:paraId="71F3F869" w14:textId="77777777" w:rsidR="00510CAA" w:rsidRDefault="00510CAA">
            <w:pPr>
              <w:keepNex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86A"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6B"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noWrap/>
            <w:tcMar>
              <w:left w:w="0" w:type="dxa"/>
              <w:right w:w="60" w:type="dxa"/>
            </w:tcMar>
            <w:vAlign w:val="bottom"/>
          </w:tcPr>
          <w:p w14:paraId="71F3F86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142,842</w:t>
            </w:r>
          </w:p>
        </w:tc>
      </w:tr>
      <w:tr w:rsidR="00510CAA" w14:paraId="71F3F87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7020" w:type="dxa"/>
            <w:tcBorders>
              <w:top w:val="nil"/>
              <w:left w:val="nil"/>
              <w:bottom w:val="nil"/>
              <w:right w:val="nil"/>
              <w:tl2br w:val="nil"/>
              <w:tr2bl w:val="nil"/>
            </w:tcBorders>
            <w:noWrap/>
            <w:tcMar>
              <w:left w:w="0" w:type="dxa"/>
              <w:right w:w="0" w:type="dxa"/>
            </w:tcMar>
            <w:vAlign w:val="bottom"/>
          </w:tcPr>
          <w:p w14:paraId="71F3F86E" w14:textId="77777777" w:rsidR="00510CAA" w:rsidRDefault="003A4815">
            <w:pPr>
              <w:keepNext/>
              <w:rPr>
                <w:rFonts w:ascii="Arial" w:eastAsia="Arial" w:hAnsi="Arial" w:cs="Arial"/>
                <w:color w:val="000000"/>
                <w:sz w:val="20"/>
              </w:rPr>
            </w:pPr>
            <w:r>
              <w:rPr>
                <w:rFonts w:ascii="Arial" w:eastAsia="Arial" w:hAnsi="Arial" w:cs="Arial"/>
                <w:color w:val="000000"/>
                <w:sz w:val="20"/>
              </w:rPr>
              <w:t>Year 2</w:t>
            </w:r>
          </w:p>
        </w:tc>
        <w:tc>
          <w:tcPr>
            <w:tcW w:w="180" w:type="dxa"/>
            <w:tcBorders>
              <w:top w:val="nil"/>
              <w:left w:val="nil"/>
              <w:bottom w:val="nil"/>
              <w:right w:val="nil"/>
              <w:tl2br w:val="nil"/>
              <w:tr2bl w:val="nil"/>
            </w:tcBorders>
            <w:noWrap/>
            <w:tcMar>
              <w:left w:w="0" w:type="dxa"/>
              <w:right w:w="0" w:type="dxa"/>
            </w:tcMar>
            <w:vAlign w:val="bottom"/>
          </w:tcPr>
          <w:p w14:paraId="71F3F86F"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870"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71"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F87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7,931</w:t>
            </w:r>
          </w:p>
        </w:tc>
      </w:tr>
      <w:tr w:rsidR="00510CAA" w14:paraId="71F3F87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7020" w:type="dxa"/>
            <w:tcBorders>
              <w:top w:val="nil"/>
              <w:left w:val="nil"/>
              <w:bottom w:val="nil"/>
              <w:right w:val="nil"/>
              <w:tl2br w:val="nil"/>
              <w:tr2bl w:val="nil"/>
            </w:tcBorders>
            <w:noWrap/>
            <w:tcMar>
              <w:left w:w="0" w:type="dxa"/>
              <w:right w:w="0" w:type="dxa"/>
            </w:tcMar>
            <w:vAlign w:val="bottom"/>
          </w:tcPr>
          <w:p w14:paraId="71F3F874" w14:textId="77777777" w:rsidR="00510CAA" w:rsidRDefault="003A4815">
            <w:pPr>
              <w:keepNext/>
              <w:rPr>
                <w:rFonts w:ascii="Arial" w:eastAsia="Arial" w:hAnsi="Arial" w:cs="Arial"/>
                <w:b/>
                <w:color w:val="000000"/>
                <w:sz w:val="20"/>
              </w:rPr>
            </w:pPr>
            <w:r>
              <w:rPr>
                <w:rFonts w:ascii="Arial" w:eastAsia="Arial" w:hAnsi="Arial" w:cs="Arial"/>
                <w:b/>
                <w:color w:val="000000"/>
                <w:sz w:val="20"/>
              </w:rPr>
              <w:t xml:space="preserve">   Total</w:t>
            </w:r>
          </w:p>
        </w:tc>
        <w:tc>
          <w:tcPr>
            <w:tcW w:w="180" w:type="dxa"/>
            <w:tcBorders>
              <w:top w:val="nil"/>
              <w:left w:val="nil"/>
              <w:bottom w:val="nil"/>
              <w:right w:val="nil"/>
              <w:tl2br w:val="nil"/>
              <w:tr2bl w:val="nil"/>
            </w:tcBorders>
            <w:noWrap/>
            <w:tcMar>
              <w:left w:w="0" w:type="dxa"/>
              <w:right w:w="0" w:type="dxa"/>
            </w:tcMar>
            <w:vAlign w:val="bottom"/>
          </w:tcPr>
          <w:p w14:paraId="71F3F87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876"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877"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878"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150,773</w:t>
            </w:r>
          </w:p>
        </w:tc>
      </w:tr>
    </w:tbl>
    <w:p w14:paraId="71F3F87A"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87B" w14:textId="77777777" w:rsidR="000A3E2B" w:rsidRPr="00346838" w:rsidRDefault="003A4815" w:rsidP="00346838">
      <w:pPr>
        <w:pStyle w:val="Header1notes"/>
        <w:keepLines/>
        <w:pBdr>
          <w:top w:val="nil"/>
          <w:left w:val="nil"/>
          <w:bottom w:val="nil"/>
          <w:right w:val="nil"/>
          <w:between w:val="nil"/>
          <w:bar w:val="nil"/>
        </w:pBdr>
        <w:spacing w:before="0" w:after="0"/>
        <w:rPr>
          <w:rFonts w:ascii="Arial" w:eastAsia="Arial" w:hAnsi="Arial" w:cs="Arial"/>
          <w:sz w:val="24"/>
          <w:bdr w:val="nil"/>
        </w:rPr>
      </w:pPr>
      <w:bookmarkStart w:id="729" w:name="RG_MARKER_23092"/>
      <w:bookmarkStart w:id="730" w:name="RG_MARKER_23091"/>
      <w:bookmarkStart w:id="731" w:name="_Ref173318712"/>
      <w:bookmarkStart w:id="732" w:name="XBRL_TS_1b6be316405e40f999acb6fd3796addf"/>
      <w:r w:rsidRPr="00346838">
        <w:rPr>
          <w:rFonts w:ascii="Arial" w:eastAsia="Arial" w:hAnsi="Arial" w:cs="Arial"/>
          <w:sz w:val="24"/>
        </w:rPr>
        <w:t>11.</w:t>
      </w:r>
      <w:bookmarkEnd w:id="729"/>
      <w:bookmarkEnd w:id="730"/>
      <w:r w:rsidRPr="00346838">
        <w:rPr>
          <w:rFonts w:ascii="Arial" w:eastAsia="Arial" w:hAnsi="Arial" w:cs="Arial"/>
          <w:sz w:val="24"/>
        </w:rPr>
        <w:tab/>
      </w:r>
      <w:bookmarkEnd w:id="731"/>
      <w:r w:rsidRPr="00346838">
        <w:rPr>
          <w:rFonts w:ascii="Arial" w:eastAsia="Arial" w:hAnsi="Arial" w:cs="Arial"/>
          <w:sz w:val="24"/>
        </w:rPr>
        <w:t>Capital Stock and Changes in Capital Accounts</w:t>
      </w:r>
    </w:p>
    <w:p w14:paraId="71F3F87C" w14:textId="77777777" w:rsidR="002A1C7E" w:rsidRPr="00346838" w:rsidRDefault="002A1C7E" w:rsidP="00346838">
      <w:pPr>
        <w:keepNext/>
        <w:keepLines/>
        <w:pBdr>
          <w:top w:val="nil"/>
          <w:left w:val="nil"/>
          <w:bottom w:val="nil"/>
          <w:right w:val="nil"/>
          <w:between w:val="nil"/>
          <w:bar w:val="nil"/>
        </w:pBdr>
        <w:jc w:val="both"/>
        <w:rPr>
          <w:rFonts w:ascii="Arial" w:eastAsia="Arial" w:hAnsi="Arial" w:cs="Arial"/>
          <w:b/>
          <w:i/>
          <w:bdr w:val="nil"/>
          <w:lang w:val="en-US"/>
        </w:rPr>
      </w:pPr>
    </w:p>
    <w:p w14:paraId="71F3F87D" w14:textId="77777777" w:rsidR="005F6A71" w:rsidRPr="00346838" w:rsidRDefault="003A4815" w:rsidP="00346838">
      <w:pPr>
        <w:pBdr>
          <w:top w:val="nil"/>
          <w:left w:val="nil"/>
          <w:bottom w:val="nil"/>
          <w:right w:val="nil"/>
          <w:between w:val="nil"/>
          <w:bar w:val="nil"/>
        </w:pBdr>
        <w:jc w:val="both"/>
        <w:rPr>
          <w:rFonts w:ascii="Arial" w:eastAsia="Arial" w:hAnsi="Arial" w:cs="Arial"/>
          <w:bdr w:val="nil"/>
          <w:lang w:val="en-US"/>
        </w:rPr>
      </w:pPr>
      <w:r w:rsidRPr="00346838">
        <w:rPr>
          <w:rFonts w:ascii="Arial" w:eastAsia="Arial" w:hAnsi="Arial" w:cs="Arial"/>
          <w:b/>
          <w:i/>
          <w:lang w:val="en-US" w:bidi="en-US"/>
        </w:rPr>
        <w:t>a)</w:t>
      </w:r>
      <w:r w:rsidRPr="00346838">
        <w:rPr>
          <w:rFonts w:ascii="Arial" w:eastAsia="Arial" w:hAnsi="Arial" w:cs="Arial"/>
          <w:b/>
          <w:i/>
          <w:lang w:val="en-US" w:bidi="en-US"/>
        </w:rPr>
        <w:tab/>
        <w:t xml:space="preserve">Preferred </w:t>
      </w:r>
      <w:r w:rsidR="00172DD7" w:rsidRPr="00346838">
        <w:rPr>
          <w:rFonts w:ascii="Arial" w:eastAsia="Arial" w:hAnsi="Arial" w:cs="Arial"/>
          <w:b/>
          <w:i/>
          <w:lang w:val="en-US" w:bidi="en-US"/>
        </w:rPr>
        <w:t>stock</w:t>
      </w:r>
      <w:r w:rsidRPr="00346838">
        <w:rPr>
          <w:rFonts w:ascii="Arial" w:eastAsia="Arial" w:hAnsi="Arial" w:cs="Arial"/>
          <w:i/>
          <w:lang w:val="en-US" w:bidi="en-US"/>
        </w:rPr>
        <w:t>:</w:t>
      </w:r>
      <w:r w:rsidRPr="00346838">
        <w:rPr>
          <w:rFonts w:ascii="Arial" w:eastAsia="Arial" w:hAnsi="Arial" w:cs="Arial"/>
          <w:lang w:val="en-US" w:bidi="en-US"/>
        </w:rPr>
        <w:t xml:space="preserve"> As of December 31, 2025, and</w:t>
      </w:r>
      <w:r w:rsidR="008058CD">
        <w:rPr>
          <w:rFonts w:ascii="Arial" w:eastAsia="Arial" w:hAnsi="Arial" w:cs="Arial"/>
          <w:lang w:val="en-US" w:bidi="en-US"/>
        </w:rPr>
        <w:t xml:space="preserve"> </w:t>
      </w:r>
      <w:r w:rsidRPr="00346838">
        <w:rPr>
          <w:rFonts w:ascii="Arial" w:eastAsia="Arial" w:hAnsi="Arial" w:cs="Arial"/>
          <w:lang w:val="en-US" w:bidi="en-US"/>
        </w:rPr>
        <w:t xml:space="preserve">2024, the Company’s authorized preferred stock consists of </w:t>
      </w:r>
      <w:bookmarkStart w:id="733" w:name="XBRL_CS_8d6b8d9b41d54ab28ba25a8c80be3e82"/>
      <w:bookmarkStart w:id="734" w:name="XBRL_CS_240519fc3a2d423f9af56cc17ee9c5bd"/>
      <w:r>
        <w:rPr>
          <w:rFonts w:ascii="Arial" w:eastAsia="Arial" w:hAnsi="Arial" w:cs="Arial"/>
          <w:lang w:val="en-US" w:bidi="en-US"/>
        </w:rPr>
        <w:t>50</w:t>
      </w:r>
      <w:r w:rsidRPr="00346838">
        <w:rPr>
          <w:rFonts w:ascii="Arial" w:eastAsia="Arial" w:hAnsi="Arial" w:cs="Arial"/>
          <w:lang w:val="en-US" w:bidi="en-US"/>
        </w:rPr>
        <w:t>,000,000</w:t>
      </w:r>
      <w:bookmarkEnd w:id="733"/>
      <w:bookmarkEnd w:id="734"/>
      <w:r w:rsidRPr="00346838">
        <w:rPr>
          <w:rFonts w:ascii="Arial" w:eastAsia="Arial" w:hAnsi="Arial" w:cs="Arial"/>
          <w:lang w:val="en-US" w:bidi="en-US"/>
        </w:rPr>
        <w:t xml:space="preserve"> shares</w:t>
      </w:r>
      <w:r>
        <w:rPr>
          <w:rFonts w:ascii="Arial" w:eastAsia="Arial" w:hAnsi="Arial" w:cs="Arial"/>
          <w:lang w:val="en-US" w:bidi="en-US"/>
        </w:rPr>
        <w:t xml:space="preserve"> </w:t>
      </w:r>
      <w:r w:rsidRPr="00346838">
        <w:rPr>
          <w:rFonts w:ascii="Arial" w:eastAsia="Arial" w:hAnsi="Arial" w:cs="Arial"/>
          <w:lang w:val="en-US" w:bidi="en-US"/>
        </w:rPr>
        <w:t>(all in registered form), par value $</w:t>
      </w:r>
      <w:bookmarkStart w:id="735" w:name="XBRL_CS_a4dacceccb9148d492bfaaef328138ea"/>
      <w:bookmarkStart w:id="736" w:name="XBRL_CS_dc0429bc18a94ecba8488e981239ff57"/>
      <w:r w:rsidRPr="00346838">
        <w:rPr>
          <w:rFonts w:ascii="Arial" w:eastAsia="Arial" w:hAnsi="Arial" w:cs="Arial"/>
          <w:lang w:val="en-US" w:bidi="en-US"/>
        </w:rPr>
        <w:t>0.01</w:t>
      </w:r>
      <w:bookmarkEnd w:id="735"/>
      <w:bookmarkEnd w:id="736"/>
      <w:r w:rsidRPr="00346838">
        <w:rPr>
          <w:rFonts w:ascii="Arial" w:eastAsia="Arial" w:hAnsi="Arial" w:cs="Arial"/>
          <w:lang w:val="en-US" w:bidi="en-US"/>
        </w:rPr>
        <w:t xml:space="preserve"> per share, of which </w:t>
      </w:r>
      <w:bookmarkStart w:id="737" w:name="XBRL_CS_1c75ef56f75347218a04e37a977c65f6"/>
      <w:bookmarkStart w:id="738" w:name="XBRL_CS_c7dd3f364a774b4f98e4533396c95f8d"/>
      <w:r w:rsidRPr="00346838">
        <w:rPr>
          <w:rFonts w:ascii="Arial" w:eastAsia="Arial" w:hAnsi="Arial" w:cs="Arial"/>
          <w:lang w:val="en-US" w:bidi="en-US"/>
        </w:rPr>
        <w:t>1,000,000</w:t>
      </w:r>
      <w:bookmarkEnd w:id="737"/>
      <w:bookmarkEnd w:id="738"/>
      <w:r w:rsidRPr="00346838">
        <w:rPr>
          <w:rFonts w:ascii="Arial" w:eastAsia="Arial" w:hAnsi="Arial" w:cs="Arial"/>
          <w:lang w:val="en-US" w:bidi="en-US"/>
        </w:rPr>
        <w:t xml:space="preserve"> shares are designated as Series A Participating Preferred Shares, </w:t>
      </w:r>
      <w:bookmarkStart w:id="739" w:name="XBRL_CS_d0cf08f81809493da11350779fd38d91"/>
      <w:bookmarkStart w:id="740" w:name="XBRL_CS_7657ed2c63b141dbbb6107392927e3ff"/>
      <w:r w:rsidRPr="00346838">
        <w:rPr>
          <w:rFonts w:ascii="Arial" w:eastAsia="Arial" w:hAnsi="Arial" w:cs="Arial"/>
          <w:lang w:val="en-US" w:bidi="en-US"/>
        </w:rPr>
        <w:t>5,000,000</w:t>
      </w:r>
      <w:bookmarkEnd w:id="739"/>
      <w:bookmarkEnd w:id="740"/>
      <w:r w:rsidRPr="00346838">
        <w:rPr>
          <w:rFonts w:ascii="Arial" w:eastAsia="Arial" w:hAnsi="Arial" w:cs="Arial"/>
          <w:lang w:val="en-US" w:bidi="en-US"/>
        </w:rPr>
        <w:t xml:space="preserve"> shares are designated as Series B Preferred Shares, </w:t>
      </w:r>
      <w:bookmarkStart w:id="741" w:name="XBRL_CS_0ce23d9cb2c44815bcd31621aebedfb0"/>
      <w:bookmarkStart w:id="742" w:name="XBRL_CS_bda9a7e03a13471a8cf5029966281e02"/>
      <w:r w:rsidRPr="00346838">
        <w:rPr>
          <w:rFonts w:ascii="Arial" w:eastAsia="Arial" w:hAnsi="Arial" w:cs="Arial"/>
          <w:lang w:val="en-US" w:bidi="en-US"/>
        </w:rPr>
        <w:t>10,675</w:t>
      </w:r>
      <w:bookmarkEnd w:id="741"/>
      <w:bookmarkEnd w:id="742"/>
      <w:r w:rsidRPr="00346838">
        <w:rPr>
          <w:rFonts w:ascii="Arial" w:eastAsia="Arial" w:hAnsi="Arial" w:cs="Arial"/>
          <w:lang w:val="en-US" w:bidi="en-US"/>
        </w:rPr>
        <w:t xml:space="preserve"> shares are designated as Series C Preferred Shares and </w:t>
      </w:r>
      <w:bookmarkStart w:id="743" w:name="XBRL_CS_2455d6bba5a04ed69bfeb9d902901b98"/>
      <w:bookmarkStart w:id="744" w:name="XBRL_CS_0fd64f61b0504dfa8f87998b997d6544"/>
      <w:r w:rsidRPr="00346838">
        <w:rPr>
          <w:rFonts w:ascii="Arial" w:eastAsia="Arial" w:hAnsi="Arial" w:cs="Arial"/>
          <w:lang w:val="en-US" w:bidi="en-US"/>
        </w:rPr>
        <w:t>400</w:t>
      </w:r>
      <w:bookmarkEnd w:id="743"/>
      <w:bookmarkEnd w:id="744"/>
      <w:r w:rsidR="007874AE">
        <w:rPr>
          <w:rFonts w:ascii="Arial" w:eastAsia="Arial" w:hAnsi="Arial" w:cs="Arial"/>
          <w:lang w:val="en-US" w:bidi="en-US"/>
        </w:rPr>
        <w:t xml:space="preserve"> shares</w:t>
      </w:r>
      <w:r w:rsidRPr="00346838">
        <w:rPr>
          <w:rFonts w:ascii="Arial" w:eastAsia="Arial" w:hAnsi="Arial" w:cs="Arial"/>
          <w:lang w:val="en-US" w:bidi="en-US"/>
        </w:rPr>
        <w:t xml:space="preserve"> are designated as Series D Preferred Shares. As of December 31, 2025 and</w:t>
      </w:r>
      <w:r>
        <w:rPr>
          <w:rFonts w:ascii="Arial" w:eastAsia="Arial" w:hAnsi="Arial" w:cs="Arial"/>
          <w:lang w:val="en-US" w:bidi="en-US"/>
        </w:rPr>
        <w:t xml:space="preserve"> </w:t>
      </w:r>
      <w:r w:rsidRPr="00346838">
        <w:rPr>
          <w:rFonts w:ascii="Arial" w:eastAsia="Arial" w:hAnsi="Arial" w:cs="Arial"/>
          <w:lang w:val="en-US" w:bidi="en-US"/>
        </w:rPr>
        <w:t xml:space="preserve">2024, the Company had </w:t>
      </w:r>
      <w:bookmarkStart w:id="745" w:name="XBRL_CS_4534a44a62054b6c9b289832eb825093"/>
      <w:bookmarkStart w:id="746" w:name="XBRL_CS_7d91bbd33f1e412ebda45c06349cbdc0"/>
      <w:bookmarkStart w:id="747" w:name="XBRL_CS_9539ddb3825e4d53968e9525a79e8c6d"/>
      <w:bookmarkStart w:id="748" w:name="XBRL_CS_7a97a9dabcc04bcdb0fc767f3d3106df"/>
      <w:r w:rsidRPr="00346838">
        <w:rPr>
          <w:rFonts w:ascii="Arial" w:eastAsia="Arial" w:hAnsi="Arial" w:cs="Arial"/>
          <w:lang w:val="en-US" w:bidi="en-US"/>
        </w:rPr>
        <w:t>zero</w:t>
      </w:r>
      <w:bookmarkEnd w:id="745"/>
      <w:bookmarkEnd w:id="746"/>
      <w:bookmarkEnd w:id="747"/>
      <w:bookmarkEnd w:id="748"/>
      <w:r w:rsidRPr="00346838">
        <w:rPr>
          <w:rFonts w:ascii="Arial" w:eastAsia="Arial" w:hAnsi="Arial" w:cs="Arial"/>
          <w:lang w:val="en-US" w:bidi="en-US"/>
        </w:rPr>
        <w:t xml:space="preserve"> Series A Participating Preferred Shares issued and outstanding.</w:t>
      </w:r>
    </w:p>
    <w:p w14:paraId="71F3F87E" w14:textId="77777777" w:rsidR="00B0759D" w:rsidRPr="00346838" w:rsidRDefault="00B0759D" w:rsidP="00346838">
      <w:pPr>
        <w:pBdr>
          <w:top w:val="nil"/>
          <w:left w:val="nil"/>
          <w:bottom w:val="nil"/>
          <w:right w:val="nil"/>
          <w:between w:val="nil"/>
          <w:bar w:val="nil"/>
        </w:pBdr>
        <w:jc w:val="both"/>
        <w:rPr>
          <w:rFonts w:ascii="Arial" w:eastAsia="Arial" w:hAnsi="Arial" w:cs="Arial"/>
          <w:bdr w:val="nil"/>
          <w:lang w:val="en-US"/>
        </w:rPr>
      </w:pPr>
    </w:p>
    <w:p w14:paraId="71F3F87F" w14:textId="77777777" w:rsidR="00397CD4" w:rsidRPr="00346838" w:rsidRDefault="003A4815" w:rsidP="00346838">
      <w:pPr>
        <w:pBdr>
          <w:top w:val="nil"/>
          <w:left w:val="nil"/>
          <w:bottom w:val="nil"/>
          <w:right w:val="nil"/>
          <w:between w:val="nil"/>
          <w:bar w:val="nil"/>
        </w:pBdr>
        <w:jc w:val="both"/>
        <w:rPr>
          <w:rFonts w:ascii="Arial" w:eastAsia="Arial" w:hAnsi="Arial" w:cs="Arial"/>
          <w:bdr w:val="nil"/>
          <w:lang w:val="en-US"/>
        </w:rPr>
      </w:pPr>
      <w:r w:rsidRPr="00346838">
        <w:rPr>
          <w:rFonts w:ascii="Arial" w:eastAsia="Arial" w:hAnsi="Arial" w:cs="Arial"/>
          <w:b/>
          <w:i/>
          <w:lang w:val="en-US" w:bidi="en-US"/>
        </w:rPr>
        <w:t>b)</w:t>
      </w:r>
      <w:r w:rsidRPr="00346838">
        <w:rPr>
          <w:rFonts w:ascii="Arial" w:eastAsia="Arial" w:hAnsi="Arial" w:cs="Arial"/>
          <w:b/>
          <w:i/>
          <w:lang w:val="en-US" w:bidi="en-US"/>
        </w:rPr>
        <w:tab/>
        <w:t xml:space="preserve">Series B Preferred </w:t>
      </w:r>
      <w:r w:rsidR="000371BE" w:rsidRPr="00346838">
        <w:rPr>
          <w:rFonts w:ascii="Arial" w:eastAsia="Arial" w:hAnsi="Arial" w:cs="Arial"/>
          <w:b/>
          <w:i/>
          <w:lang w:val="en-US" w:bidi="en-US"/>
        </w:rPr>
        <w:t>Stock</w:t>
      </w:r>
      <w:r w:rsidRPr="00346838">
        <w:rPr>
          <w:rFonts w:ascii="Arial" w:eastAsia="Arial" w:hAnsi="Arial" w:cs="Arial"/>
          <w:b/>
          <w:i/>
          <w:lang w:val="en-US" w:bidi="en-US"/>
        </w:rPr>
        <w:t>:</w:t>
      </w:r>
      <w:r w:rsidRPr="00346838">
        <w:rPr>
          <w:rFonts w:ascii="Arial" w:eastAsia="Arial" w:hAnsi="Arial" w:cs="Arial"/>
          <w:lang w:val="en-US" w:bidi="en-US"/>
        </w:rPr>
        <w:t xml:space="preserve"> As of December 31, 2025, and</w:t>
      </w:r>
      <w:r>
        <w:rPr>
          <w:rFonts w:ascii="Arial" w:eastAsia="Arial" w:hAnsi="Arial" w:cs="Arial"/>
          <w:lang w:val="en-US" w:bidi="en-US"/>
        </w:rPr>
        <w:t xml:space="preserve"> </w:t>
      </w:r>
      <w:r w:rsidRPr="00346838">
        <w:rPr>
          <w:rFonts w:ascii="Arial" w:eastAsia="Arial" w:hAnsi="Arial" w:cs="Arial"/>
          <w:lang w:val="en-US" w:bidi="en-US"/>
        </w:rPr>
        <w:t xml:space="preserve">2024, the Company had </w:t>
      </w:r>
      <w:bookmarkStart w:id="749" w:name="XBRL_CS_33dd516f97ee453b8ac888d7e330bc73"/>
      <w:bookmarkStart w:id="750" w:name="XBRL_CS_6cad691751b349bdb0464e3fb1583e02"/>
      <w:bookmarkStart w:id="751" w:name="XBRL_CS_251c3ba1f4994488ad4d0f15946ddc82"/>
      <w:bookmarkStart w:id="752" w:name="XBRL_CS_f08844e60b33479fa9d2def4323ae6a3"/>
      <w:r w:rsidRPr="00346838">
        <w:rPr>
          <w:rFonts w:ascii="Arial" w:eastAsia="Arial" w:hAnsi="Arial" w:cs="Arial"/>
          <w:lang w:val="en-US" w:bidi="en-US"/>
        </w:rPr>
        <w:t>2,600,000</w:t>
      </w:r>
      <w:bookmarkEnd w:id="749"/>
      <w:bookmarkEnd w:id="750"/>
      <w:bookmarkEnd w:id="751"/>
      <w:bookmarkEnd w:id="752"/>
      <w:r w:rsidRPr="00346838">
        <w:rPr>
          <w:rFonts w:ascii="Arial" w:eastAsia="Arial" w:hAnsi="Arial" w:cs="Arial"/>
          <w:lang w:val="en-US" w:bidi="en-US"/>
        </w:rPr>
        <w:t xml:space="preserve"> Series B Preferred Shares issued and outstanding with par value $</w:t>
      </w:r>
      <w:bookmarkStart w:id="753" w:name="XBRL_CS_b865c006b60e422ebfae572e48c3fc7b"/>
      <w:bookmarkStart w:id="754" w:name="XBRL_CS_b37b5b59874347e79426b2d4222fac9f"/>
      <w:r w:rsidRPr="00346838">
        <w:rPr>
          <w:rFonts w:ascii="Arial" w:eastAsia="Arial" w:hAnsi="Arial" w:cs="Arial"/>
          <w:lang w:val="en-US" w:bidi="en-US"/>
        </w:rPr>
        <w:t>0.01</w:t>
      </w:r>
      <w:bookmarkEnd w:id="753"/>
      <w:bookmarkEnd w:id="754"/>
      <w:r w:rsidRPr="00346838">
        <w:rPr>
          <w:rFonts w:ascii="Arial" w:eastAsia="Arial" w:hAnsi="Arial" w:cs="Arial"/>
          <w:lang w:val="en-US" w:bidi="en-US"/>
        </w:rPr>
        <w:t xml:space="preserve"> per share, at $</w:t>
      </w:r>
      <w:bookmarkStart w:id="755" w:name="XBRL_CS_9dc77c7544a64b15964bc806e0f1dbfd"/>
      <w:bookmarkStart w:id="756" w:name="XBRL_CS_206f277b7f494a619f0f959c3ac47c45"/>
      <w:r w:rsidRPr="00346838">
        <w:rPr>
          <w:rFonts w:ascii="Arial" w:eastAsia="Arial" w:hAnsi="Arial" w:cs="Arial"/>
          <w:lang w:val="en-US" w:bidi="en-US"/>
        </w:rPr>
        <w:t>25.00</w:t>
      </w:r>
      <w:bookmarkEnd w:id="755"/>
      <w:bookmarkEnd w:id="756"/>
      <w:r w:rsidRPr="00346838">
        <w:rPr>
          <w:rFonts w:ascii="Arial" w:eastAsia="Arial" w:hAnsi="Arial" w:cs="Arial"/>
          <w:lang w:val="en-US" w:bidi="en-US"/>
        </w:rPr>
        <w:t xml:space="preserve"> per share and with liquidation preference at $</w:t>
      </w:r>
      <w:bookmarkStart w:id="757" w:name="XBRL_CS_40a7d21e7e9e4f748a61e93d6f8106ea"/>
      <w:bookmarkStart w:id="758" w:name="XBRL_CS_9bad2e2f0f544906923d1a993c2a5368"/>
      <w:r w:rsidRPr="00346838">
        <w:rPr>
          <w:rFonts w:ascii="Arial" w:eastAsia="Arial" w:hAnsi="Arial" w:cs="Arial"/>
          <w:lang w:val="en-US" w:bidi="en-US"/>
        </w:rPr>
        <w:t>25.00</w:t>
      </w:r>
      <w:bookmarkEnd w:id="757"/>
      <w:bookmarkEnd w:id="758"/>
      <w:r w:rsidRPr="00346838">
        <w:rPr>
          <w:rFonts w:ascii="Arial" w:eastAsia="Arial" w:hAnsi="Arial" w:cs="Arial"/>
          <w:lang w:val="en-US" w:bidi="en-US"/>
        </w:rPr>
        <w:t xml:space="preserve"> per share. </w:t>
      </w:r>
      <w:bookmarkStart w:id="759" w:name="XBRL_CS_bc88cadb6e434cd8bf8a91193e3bac34"/>
      <w:r w:rsidRPr="00346838">
        <w:rPr>
          <w:rFonts w:ascii="Arial" w:eastAsia="Arial" w:hAnsi="Arial" w:cs="Arial"/>
          <w:lang w:val="en-US" w:bidi="en-US"/>
        </w:rPr>
        <w:t>Holders of Series B Preferred Shares have no voting rights other than the ability, subject to certain exceptions, to elect one director if dividends for six quarterly dividend periods (whether or not consecutive) are in arrears and certain other limited protective voting rights.</w:t>
      </w:r>
      <w:bookmarkEnd w:id="759"/>
      <w:r w:rsidRPr="00346838">
        <w:rPr>
          <w:rFonts w:ascii="Arial" w:eastAsia="Arial" w:hAnsi="Arial" w:cs="Arial"/>
          <w:lang w:val="en-US" w:bidi="en-US"/>
        </w:rPr>
        <w:t xml:space="preserve"> Also, holders of Series B Preferred Shares rank prior to the holders of common shares with respect to dividends, distributions and payments upon liquidation and are subordinated to all of the existing and future indebtedness.</w:t>
      </w:r>
    </w:p>
    <w:p w14:paraId="71F3F880" w14:textId="77777777" w:rsidR="00397CD4" w:rsidRPr="00AD5483" w:rsidRDefault="00397CD4" w:rsidP="00346838">
      <w:pPr>
        <w:pBdr>
          <w:top w:val="nil"/>
          <w:left w:val="nil"/>
          <w:bottom w:val="nil"/>
          <w:right w:val="nil"/>
          <w:between w:val="nil"/>
          <w:bar w:val="nil"/>
        </w:pBdr>
        <w:jc w:val="both"/>
        <w:rPr>
          <w:rFonts w:ascii="Arial" w:eastAsia="Arial" w:hAnsi="Arial" w:cs="Arial"/>
          <w:bdr w:val="nil"/>
          <w:lang w:val="en-US"/>
        </w:rPr>
      </w:pPr>
    </w:p>
    <w:p w14:paraId="71F3F881" w14:textId="77777777" w:rsidR="00B0759D" w:rsidRPr="00346838" w:rsidRDefault="003A4815" w:rsidP="00346838">
      <w:pPr>
        <w:pBdr>
          <w:top w:val="nil"/>
          <w:left w:val="nil"/>
          <w:bottom w:val="nil"/>
          <w:right w:val="nil"/>
          <w:between w:val="nil"/>
          <w:bar w:val="nil"/>
        </w:pBdr>
        <w:jc w:val="both"/>
        <w:rPr>
          <w:rFonts w:ascii="Arial" w:eastAsia="Arial" w:hAnsi="Arial" w:cs="Arial"/>
          <w:bdr w:val="nil"/>
          <w:lang w:val="en-US"/>
        </w:rPr>
      </w:pPr>
      <w:r w:rsidRPr="00346838">
        <w:rPr>
          <w:rFonts w:ascii="Arial" w:eastAsia="Arial" w:hAnsi="Arial" w:cs="Arial"/>
          <w:lang w:val="en-US" w:bidi="en-US"/>
        </w:rPr>
        <w:t xml:space="preserve">Dividends on the Series B Preferred Shares are cumulative from the date of original issue and are payable on the 15th day of January, April, July and October of each year at </w:t>
      </w:r>
      <w:r w:rsidR="00D837EE">
        <w:rPr>
          <w:rFonts w:ascii="Arial" w:eastAsia="Arial" w:hAnsi="Arial" w:cs="Arial"/>
          <w:lang w:val="en-US" w:bidi="en-US"/>
        </w:rPr>
        <w:t>a</w:t>
      </w:r>
      <w:r w:rsidRPr="00346838">
        <w:rPr>
          <w:rFonts w:ascii="Arial" w:eastAsia="Arial" w:hAnsi="Arial" w:cs="Arial"/>
          <w:lang w:val="en-US" w:bidi="en-US"/>
        </w:rPr>
        <w:t xml:space="preserve"> dividend rate of </w:t>
      </w:r>
      <w:bookmarkStart w:id="760" w:name="XBRL_CS_b07da68101a94083886d35dcc6ca745a"/>
      <w:r w:rsidRPr="00346838">
        <w:rPr>
          <w:rFonts w:ascii="Arial" w:eastAsia="Arial" w:hAnsi="Arial" w:cs="Arial"/>
          <w:lang w:val="en-US" w:bidi="en-US"/>
        </w:rPr>
        <w:t>8.875</w:t>
      </w:r>
      <w:bookmarkEnd w:id="760"/>
      <w:r w:rsidRPr="00346838">
        <w:rPr>
          <w:rFonts w:ascii="Arial" w:eastAsia="Arial" w:hAnsi="Arial" w:cs="Arial"/>
          <w:lang w:val="en-US" w:bidi="en-US"/>
        </w:rPr>
        <w:t>% per annum, or $</w:t>
      </w:r>
      <w:bookmarkStart w:id="761" w:name="XBRL_CS_0d3d2b7e718f406eb51af85ed63f2308"/>
      <w:r w:rsidRPr="00346838">
        <w:rPr>
          <w:rFonts w:ascii="Arial" w:eastAsia="Arial" w:hAnsi="Arial" w:cs="Arial"/>
          <w:lang w:val="en-US" w:bidi="en-US"/>
        </w:rPr>
        <w:t>2.21875</w:t>
      </w:r>
      <w:bookmarkEnd w:id="761"/>
      <w:r w:rsidRPr="00346838">
        <w:rPr>
          <w:rFonts w:ascii="Arial" w:eastAsia="Arial" w:hAnsi="Arial" w:cs="Arial"/>
          <w:lang w:val="en-US" w:bidi="en-US"/>
        </w:rPr>
        <w:t xml:space="preserve"> per share per annum. </w:t>
      </w:r>
      <w:r w:rsidR="00737AF9" w:rsidRPr="00737AF9">
        <w:rPr>
          <w:rFonts w:ascii="Arial" w:eastAsia="Arial" w:hAnsi="Arial" w:cs="Arial"/>
          <w:lang w:val="en-US" w:bidi="en-US"/>
        </w:rPr>
        <w:t xml:space="preserve">For </w:t>
      </w:r>
      <w:r w:rsidR="00994DBC">
        <w:rPr>
          <w:rFonts w:ascii="Arial" w:eastAsia="Arial" w:hAnsi="Arial" w:cs="Arial"/>
          <w:lang w:val="en-US" w:bidi="en-US"/>
        </w:rPr>
        <w:t xml:space="preserve">each of </w:t>
      </w:r>
      <w:r w:rsidR="00737AF9" w:rsidRPr="00737AF9">
        <w:rPr>
          <w:rFonts w:ascii="Arial" w:eastAsia="Arial" w:hAnsi="Arial" w:cs="Arial"/>
          <w:lang w:val="en-US" w:bidi="en-US"/>
        </w:rPr>
        <w:t>the years ended December 31, 2025</w:t>
      </w:r>
      <w:r w:rsidR="00994DBC">
        <w:rPr>
          <w:rFonts w:ascii="Arial" w:eastAsia="Arial" w:hAnsi="Arial" w:cs="Arial"/>
          <w:lang w:val="en-US" w:bidi="en-US"/>
        </w:rPr>
        <w:t>,</w:t>
      </w:r>
      <w:r w:rsidR="00737AF9" w:rsidRPr="00737AF9">
        <w:rPr>
          <w:rFonts w:ascii="Arial" w:eastAsia="Arial" w:hAnsi="Arial" w:cs="Arial"/>
          <w:lang w:val="en-US" w:bidi="en-US"/>
        </w:rPr>
        <w:t xml:space="preserve"> 2024</w:t>
      </w:r>
      <w:r w:rsidR="00994DBC" w:rsidRPr="00737AF9">
        <w:rPr>
          <w:rFonts w:ascii="Arial" w:eastAsia="Arial" w:hAnsi="Arial" w:cs="Arial"/>
          <w:lang w:val="en-US" w:bidi="en-US"/>
        </w:rPr>
        <w:t xml:space="preserve"> and 2023</w:t>
      </w:r>
      <w:r w:rsidR="00737AF9" w:rsidRPr="00737AF9">
        <w:rPr>
          <w:rFonts w:ascii="Arial" w:eastAsia="Arial" w:hAnsi="Arial" w:cs="Arial"/>
          <w:lang w:val="en-US" w:bidi="en-US"/>
        </w:rPr>
        <w:t>, dividends on Series B Preferred Shares amounted to $</w:t>
      </w:r>
      <w:bookmarkStart w:id="762" w:name="XBRL_CS_ce46aa71e00e42f2bddb3873a6d14340"/>
      <w:bookmarkStart w:id="763" w:name="XBRL_CS_9eace93402dc4323b58951a31ae5f101"/>
      <w:bookmarkStart w:id="764" w:name="XBRL_CS_7d42cf30dab3485d960a9539e34154aa"/>
      <w:r w:rsidR="00737AF9" w:rsidRPr="00737AF9">
        <w:rPr>
          <w:rFonts w:ascii="Arial" w:eastAsia="Arial" w:hAnsi="Arial" w:cs="Arial"/>
          <w:lang w:val="en-US" w:bidi="en-US"/>
        </w:rPr>
        <w:t>5,769</w:t>
      </w:r>
      <w:bookmarkEnd w:id="762"/>
      <w:bookmarkEnd w:id="763"/>
      <w:bookmarkEnd w:id="764"/>
      <w:r w:rsidRPr="00346838">
        <w:rPr>
          <w:rFonts w:ascii="Arial" w:eastAsia="Arial" w:hAnsi="Arial" w:cs="Arial"/>
          <w:lang w:val="en-US" w:bidi="en-US"/>
        </w:rPr>
        <w:t>. Since February 14, 2019, the Company may redeem, in whole or in part, the Series B Preferred Shares at a redemption price of $</w:t>
      </w:r>
      <w:bookmarkStart w:id="765" w:name="XBRL_CS_8c14917379214099a93291f5b6154889"/>
      <w:r w:rsidRPr="00346838">
        <w:rPr>
          <w:rFonts w:ascii="Arial" w:eastAsia="Arial" w:hAnsi="Arial" w:cs="Arial"/>
          <w:lang w:val="en-US" w:bidi="en-US"/>
        </w:rPr>
        <w:t>25.00</w:t>
      </w:r>
      <w:bookmarkEnd w:id="765"/>
      <w:r w:rsidRPr="00346838">
        <w:rPr>
          <w:rFonts w:ascii="Arial" w:eastAsia="Arial" w:hAnsi="Arial" w:cs="Arial"/>
          <w:lang w:val="en-US" w:bidi="en-US"/>
        </w:rPr>
        <w:t xml:space="preserve"> per share plus an amount equal to all accumulated and unpaid dividends thereon to the date of redemption, whether or not declared.  </w:t>
      </w:r>
    </w:p>
    <w:p w14:paraId="71F3F882" w14:textId="77777777" w:rsidR="001778BF" w:rsidRPr="00346838" w:rsidRDefault="001778BF" w:rsidP="00346838">
      <w:pPr>
        <w:pBdr>
          <w:top w:val="nil"/>
          <w:left w:val="nil"/>
          <w:bottom w:val="nil"/>
          <w:right w:val="nil"/>
          <w:between w:val="nil"/>
          <w:bar w:val="nil"/>
        </w:pBdr>
        <w:jc w:val="both"/>
        <w:rPr>
          <w:rFonts w:ascii="Arial" w:eastAsia="Arial" w:hAnsi="Arial" w:cs="Arial"/>
          <w:bdr w:val="nil"/>
          <w:lang w:val="en-US"/>
        </w:rPr>
      </w:pPr>
    </w:p>
    <w:p w14:paraId="71F3F883" w14:textId="77777777" w:rsidR="001778BF" w:rsidRPr="00346838" w:rsidRDefault="003A4815" w:rsidP="00346838">
      <w:pPr>
        <w:pBdr>
          <w:top w:val="nil"/>
          <w:left w:val="nil"/>
          <w:bottom w:val="nil"/>
          <w:right w:val="nil"/>
          <w:between w:val="nil"/>
          <w:bar w:val="nil"/>
        </w:pBdr>
        <w:jc w:val="both"/>
        <w:rPr>
          <w:rFonts w:ascii="Arial" w:eastAsia="Arial" w:hAnsi="Arial" w:cs="Arial"/>
          <w:bdr w:val="nil"/>
          <w:lang w:val="en-US"/>
        </w:rPr>
      </w:pPr>
      <w:r w:rsidRPr="00346838">
        <w:rPr>
          <w:rFonts w:ascii="Arial" w:eastAsia="Arial" w:hAnsi="Arial" w:cs="Arial"/>
          <w:b/>
          <w:i/>
          <w:lang w:val="en-US" w:bidi="en-US"/>
        </w:rPr>
        <w:t>c)</w:t>
      </w:r>
      <w:r w:rsidRPr="00346838">
        <w:rPr>
          <w:rFonts w:ascii="Arial" w:eastAsia="Arial" w:hAnsi="Arial" w:cs="Arial"/>
          <w:b/>
          <w:i/>
          <w:lang w:val="en-US" w:bidi="en-US"/>
        </w:rPr>
        <w:tab/>
      </w:r>
      <w:r w:rsidRPr="00346838">
        <w:rPr>
          <w:rFonts w:ascii="Arial" w:eastAsia="Arial" w:hAnsi="Arial" w:cs="Arial"/>
          <w:b/>
          <w:i/>
          <w:bdr w:val="none" w:sz="0" w:space="0" w:color="auto" w:frame="1"/>
          <w:lang w:val="en-US" w:bidi="en-US"/>
        </w:rPr>
        <w:t xml:space="preserve">Series C Preferred </w:t>
      </w:r>
      <w:r w:rsidR="00172DD7" w:rsidRPr="00346838">
        <w:rPr>
          <w:rFonts w:ascii="Arial" w:eastAsia="Arial" w:hAnsi="Arial" w:cs="Arial"/>
          <w:b/>
          <w:i/>
          <w:bdr w:val="none" w:sz="0" w:space="0" w:color="auto" w:frame="1"/>
          <w:lang w:val="en-US" w:bidi="en-US"/>
        </w:rPr>
        <w:t>Stock</w:t>
      </w:r>
      <w:r w:rsidRPr="00346838">
        <w:rPr>
          <w:rFonts w:ascii="Arial" w:eastAsia="Arial" w:hAnsi="Arial" w:cs="Arial"/>
          <w:bdr w:val="none" w:sz="0" w:space="0" w:color="auto" w:frame="1"/>
          <w:lang w:val="en-US" w:bidi="en-US"/>
        </w:rPr>
        <w:t xml:space="preserve">: </w:t>
      </w:r>
      <w:r w:rsidRPr="00346838">
        <w:rPr>
          <w:rFonts w:ascii="Arial" w:eastAsia="Arial" w:hAnsi="Arial" w:cs="Arial"/>
          <w:lang w:val="en-US" w:bidi="en-US"/>
        </w:rPr>
        <w:t>As of December 31, 2025, and</w:t>
      </w:r>
      <w:r>
        <w:rPr>
          <w:rFonts w:ascii="Arial" w:eastAsia="Arial" w:hAnsi="Arial" w:cs="Arial"/>
          <w:lang w:val="en-US" w:bidi="en-US"/>
        </w:rPr>
        <w:t xml:space="preserve"> </w:t>
      </w:r>
      <w:r w:rsidRPr="00346838">
        <w:rPr>
          <w:rFonts w:ascii="Arial" w:eastAsia="Arial" w:hAnsi="Arial" w:cs="Arial"/>
          <w:lang w:val="en-US" w:bidi="en-US"/>
        </w:rPr>
        <w:t xml:space="preserve">2024, the Company had </w:t>
      </w:r>
      <w:bookmarkStart w:id="766" w:name="XBRL_CS_0660b2ee865240c897321ece93f26a80"/>
      <w:bookmarkStart w:id="767" w:name="XBRL_CS_1c17dc9d22d2401db29bccb319d1416f"/>
      <w:bookmarkStart w:id="768" w:name="XBRL_CS_b50569574ae34f5ca5cb5f703bc5c5fa"/>
      <w:bookmarkStart w:id="769" w:name="XBRL_CS_de5b4b5f26e94ed89329c12d48ea62a9"/>
      <w:r w:rsidRPr="00346838">
        <w:rPr>
          <w:rFonts w:ascii="Arial" w:eastAsia="Arial" w:hAnsi="Arial" w:cs="Arial"/>
          <w:lang w:val="en-US" w:bidi="en-US"/>
        </w:rPr>
        <w:t>10,675</w:t>
      </w:r>
      <w:bookmarkEnd w:id="766"/>
      <w:bookmarkEnd w:id="767"/>
      <w:bookmarkEnd w:id="768"/>
      <w:bookmarkEnd w:id="769"/>
      <w:r w:rsidRPr="00346838">
        <w:rPr>
          <w:rFonts w:ascii="Arial" w:eastAsia="Arial" w:hAnsi="Arial" w:cs="Arial"/>
          <w:lang w:val="en-US" w:bidi="en-US"/>
        </w:rPr>
        <w:t xml:space="preserve"> shares of Series C Preferred Stock, issued and outstanding, with par value $</w:t>
      </w:r>
      <w:bookmarkStart w:id="770" w:name="XBRL_CS_b1b67d6778044f7ba24accf7bf9ce7d7"/>
      <w:bookmarkStart w:id="771" w:name="XBRL_CS_317834963eed4b5682fc9e4e9056e781"/>
      <w:r w:rsidRPr="00346838">
        <w:rPr>
          <w:rFonts w:ascii="Arial" w:eastAsia="Arial" w:hAnsi="Arial" w:cs="Arial"/>
          <w:lang w:val="en-US" w:bidi="en-US"/>
        </w:rPr>
        <w:t>0.01</w:t>
      </w:r>
      <w:bookmarkEnd w:id="770"/>
      <w:bookmarkEnd w:id="771"/>
      <w:r w:rsidRPr="00346838">
        <w:rPr>
          <w:rFonts w:ascii="Arial" w:eastAsia="Arial" w:hAnsi="Arial" w:cs="Arial"/>
          <w:lang w:val="en-US" w:bidi="en-US"/>
        </w:rPr>
        <w:t xml:space="preserve"> per share, owned by an affiliate of its Chief Executive Officer, Ms. Semiramis Paliou. </w:t>
      </w:r>
      <w:bookmarkStart w:id="772" w:name="XBRL_CS_8ce0c4b2fed74e64a97a8cc02f83c814"/>
      <w:r w:rsidRPr="00346838">
        <w:rPr>
          <w:rFonts w:ascii="Arial" w:eastAsia="Arial" w:hAnsi="Arial" w:cs="Arial"/>
          <w:lang w:val="en-US" w:bidi="en-US"/>
        </w:rPr>
        <w:t xml:space="preserve">The Series C Preferred Stock votes with the common shares of the Company, and each share entitles the holder thereof to </w:t>
      </w:r>
      <w:bookmarkStart w:id="773" w:name="XBRL_CS_5b6b0c3568fb4bc4982d80d525e45978"/>
      <w:r w:rsidRPr="00346838">
        <w:rPr>
          <w:rFonts w:ascii="Arial" w:eastAsia="Arial" w:hAnsi="Arial" w:cs="Arial"/>
          <w:lang w:val="en-US" w:bidi="en-US"/>
        </w:rPr>
        <w:t>1,000</w:t>
      </w:r>
      <w:bookmarkEnd w:id="773"/>
      <w:r w:rsidRPr="00346838">
        <w:rPr>
          <w:rFonts w:ascii="Arial" w:eastAsia="Arial" w:hAnsi="Arial" w:cs="Arial"/>
          <w:lang w:val="en-US" w:bidi="en-US"/>
        </w:rPr>
        <w:t xml:space="preserve"> votes on all matters submitted to a vote of the shareholders of the Company.</w:t>
      </w:r>
      <w:bookmarkEnd w:id="772"/>
      <w:r w:rsidRPr="00346838">
        <w:rPr>
          <w:rFonts w:ascii="Arial" w:eastAsia="Arial" w:hAnsi="Arial" w:cs="Arial"/>
          <w:lang w:val="en-US" w:bidi="en-US"/>
        </w:rPr>
        <w:t xml:space="preserve"> The Series C Preferred Stock has no dividend or liquidation rights and cannot be transferred without the consent of the Company except to the holder’s affiliates and immediate family members</w:t>
      </w:r>
      <w:r w:rsidRPr="00346838">
        <w:rPr>
          <w:rFonts w:ascii="Arial" w:eastAsia="Arial" w:hAnsi="Arial" w:cs="Arial"/>
          <w:bdr w:val="none" w:sz="0" w:space="0" w:color="auto" w:frame="1"/>
          <w:lang w:val="en-US" w:bidi="en-US"/>
        </w:rPr>
        <w:t>.</w:t>
      </w:r>
    </w:p>
    <w:p w14:paraId="71F3F884" w14:textId="77777777" w:rsidR="00EB51AA" w:rsidRPr="00FE3546" w:rsidRDefault="00EB51AA" w:rsidP="00346838">
      <w:pPr>
        <w:pBdr>
          <w:top w:val="nil"/>
          <w:left w:val="nil"/>
          <w:bottom w:val="nil"/>
          <w:right w:val="nil"/>
          <w:between w:val="nil"/>
          <w:bar w:val="nil"/>
        </w:pBdr>
        <w:jc w:val="both"/>
        <w:rPr>
          <w:rFonts w:ascii="Arial" w:eastAsia="Arial" w:hAnsi="Arial" w:cs="Arial"/>
          <w:bdr w:val="nil"/>
          <w:lang w:val="en-US"/>
        </w:rPr>
      </w:pPr>
    </w:p>
    <w:p w14:paraId="71F3F885" w14:textId="77777777" w:rsidR="00631882" w:rsidRPr="00E459C3" w:rsidRDefault="003A4815" w:rsidP="00346838">
      <w:pPr>
        <w:pBdr>
          <w:top w:val="nil"/>
          <w:left w:val="nil"/>
          <w:bottom w:val="nil"/>
          <w:right w:val="nil"/>
          <w:between w:val="nil"/>
          <w:bar w:val="nil"/>
        </w:pBdr>
        <w:jc w:val="both"/>
        <w:rPr>
          <w:rFonts w:ascii="Arial" w:eastAsia="Arial" w:hAnsi="Arial" w:cs="Arial"/>
          <w:color w:val="000000"/>
          <w:bdr w:val="nil"/>
          <w:shd w:val="clear" w:color="auto" w:fill="FFFFFF"/>
          <w:lang w:val="en-US"/>
        </w:rPr>
      </w:pPr>
      <w:r w:rsidRPr="00346838">
        <w:rPr>
          <w:rFonts w:ascii="Arial" w:eastAsia="Arial" w:hAnsi="Arial" w:cs="Arial"/>
          <w:b/>
          <w:i/>
          <w:lang w:val="en-US" w:bidi="en-US"/>
        </w:rPr>
        <w:t>d)</w:t>
      </w:r>
      <w:r w:rsidRPr="00346838">
        <w:rPr>
          <w:rFonts w:ascii="Arial" w:eastAsia="Arial" w:hAnsi="Arial" w:cs="Arial"/>
          <w:b/>
          <w:i/>
          <w:lang w:val="en-US" w:bidi="en-US"/>
        </w:rPr>
        <w:tab/>
      </w:r>
      <w:r w:rsidRPr="00346838">
        <w:rPr>
          <w:rFonts w:ascii="Arial" w:eastAsia="Arial" w:hAnsi="Arial" w:cs="Arial"/>
          <w:b/>
          <w:i/>
          <w:bdr w:val="none" w:sz="0" w:space="0" w:color="auto" w:frame="1"/>
          <w:lang w:val="en-US" w:bidi="en-US"/>
        </w:rPr>
        <w:t xml:space="preserve">Series D Preferred </w:t>
      </w:r>
      <w:r w:rsidR="00172DD7" w:rsidRPr="00346838">
        <w:rPr>
          <w:rFonts w:ascii="Arial" w:eastAsia="Arial" w:hAnsi="Arial" w:cs="Arial"/>
          <w:b/>
          <w:i/>
          <w:bdr w:val="none" w:sz="0" w:space="0" w:color="auto" w:frame="1"/>
          <w:lang w:val="en-US" w:bidi="en-US"/>
        </w:rPr>
        <w:t>Stock</w:t>
      </w:r>
      <w:r w:rsidRPr="00346838">
        <w:rPr>
          <w:rFonts w:ascii="Arial" w:eastAsia="Arial" w:hAnsi="Arial" w:cs="Arial"/>
          <w:bdr w:val="none" w:sz="0" w:space="0" w:color="auto" w:frame="1"/>
          <w:lang w:val="en-US" w:bidi="en-US"/>
        </w:rPr>
        <w:t xml:space="preserve">: </w:t>
      </w:r>
      <w:r w:rsidRPr="00346838">
        <w:rPr>
          <w:rFonts w:ascii="Arial" w:eastAsia="Arial" w:hAnsi="Arial" w:cs="Arial"/>
          <w:lang w:val="en-US" w:bidi="en-US"/>
        </w:rPr>
        <w:t>As of December 31, 2025, and</w:t>
      </w:r>
      <w:r>
        <w:rPr>
          <w:rFonts w:ascii="Arial" w:eastAsia="Arial" w:hAnsi="Arial" w:cs="Arial"/>
          <w:lang w:val="en-US" w:bidi="en-US"/>
        </w:rPr>
        <w:t xml:space="preserve"> </w:t>
      </w:r>
      <w:r w:rsidRPr="00346838">
        <w:rPr>
          <w:rFonts w:ascii="Arial" w:eastAsia="Arial" w:hAnsi="Arial" w:cs="Arial"/>
          <w:lang w:val="en-US" w:bidi="en-US"/>
        </w:rPr>
        <w:t xml:space="preserve">2024, the Company had </w:t>
      </w:r>
      <w:bookmarkStart w:id="774" w:name="XBRL_CS_07bfe1787e6c4fbda288c44bd9e1abe7"/>
      <w:bookmarkStart w:id="775" w:name="XBRL_CS_5e5bd5a726f046b580c994a4799e50f5"/>
      <w:bookmarkStart w:id="776" w:name="XBRL_CS_6dd3e020240543dc9e35c1662c690ed5"/>
      <w:bookmarkStart w:id="777" w:name="XBRL_CS_d88d883960814418ba87c215fe38d0f1"/>
      <w:r w:rsidRPr="00346838">
        <w:rPr>
          <w:rFonts w:ascii="Arial" w:eastAsia="Arial" w:hAnsi="Arial" w:cs="Arial"/>
          <w:color w:val="000000"/>
          <w:shd w:val="clear" w:color="auto" w:fill="FFFFFF"/>
          <w:lang w:val="en-US" w:bidi="en-US"/>
        </w:rPr>
        <w:t>400</w:t>
      </w:r>
      <w:bookmarkEnd w:id="774"/>
      <w:bookmarkEnd w:id="775"/>
      <w:bookmarkEnd w:id="776"/>
      <w:bookmarkEnd w:id="777"/>
      <w:r w:rsidRPr="00346838">
        <w:rPr>
          <w:rFonts w:ascii="Arial" w:eastAsia="Arial" w:hAnsi="Arial" w:cs="Arial"/>
          <w:color w:val="000000"/>
          <w:shd w:val="clear" w:color="auto" w:fill="FFFFFF"/>
          <w:lang w:val="en-US" w:bidi="en-US"/>
        </w:rPr>
        <w:t xml:space="preserve"> shares of Series D Preferred Stock,</w:t>
      </w:r>
      <w:r w:rsidRPr="00346838">
        <w:rPr>
          <w:rFonts w:ascii="Arial" w:eastAsia="Arial" w:hAnsi="Arial" w:cs="Arial"/>
          <w:lang w:val="en-US" w:bidi="en-US"/>
        </w:rPr>
        <w:t xml:space="preserve"> issued and outstanding</w:t>
      </w:r>
      <w:r w:rsidRPr="00346838">
        <w:rPr>
          <w:rFonts w:ascii="Arial" w:eastAsia="Arial" w:hAnsi="Arial" w:cs="Arial"/>
          <w:color w:val="000000"/>
          <w:shd w:val="clear" w:color="auto" w:fill="FFFFFF"/>
          <w:lang w:val="en-US" w:bidi="en-US"/>
        </w:rPr>
        <w:t>, with par value $</w:t>
      </w:r>
      <w:bookmarkStart w:id="778" w:name="XBRL_CS_25f91b0ebdd14defb1861b39bd15998d"/>
      <w:bookmarkStart w:id="779" w:name="XBRL_CS_aaf7714a744a48b495ad31a57970f4c0"/>
      <w:r w:rsidRPr="00346838">
        <w:rPr>
          <w:rFonts w:ascii="Arial" w:eastAsia="Arial" w:hAnsi="Arial" w:cs="Arial"/>
          <w:color w:val="000000"/>
          <w:shd w:val="clear" w:color="auto" w:fill="FFFFFF"/>
          <w:lang w:val="en-US" w:bidi="en-US"/>
        </w:rPr>
        <w:t>0.01</w:t>
      </w:r>
      <w:bookmarkEnd w:id="778"/>
      <w:bookmarkEnd w:id="779"/>
      <w:r w:rsidRPr="00346838">
        <w:rPr>
          <w:rFonts w:ascii="Arial" w:eastAsia="Arial" w:hAnsi="Arial" w:cs="Arial"/>
          <w:color w:val="000000"/>
          <w:shd w:val="clear" w:color="auto" w:fill="FFFFFF"/>
          <w:lang w:val="en-US" w:bidi="en-US"/>
        </w:rPr>
        <w:t xml:space="preserve"> per share, </w:t>
      </w:r>
      <w:r w:rsidRPr="00346838">
        <w:rPr>
          <w:rFonts w:ascii="Arial" w:eastAsia="Arial" w:hAnsi="Arial" w:cs="Arial"/>
          <w:lang w:val="en-US" w:bidi="en-US"/>
        </w:rPr>
        <w:t>owned by an affiliate of its Chief Executive Officer, Ms. Semiramis Paliou</w:t>
      </w:r>
      <w:r w:rsidRPr="00346838">
        <w:rPr>
          <w:rFonts w:ascii="Arial" w:eastAsia="Arial" w:hAnsi="Arial" w:cs="Arial"/>
          <w:color w:val="000000"/>
          <w:shd w:val="clear" w:color="auto" w:fill="FFFFFF"/>
          <w:lang w:val="en-US" w:bidi="en-US"/>
        </w:rPr>
        <w:t xml:space="preserve">. The Series D Preferred </w:t>
      </w:r>
      <w:r w:rsidRPr="00E459C3">
        <w:rPr>
          <w:rFonts w:ascii="Arial" w:eastAsia="Arial" w:hAnsi="Arial" w:cs="Arial"/>
          <w:color w:val="000000"/>
          <w:shd w:val="clear" w:color="auto" w:fill="FFFFFF"/>
          <w:lang w:val="en-US" w:bidi="en-US"/>
        </w:rPr>
        <w:t>Stock</w:t>
      </w:r>
      <w:r w:rsidRPr="00346838">
        <w:rPr>
          <w:rFonts w:ascii="Arial" w:eastAsia="Arial" w:hAnsi="Arial" w:cs="Arial"/>
          <w:color w:val="000000"/>
          <w:shd w:val="clear" w:color="auto" w:fill="FFFFFF"/>
          <w:lang w:val="en-US" w:bidi="en-US"/>
        </w:rPr>
        <w:t xml:space="preserve"> is not redeemable and has </w:t>
      </w:r>
      <w:bookmarkStart w:id="780" w:name="XBRL_CS_82b318ef88dc4ac5a21b369a00ad5491"/>
      <w:r w:rsidRPr="00346838">
        <w:rPr>
          <w:rFonts w:ascii="Arial" w:eastAsia="Arial" w:hAnsi="Arial" w:cs="Arial"/>
          <w:color w:val="000000"/>
          <w:shd w:val="clear" w:color="auto" w:fill="FFFFFF"/>
          <w:lang w:val="en-US" w:bidi="en-US"/>
        </w:rPr>
        <w:t>no</w:t>
      </w:r>
      <w:bookmarkEnd w:id="780"/>
      <w:r w:rsidRPr="00346838">
        <w:rPr>
          <w:rFonts w:ascii="Arial" w:eastAsia="Arial" w:hAnsi="Arial" w:cs="Arial"/>
          <w:color w:val="000000"/>
          <w:shd w:val="clear" w:color="auto" w:fill="FFFFFF"/>
          <w:lang w:val="en-US" w:bidi="en-US"/>
        </w:rPr>
        <w:t xml:space="preserve"> dividend or liquidation rights. </w:t>
      </w:r>
      <w:bookmarkStart w:id="781" w:name="XBRL_CS_9f3d69f21a94423088e8f0ec9af13cef"/>
      <w:r w:rsidRPr="00346838">
        <w:rPr>
          <w:rFonts w:ascii="Arial" w:eastAsia="Arial" w:hAnsi="Arial" w:cs="Arial"/>
          <w:color w:val="000000"/>
          <w:shd w:val="clear" w:color="auto" w:fill="FFFFFF"/>
          <w:lang w:val="en-US" w:bidi="en-US"/>
        </w:rPr>
        <w:t xml:space="preserve">The Series D Preferred </w:t>
      </w:r>
      <w:r w:rsidRPr="00E459C3">
        <w:rPr>
          <w:rFonts w:ascii="Arial" w:eastAsia="Arial" w:hAnsi="Arial" w:cs="Arial"/>
          <w:color w:val="000000"/>
          <w:shd w:val="clear" w:color="auto" w:fill="FFFFFF"/>
          <w:lang w:val="en-US" w:bidi="en-US"/>
        </w:rPr>
        <w:t>Stock</w:t>
      </w:r>
      <w:r w:rsidRPr="00346838">
        <w:rPr>
          <w:rFonts w:ascii="Arial" w:eastAsia="Arial" w:hAnsi="Arial" w:cs="Arial"/>
          <w:color w:val="000000"/>
          <w:shd w:val="clear" w:color="auto" w:fill="FFFFFF"/>
          <w:lang w:val="en-US" w:bidi="en-US"/>
        </w:rPr>
        <w:t xml:space="preserve"> vote with the common shares of the Company, and each share of the Series D Preferred </w:t>
      </w:r>
      <w:r w:rsidRPr="00E459C3">
        <w:rPr>
          <w:rFonts w:ascii="Arial" w:eastAsia="Arial" w:hAnsi="Arial" w:cs="Arial"/>
          <w:color w:val="000000"/>
          <w:shd w:val="clear" w:color="auto" w:fill="FFFFFF"/>
          <w:lang w:val="en-US" w:bidi="en-US"/>
        </w:rPr>
        <w:t>Stock</w:t>
      </w:r>
      <w:r w:rsidRPr="00346838">
        <w:rPr>
          <w:rFonts w:ascii="Arial" w:eastAsia="Arial" w:hAnsi="Arial" w:cs="Arial"/>
          <w:color w:val="000000"/>
          <w:shd w:val="clear" w:color="auto" w:fill="FFFFFF"/>
          <w:lang w:val="en-US" w:bidi="en-US"/>
        </w:rPr>
        <w:t xml:space="preserve"> entitles the holder thereof to up to </w:t>
      </w:r>
      <w:bookmarkStart w:id="782" w:name="XBRL_CS_72620653cfd9421f8c86974120b69af8"/>
      <w:r>
        <w:rPr>
          <w:rFonts w:ascii="Arial" w:eastAsia="Arial" w:hAnsi="Arial" w:cs="Arial"/>
          <w:color w:val="000000"/>
          <w:shd w:val="clear" w:color="auto" w:fill="FFFFFF"/>
          <w:lang w:val="en-US" w:bidi="en-US"/>
        </w:rPr>
        <w:t>2</w:t>
      </w:r>
      <w:r w:rsidRPr="00346838">
        <w:rPr>
          <w:rFonts w:ascii="Arial" w:eastAsia="Arial" w:hAnsi="Arial" w:cs="Arial"/>
          <w:color w:val="000000"/>
          <w:shd w:val="clear" w:color="auto" w:fill="FFFFFF"/>
          <w:lang w:val="en-US" w:bidi="en-US"/>
        </w:rPr>
        <w:t>00,000</w:t>
      </w:r>
      <w:bookmarkEnd w:id="782"/>
      <w:r w:rsidRPr="00346838">
        <w:rPr>
          <w:rFonts w:ascii="Arial" w:eastAsia="Arial" w:hAnsi="Arial" w:cs="Arial"/>
          <w:color w:val="000000"/>
          <w:shd w:val="clear" w:color="auto" w:fill="FFFFFF"/>
          <w:lang w:val="en-US" w:bidi="en-US"/>
        </w:rPr>
        <w:t xml:space="preserve"> votes, </w:t>
      </w:r>
      <w:bookmarkEnd w:id="781"/>
      <w:r w:rsidRPr="00E459C3">
        <w:rPr>
          <w:rFonts w:ascii="Arial" w:eastAsia="Arial" w:hAnsi="Arial" w:cs="Arial"/>
          <w:color w:val="000000"/>
          <w:shd w:val="clear" w:color="auto" w:fill="FFFFFF"/>
          <w:lang w:val="en-US" w:bidi="en-US"/>
        </w:rPr>
        <w:t>on all matters submitted to a vote of the stockholders of the Company,</w:t>
      </w:r>
      <w:r>
        <w:rPr>
          <w:rFonts w:ascii="Arial" w:eastAsia="Arial" w:hAnsi="Arial" w:cs="Arial"/>
          <w:color w:val="000000"/>
          <w:shd w:val="clear" w:color="auto" w:fill="FFFFFF"/>
          <w:lang w:val="en-US" w:bidi="en-US"/>
        </w:rPr>
        <w:t xml:space="preserve"> </w:t>
      </w:r>
      <w:r w:rsidRPr="00E459C3">
        <w:rPr>
          <w:rFonts w:ascii="Arial" w:eastAsia="Arial" w:hAnsi="Arial" w:cs="Arial"/>
          <w:color w:val="000000"/>
          <w:shd w:val="clear" w:color="auto" w:fill="FFFFFF"/>
          <w:lang w:val="en-US" w:bidi="en-US"/>
        </w:rPr>
        <w:t>provided however,</w:t>
      </w:r>
      <w:r>
        <w:rPr>
          <w:rFonts w:ascii="Arial" w:eastAsia="Arial" w:hAnsi="Arial" w:cs="Arial"/>
          <w:color w:val="000000"/>
          <w:shd w:val="clear" w:color="auto" w:fill="FFFFFF"/>
          <w:lang w:val="en-US" w:bidi="en-US"/>
        </w:rPr>
        <w:t xml:space="preserve"> </w:t>
      </w:r>
      <w:r w:rsidRPr="00E459C3">
        <w:rPr>
          <w:rFonts w:ascii="Arial" w:eastAsia="Arial" w:hAnsi="Arial" w:cs="Arial"/>
          <w:color w:val="000000"/>
          <w:shd w:val="clear" w:color="auto" w:fill="FFFFFF"/>
          <w:lang w:val="en-US" w:bidi="en-US"/>
        </w:rPr>
        <w:t xml:space="preserve">that, notwithstanding any other provision of </w:t>
      </w:r>
      <w:r>
        <w:rPr>
          <w:rFonts w:ascii="Arial" w:eastAsia="Arial" w:hAnsi="Arial" w:cs="Arial"/>
          <w:color w:val="000000"/>
          <w:szCs w:val="24"/>
          <w:shd w:val="clear" w:color="auto" w:fill="FFFFFF"/>
          <w:lang w:val="en-US" w:bidi="en-US"/>
        </w:rPr>
        <w:t>the Series D Preferred Stock statement of designation</w:t>
      </w:r>
      <w:r w:rsidRPr="00E459C3">
        <w:rPr>
          <w:rFonts w:ascii="Arial" w:eastAsia="Arial" w:hAnsi="Arial" w:cs="Arial"/>
          <w:color w:val="000000"/>
          <w:shd w:val="clear" w:color="auto" w:fill="FFFFFF"/>
          <w:lang w:val="en-US" w:bidi="en-US"/>
        </w:rPr>
        <w:t xml:space="preserve">, to the extent that the total number of votes one or more holders of Series D Preferred Stock is entitled to vote (including any voting power of such holders derived from Series D Preferred Stock, shares of Common Stock or any other voting security of the Company issued and outstanding as of the date hereof or that may be issued in the future) on any matter submitted to a vote of stockholders of the Company would exceed </w:t>
      </w:r>
      <w:bookmarkStart w:id="783" w:name="XBRL_CS_c358a982ca44444b9a61dea62a86b48a"/>
      <w:r w:rsidRPr="00E459C3">
        <w:rPr>
          <w:rFonts w:ascii="Arial" w:eastAsia="Arial" w:hAnsi="Arial" w:cs="Arial"/>
          <w:color w:val="000000"/>
          <w:shd w:val="clear" w:color="auto" w:fill="FFFFFF"/>
          <w:lang w:val="en-US" w:bidi="en-US"/>
        </w:rPr>
        <w:t>36.0</w:t>
      </w:r>
      <w:bookmarkEnd w:id="783"/>
      <w:r w:rsidRPr="00E459C3">
        <w:rPr>
          <w:rFonts w:ascii="Arial" w:eastAsia="Arial" w:hAnsi="Arial" w:cs="Arial"/>
          <w:color w:val="000000"/>
          <w:shd w:val="clear" w:color="auto" w:fill="FFFFFF"/>
          <w:lang w:val="en-US" w:bidi="en-US"/>
        </w:rPr>
        <w:t xml:space="preserve">% of the total number of votes eligible to be cast on such matter, the total number of votes that holders of Series D Preferred Stock may exercise derived from the Series D Preferred Stock together with Common Shares and any other voting securities of the Company beneficially owned by such holder, shall be reduced to </w:t>
      </w:r>
      <w:bookmarkStart w:id="784" w:name="XBRL_CS_0efde23e8188465f88fa88683b5ad3e0"/>
      <w:r w:rsidRPr="00E459C3">
        <w:rPr>
          <w:rFonts w:ascii="Arial" w:eastAsia="Arial" w:hAnsi="Arial" w:cs="Arial"/>
          <w:color w:val="000000"/>
          <w:shd w:val="clear" w:color="auto" w:fill="FFFFFF"/>
          <w:lang w:val="en-US" w:bidi="en-US"/>
        </w:rPr>
        <w:t>36</w:t>
      </w:r>
      <w:bookmarkEnd w:id="784"/>
      <w:r w:rsidRPr="00E459C3">
        <w:rPr>
          <w:rFonts w:ascii="Arial" w:eastAsia="Arial" w:hAnsi="Arial" w:cs="Arial"/>
          <w:color w:val="000000"/>
          <w:shd w:val="clear" w:color="auto" w:fill="FFFFFF"/>
          <w:lang w:val="en-US" w:bidi="en-US"/>
        </w:rPr>
        <w:t>% of the total number of votes that may be cast on such matter submitted to a vote of stockholders.</w:t>
      </w:r>
    </w:p>
    <w:p w14:paraId="71F3F886" w14:textId="77777777" w:rsidR="00631882" w:rsidRPr="00AD5483" w:rsidRDefault="00631882" w:rsidP="00346838">
      <w:pPr>
        <w:pBdr>
          <w:top w:val="nil"/>
          <w:left w:val="nil"/>
          <w:bottom w:val="nil"/>
          <w:right w:val="nil"/>
          <w:between w:val="nil"/>
          <w:bar w:val="nil"/>
        </w:pBdr>
        <w:jc w:val="both"/>
        <w:rPr>
          <w:rFonts w:ascii="Arial" w:eastAsia="Arial" w:hAnsi="Arial" w:cs="Arial"/>
          <w:bdr w:val="nil"/>
          <w:lang w:val="en-US"/>
        </w:rPr>
      </w:pPr>
    </w:p>
    <w:p w14:paraId="71F3F887" w14:textId="77777777" w:rsidR="00C821EC" w:rsidRPr="008058CD" w:rsidRDefault="003A4815" w:rsidP="00CD2038">
      <w:pPr>
        <w:pBdr>
          <w:top w:val="nil"/>
          <w:left w:val="nil"/>
          <w:bottom w:val="nil"/>
          <w:right w:val="nil"/>
          <w:between w:val="nil"/>
          <w:bar w:val="nil"/>
        </w:pBdr>
        <w:jc w:val="both"/>
        <w:rPr>
          <w:rFonts w:ascii="Arial" w:eastAsia="Arial" w:hAnsi="Arial" w:cs="Arial"/>
          <w:b/>
          <w:i/>
          <w:bdr w:val="nil"/>
          <w:lang w:val="en-US"/>
        </w:rPr>
      </w:pPr>
      <w:r>
        <w:rPr>
          <w:rFonts w:ascii="Arial" w:eastAsia="Arial" w:hAnsi="Arial" w:cs="Arial"/>
          <w:b/>
          <w:i/>
          <w:lang w:val="en-US" w:bidi="en-US"/>
        </w:rPr>
        <w:t>e)</w:t>
      </w:r>
      <w:r>
        <w:rPr>
          <w:rFonts w:ascii="Arial" w:eastAsia="Arial" w:hAnsi="Arial" w:cs="Arial"/>
          <w:b/>
          <w:i/>
          <w:lang w:val="en-US" w:bidi="en-US"/>
        </w:rPr>
        <w:tab/>
        <w:t xml:space="preserve">Issuance </w:t>
      </w:r>
      <w:r w:rsidR="002A21BD" w:rsidRPr="002A21BD">
        <w:rPr>
          <w:rFonts w:ascii="Arial" w:eastAsia="Arial" w:hAnsi="Arial" w:cs="Arial"/>
          <w:b/>
          <w:i/>
          <w:lang w:val="en-US" w:bidi="en-US"/>
        </w:rPr>
        <w:t xml:space="preserve">and Repurchase </w:t>
      </w:r>
      <w:r>
        <w:rPr>
          <w:rFonts w:ascii="Arial" w:eastAsia="Arial" w:hAnsi="Arial" w:cs="Arial"/>
          <w:b/>
          <w:i/>
          <w:lang w:val="en-US" w:bidi="en-US"/>
        </w:rPr>
        <w:t xml:space="preserve">of Common Shares: </w:t>
      </w:r>
      <w:r w:rsidR="00D36A26" w:rsidRPr="00D36A26">
        <w:rPr>
          <w:rFonts w:ascii="Arial" w:eastAsia="Arial" w:hAnsi="Arial" w:cs="Arial"/>
          <w:lang w:val="en-US" w:bidi="en-US"/>
        </w:rPr>
        <w:t xml:space="preserve">In 2023, the Company issued </w:t>
      </w:r>
      <w:bookmarkStart w:id="785" w:name="XBRL_CS_c336fc542d32435eb5e59c1edf8a7f79"/>
      <w:r w:rsidR="00D36A26" w:rsidRPr="00D36A26">
        <w:rPr>
          <w:rFonts w:ascii="Arial" w:eastAsia="Arial" w:hAnsi="Arial" w:cs="Arial"/>
          <w:lang w:val="en-US" w:bidi="en-US"/>
        </w:rPr>
        <w:t>2,033,613</w:t>
      </w:r>
      <w:bookmarkEnd w:id="785"/>
      <w:r w:rsidR="00D36A26" w:rsidRPr="00D36A26">
        <w:rPr>
          <w:rFonts w:ascii="Arial" w:eastAsia="Arial" w:hAnsi="Arial" w:cs="Arial"/>
          <w:lang w:val="en-US" w:bidi="en-US"/>
        </w:rPr>
        <w:t xml:space="preserve"> shares of common stock, at $</w:t>
      </w:r>
      <w:bookmarkStart w:id="786" w:name="XBRL_CS_30a2285efc29461ab6b5c856866da5ba"/>
      <w:r w:rsidR="00D36A26" w:rsidRPr="00D36A26">
        <w:rPr>
          <w:rFonts w:ascii="Arial" w:eastAsia="Arial" w:hAnsi="Arial" w:cs="Arial"/>
          <w:lang w:val="en-US" w:bidi="en-US"/>
        </w:rPr>
        <w:t>3.84</w:t>
      </w:r>
      <w:bookmarkEnd w:id="786"/>
      <w:r w:rsidR="00D36A26" w:rsidRPr="00D36A26">
        <w:rPr>
          <w:rFonts w:ascii="Arial" w:eastAsia="Arial" w:hAnsi="Arial" w:cs="Arial"/>
          <w:lang w:val="en-US" w:bidi="en-US"/>
        </w:rPr>
        <w:t xml:space="preserve">, for the acquisition of one vessel, upon exercise of a warrant issued to the vessel’s sellers. The Company did </w:t>
      </w:r>
      <w:bookmarkStart w:id="787" w:name="XBRL_CS_b4ee3b402e124c9c8f2f1a613052c31c"/>
      <w:r w:rsidR="00D36A26" w:rsidRPr="00D36A26">
        <w:rPr>
          <w:rFonts w:ascii="Arial" w:eastAsia="Arial" w:hAnsi="Arial" w:cs="Arial"/>
          <w:lang w:val="en-US" w:bidi="en-US"/>
        </w:rPr>
        <w:t>no</w:t>
      </w:r>
      <w:bookmarkEnd w:id="787"/>
      <w:r w:rsidR="00D36A26" w:rsidRPr="00D36A26">
        <w:rPr>
          <w:rFonts w:ascii="Arial" w:eastAsia="Arial" w:hAnsi="Arial" w:cs="Arial"/>
          <w:lang w:val="en-US" w:bidi="en-US"/>
        </w:rPr>
        <w:t xml:space="preserve">t receive any proceeds from the exercise of the warrants in 2023, and the value of the shares issued was included in vessels, net. </w:t>
      </w:r>
      <w:r w:rsidRPr="00FE3546">
        <w:rPr>
          <w:rFonts w:ascii="Arial" w:eastAsia="Arial" w:hAnsi="Arial" w:cs="Arial"/>
          <w:lang w:val="en-US" w:bidi="en-US"/>
        </w:rPr>
        <w:t xml:space="preserve">On December 2, 2024, the Company commenced a tender offer to purchase up to </w:t>
      </w:r>
      <w:bookmarkStart w:id="788" w:name="XBRL_CS_3a001154b407420d8a6641440870b05b"/>
      <w:r w:rsidRPr="00FE3546">
        <w:rPr>
          <w:rFonts w:ascii="Arial" w:eastAsia="Arial" w:hAnsi="Arial" w:cs="Arial"/>
          <w:lang w:val="en-US" w:bidi="en-US"/>
        </w:rPr>
        <w:t>15,000,000</w:t>
      </w:r>
      <w:bookmarkEnd w:id="788"/>
      <w:r w:rsidRPr="00FE3546">
        <w:rPr>
          <w:rFonts w:ascii="Arial" w:eastAsia="Arial" w:hAnsi="Arial" w:cs="Arial"/>
          <w:lang w:val="en-US" w:bidi="en-US"/>
        </w:rPr>
        <w:t xml:space="preserve"> shares</w:t>
      </w:r>
      <w:r>
        <w:rPr>
          <w:rFonts w:ascii="Arial" w:eastAsia="Arial" w:hAnsi="Arial" w:cs="Arial"/>
          <w:color w:val="000000"/>
          <w:bdr w:val="none" w:sz="0" w:space="0" w:color="auto" w:frame="1"/>
          <w:lang w:val="en-GB"/>
        </w:rPr>
        <w:t xml:space="preserve"> of </w:t>
      </w:r>
      <w:r w:rsidRPr="00C821EC">
        <w:rPr>
          <w:rFonts w:ascii="Arial" w:eastAsia="Arial" w:hAnsi="Arial" w:cs="Arial"/>
          <w:color w:val="000000"/>
          <w:bdr w:val="none" w:sz="0" w:space="0" w:color="auto" w:frame="1"/>
          <w:lang w:val="en-GB"/>
        </w:rPr>
        <w:t>its outstanding common stock</w:t>
      </w:r>
      <w:r>
        <w:rPr>
          <w:rFonts w:ascii="Arial" w:eastAsia="Arial" w:hAnsi="Arial" w:cs="Arial"/>
          <w:color w:val="000000"/>
          <w:bdr w:val="none" w:sz="0" w:space="0" w:color="auto" w:frame="1"/>
          <w:lang w:val="en-GB"/>
        </w:rPr>
        <w:t xml:space="preserve">, </w:t>
      </w:r>
      <w:r w:rsidRPr="00C821EC">
        <w:rPr>
          <w:rFonts w:ascii="Arial" w:eastAsia="Arial" w:hAnsi="Arial" w:cs="Arial"/>
          <w:color w:val="000000"/>
          <w:bdr w:val="none" w:sz="0" w:space="0" w:color="auto" w:frame="1"/>
          <w:lang w:val="en-GB"/>
        </w:rPr>
        <w:t>at $</w:t>
      </w:r>
      <w:bookmarkStart w:id="789" w:name="XBRL_CS_35aa53dafb194615ac0d82b9cfe726be"/>
      <w:r w:rsidRPr="00C821EC">
        <w:rPr>
          <w:rFonts w:ascii="Arial" w:eastAsia="Arial" w:hAnsi="Arial" w:cs="Arial"/>
          <w:color w:val="000000"/>
          <w:bdr w:val="none" w:sz="0" w:space="0" w:color="auto" w:frame="1"/>
          <w:lang w:val="en-GB"/>
        </w:rPr>
        <w:t>2.00</w:t>
      </w:r>
      <w:bookmarkEnd w:id="789"/>
      <w:r w:rsidRPr="00C821EC">
        <w:rPr>
          <w:rFonts w:ascii="Arial" w:eastAsia="Arial" w:hAnsi="Arial" w:cs="Arial"/>
          <w:color w:val="000000"/>
          <w:bdr w:val="none" w:sz="0" w:space="0" w:color="auto" w:frame="1"/>
          <w:lang w:val="en-GB"/>
        </w:rPr>
        <w:t xml:space="preserve"> per share</w:t>
      </w:r>
      <w:r>
        <w:rPr>
          <w:rFonts w:ascii="Arial" w:eastAsia="Arial" w:hAnsi="Arial" w:cs="Arial"/>
          <w:color w:val="000000"/>
          <w:bdr w:val="none" w:sz="0" w:space="0" w:color="auto" w:frame="1"/>
          <w:lang w:val="en-GB"/>
        </w:rPr>
        <w:t>,</w:t>
      </w:r>
      <w:r w:rsidRPr="00C821EC">
        <w:rPr>
          <w:rFonts w:ascii="Arial" w:eastAsia="Arial" w:hAnsi="Arial" w:cs="Arial"/>
          <w:color w:val="000000"/>
          <w:bdr w:val="none" w:sz="0" w:space="0" w:color="auto" w:frame="1"/>
          <w:lang w:val="en-GB"/>
        </w:rPr>
        <w:t xml:space="preserve"> using funds available from cash and cash equivalents.</w:t>
      </w:r>
      <w:r w:rsidR="008058CD">
        <w:rPr>
          <w:rFonts w:ascii="Arial" w:eastAsia="Arial" w:hAnsi="Arial" w:cs="Arial"/>
          <w:color w:val="000000"/>
          <w:bdr w:val="none" w:sz="0" w:space="0" w:color="auto" w:frame="1"/>
          <w:lang w:val="en-GB"/>
        </w:rPr>
        <w:t xml:space="preserve"> </w:t>
      </w:r>
      <w:r w:rsidR="008058CD" w:rsidRPr="008058CD">
        <w:rPr>
          <w:rFonts w:ascii="Arial" w:eastAsia="Arial" w:hAnsi="Arial" w:cs="Arial"/>
          <w:color w:val="000000"/>
          <w:bdr w:val="none" w:sz="0" w:space="0" w:color="auto" w:frame="1"/>
          <w:lang w:val="en-GB"/>
        </w:rPr>
        <w:t xml:space="preserve">On January 7, 2025, the tender offer was settled and the Company </w:t>
      </w:r>
      <w:r>
        <w:rPr>
          <w:rFonts w:ascii="Arial" w:eastAsia="Arial" w:hAnsi="Arial" w:cs="Arial"/>
          <w:color w:val="000000"/>
          <w:bdr w:val="none" w:sz="0" w:space="0" w:color="auto" w:frame="1"/>
          <w:lang w:val="en-GB"/>
        </w:rPr>
        <w:t>re</w:t>
      </w:r>
      <w:r w:rsidR="008058CD" w:rsidRPr="008058CD">
        <w:rPr>
          <w:rFonts w:ascii="Arial" w:eastAsia="Arial" w:hAnsi="Arial" w:cs="Arial"/>
          <w:color w:val="000000"/>
          <w:bdr w:val="none" w:sz="0" w:space="0" w:color="auto" w:frame="1"/>
          <w:lang w:val="en-GB"/>
        </w:rPr>
        <w:t>purchased</w:t>
      </w:r>
      <w:r>
        <w:rPr>
          <w:rFonts w:ascii="Arial" w:eastAsia="Arial" w:hAnsi="Arial" w:cs="Arial"/>
          <w:color w:val="000000"/>
          <w:bdr w:val="none" w:sz="0" w:space="0" w:color="auto" w:frame="1"/>
          <w:lang w:val="en-GB"/>
        </w:rPr>
        <w:t xml:space="preserve"> and retired</w:t>
      </w:r>
      <w:r w:rsidR="008058CD" w:rsidRPr="008058CD">
        <w:rPr>
          <w:rFonts w:ascii="Arial" w:eastAsia="Arial" w:hAnsi="Arial" w:cs="Arial"/>
          <w:color w:val="000000"/>
          <w:bdr w:val="none" w:sz="0" w:space="0" w:color="auto" w:frame="1"/>
          <w:lang w:val="en-GB"/>
        </w:rPr>
        <w:t xml:space="preserve"> a total of </w:t>
      </w:r>
      <w:bookmarkStart w:id="790" w:name="XBRL_CS_f20f7355ab264615a8f36a6edf5e30f8"/>
      <w:r w:rsidR="008058CD" w:rsidRPr="008058CD">
        <w:rPr>
          <w:rFonts w:ascii="Arial" w:eastAsia="Arial" w:hAnsi="Arial" w:cs="Arial"/>
          <w:color w:val="000000"/>
          <w:bdr w:val="none" w:sz="0" w:space="0" w:color="auto" w:frame="1"/>
          <w:lang w:val="en-GB"/>
        </w:rPr>
        <w:t>11,442,645</w:t>
      </w:r>
      <w:bookmarkEnd w:id="790"/>
      <w:r w:rsidR="008058CD" w:rsidRPr="008058CD">
        <w:rPr>
          <w:rFonts w:ascii="Arial" w:eastAsia="Arial" w:hAnsi="Arial" w:cs="Arial"/>
          <w:color w:val="000000"/>
          <w:bdr w:val="none" w:sz="0" w:space="0" w:color="auto" w:frame="1"/>
          <w:lang w:val="en-GB"/>
        </w:rPr>
        <w:t xml:space="preserve"> shares of common stock for an aggregate amount of $</w:t>
      </w:r>
      <w:bookmarkStart w:id="791" w:name="XBRL_CS_d1150b6d62d949298ac8b123864c8010"/>
      <w:r w:rsidR="008058CD" w:rsidRPr="008058CD">
        <w:rPr>
          <w:rFonts w:ascii="Arial" w:eastAsia="Arial" w:hAnsi="Arial" w:cs="Arial"/>
          <w:color w:val="000000"/>
          <w:bdr w:val="none" w:sz="0" w:space="0" w:color="auto" w:frame="1"/>
          <w:lang w:val="en-GB"/>
        </w:rPr>
        <w:t>2</w:t>
      </w:r>
      <w:r>
        <w:rPr>
          <w:rFonts w:ascii="Arial" w:eastAsia="Arial" w:hAnsi="Arial" w:cs="Arial"/>
          <w:color w:val="000000"/>
          <w:bdr w:val="none" w:sz="0" w:space="0" w:color="auto" w:frame="1"/>
          <w:lang w:val="en-GB"/>
        </w:rPr>
        <w:t>3</w:t>
      </w:r>
      <w:r w:rsidR="008058CD" w:rsidRPr="008058CD">
        <w:rPr>
          <w:rFonts w:ascii="Arial" w:eastAsia="Arial" w:hAnsi="Arial" w:cs="Arial"/>
          <w:color w:val="000000"/>
          <w:bdr w:val="none" w:sz="0" w:space="0" w:color="auto" w:frame="1"/>
          <w:lang w:val="en-GB"/>
        </w:rPr>
        <w:t>,</w:t>
      </w:r>
      <w:r>
        <w:rPr>
          <w:rFonts w:ascii="Arial" w:eastAsia="Arial" w:hAnsi="Arial" w:cs="Arial"/>
          <w:color w:val="000000"/>
          <w:bdr w:val="none" w:sz="0" w:space="0" w:color="auto" w:frame="1"/>
          <w:lang w:val="en-GB"/>
        </w:rPr>
        <w:t>048</w:t>
      </w:r>
      <w:bookmarkEnd w:id="791"/>
      <w:r w:rsidR="008058CD">
        <w:rPr>
          <w:rFonts w:ascii="Arial" w:eastAsia="Arial" w:hAnsi="Arial" w:cs="Arial"/>
          <w:color w:val="000000"/>
          <w:bdr w:val="none" w:sz="0" w:space="0" w:color="auto" w:frame="1"/>
          <w:lang w:val="en-GB"/>
        </w:rPr>
        <w:t>.</w:t>
      </w:r>
    </w:p>
    <w:p w14:paraId="71F3F888" w14:textId="77777777" w:rsidR="0021059B" w:rsidRPr="008058CD" w:rsidRDefault="0021059B" w:rsidP="00346838">
      <w:pPr>
        <w:pBdr>
          <w:top w:val="nil"/>
          <w:left w:val="nil"/>
          <w:bottom w:val="nil"/>
          <w:right w:val="nil"/>
          <w:between w:val="nil"/>
          <w:bar w:val="nil"/>
        </w:pBdr>
        <w:jc w:val="both"/>
        <w:rPr>
          <w:rFonts w:ascii="Arial" w:eastAsia="Arial" w:hAnsi="Arial" w:cs="Arial"/>
          <w:color w:val="000000"/>
          <w:bdr w:val="nil"/>
          <w:lang w:val="en-GB"/>
        </w:rPr>
      </w:pPr>
    </w:p>
    <w:p w14:paraId="71F3F889" w14:textId="77777777" w:rsidR="00E63721" w:rsidRPr="00E63721" w:rsidRDefault="003A4815" w:rsidP="00E63721">
      <w:pPr>
        <w:pBdr>
          <w:top w:val="nil"/>
          <w:left w:val="nil"/>
          <w:bottom w:val="nil"/>
          <w:right w:val="nil"/>
          <w:between w:val="nil"/>
          <w:bar w:val="nil"/>
        </w:pBdr>
        <w:jc w:val="both"/>
        <w:rPr>
          <w:rFonts w:ascii="Arial" w:eastAsia="Arial" w:hAnsi="Arial" w:cs="Arial"/>
          <w:b/>
          <w:i/>
          <w:bdr w:val="nil"/>
          <w:lang w:val="en-US"/>
        </w:rPr>
      </w:pPr>
      <w:r w:rsidRPr="00346838">
        <w:rPr>
          <w:rFonts w:ascii="Arial" w:eastAsia="Arial" w:hAnsi="Arial" w:cs="Arial"/>
          <w:b/>
          <w:i/>
          <w:bdr w:val="none" w:sz="0" w:space="0" w:color="auto" w:frame="1"/>
          <w:lang w:val="en-US" w:bidi="en-US"/>
        </w:rPr>
        <w:t>f)</w:t>
      </w:r>
      <w:r w:rsidRPr="00346838">
        <w:rPr>
          <w:rFonts w:ascii="Arial" w:eastAsia="Arial" w:hAnsi="Arial" w:cs="Arial"/>
          <w:b/>
          <w:i/>
          <w:bdr w:val="none" w:sz="0" w:space="0" w:color="auto" w:frame="1"/>
          <w:lang w:val="en-US" w:bidi="en-US"/>
        </w:rPr>
        <w:tab/>
        <w:t xml:space="preserve">Dividend on Common </w:t>
      </w:r>
      <w:r w:rsidR="00172DD7" w:rsidRPr="00346838">
        <w:rPr>
          <w:rFonts w:ascii="Arial" w:eastAsia="Arial" w:hAnsi="Arial" w:cs="Arial"/>
          <w:b/>
          <w:i/>
          <w:bdr w:val="none" w:sz="0" w:space="0" w:color="auto" w:frame="1"/>
          <w:lang w:val="en-US" w:bidi="en-US"/>
        </w:rPr>
        <w:t>Stock</w:t>
      </w:r>
      <w:r w:rsidR="00A2108C">
        <w:rPr>
          <w:rFonts w:ascii="Arial" w:eastAsia="Arial" w:hAnsi="Arial" w:cs="Arial"/>
          <w:b/>
          <w:i/>
          <w:bdr w:val="none" w:sz="0" w:space="0" w:color="auto" w:frame="1"/>
          <w:lang w:val="en-US" w:bidi="en-US"/>
        </w:rPr>
        <w:t>:</w:t>
      </w:r>
      <w:r w:rsidR="00031EB7" w:rsidRPr="00031EB7">
        <w:rPr>
          <w:rFonts w:ascii="Arial" w:eastAsia="Arial" w:hAnsi="Arial" w:cs="Arial"/>
          <w:szCs w:val="24"/>
          <w:lang w:val="en-GB" w:bidi="en-US"/>
        </w:rPr>
        <w:t xml:space="preserve"> </w:t>
      </w:r>
      <w:r w:rsidRPr="00E63721">
        <w:rPr>
          <w:rFonts w:ascii="Arial" w:eastAsia="Arial" w:hAnsi="Arial" w:cs="Arial"/>
          <w:szCs w:val="24"/>
          <w:lang w:val="en-US" w:bidi="en-US"/>
        </w:rPr>
        <w:t>On March 20, 2023, the Company paid a dividend of $</w:t>
      </w:r>
      <w:bookmarkStart w:id="792" w:name="XBRL_CS_957bd1e88e724e519e89875ccb47672b"/>
      <w:r w:rsidRPr="00E63721">
        <w:rPr>
          <w:rFonts w:ascii="Arial" w:eastAsia="Arial" w:hAnsi="Arial" w:cs="Arial"/>
          <w:szCs w:val="24"/>
          <w:lang w:val="en-US" w:bidi="en-US"/>
        </w:rPr>
        <w:t>0.15</w:t>
      </w:r>
      <w:bookmarkEnd w:id="792"/>
      <w:r w:rsidRPr="00E63721">
        <w:rPr>
          <w:rFonts w:ascii="Arial" w:eastAsia="Arial" w:hAnsi="Arial" w:cs="Arial"/>
          <w:szCs w:val="24"/>
          <w:lang w:val="en-US" w:bidi="en-US"/>
        </w:rPr>
        <w:t xml:space="preserve"> per share, or $</w:t>
      </w:r>
      <w:bookmarkStart w:id="793" w:name="XBRL_CS_cf4a4adae4e74ecd9ae1aa4e9feee917"/>
      <w:r w:rsidRPr="00E63721">
        <w:rPr>
          <w:rFonts w:ascii="Arial" w:eastAsia="Arial" w:hAnsi="Arial" w:cs="Arial"/>
          <w:szCs w:val="24"/>
          <w:lang w:val="en-US" w:bidi="en-US"/>
        </w:rPr>
        <w:t>15,965</w:t>
      </w:r>
      <w:bookmarkEnd w:id="793"/>
      <w:r w:rsidRPr="00E63721">
        <w:rPr>
          <w:rFonts w:ascii="Arial" w:eastAsia="Arial" w:hAnsi="Arial" w:cs="Arial"/>
          <w:szCs w:val="24"/>
          <w:lang w:val="en-US" w:bidi="en-US"/>
        </w:rPr>
        <w:t>, to its shareholders of record as of March 13, 2023. On July 10, 2023, the Company distributed a dividend of $</w:t>
      </w:r>
      <w:bookmarkStart w:id="794" w:name="XBRL_CS_a61f849b3d4f4c8bbc1a1b3a6bf41676"/>
      <w:r w:rsidRPr="00E63721">
        <w:rPr>
          <w:rFonts w:ascii="Arial" w:eastAsia="Arial" w:hAnsi="Arial" w:cs="Arial"/>
          <w:szCs w:val="24"/>
          <w:lang w:val="en-US" w:bidi="en-US"/>
        </w:rPr>
        <w:t>0.15</w:t>
      </w:r>
      <w:bookmarkEnd w:id="794"/>
      <w:r w:rsidRPr="00E63721">
        <w:rPr>
          <w:rFonts w:ascii="Arial" w:eastAsia="Arial" w:hAnsi="Arial" w:cs="Arial"/>
          <w:szCs w:val="24"/>
          <w:lang w:val="en-US" w:bidi="en-US"/>
        </w:rPr>
        <w:t xml:space="preserve"> per share to all shareholders of record as of June 12, 2023, and paid $</w:t>
      </w:r>
      <w:bookmarkStart w:id="795" w:name="XBRL_CS_92a2d5867d824731bb6c45eb65dc0bbd"/>
      <w:r w:rsidRPr="00E63721">
        <w:rPr>
          <w:rFonts w:ascii="Arial" w:eastAsia="Arial" w:hAnsi="Arial" w:cs="Arial"/>
          <w:szCs w:val="24"/>
          <w:lang w:val="en-US" w:bidi="en-US"/>
        </w:rPr>
        <w:t>12,424</w:t>
      </w:r>
      <w:bookmarkEnd w:id="795"/>
      <w:r w:rsidRPr="00E63721">
        <w:rPr>
          <w:rFonts w:ascii="Arial" w:eastAsia="Arial" w:hAnsi="Arial" w:cs="Arial"/>
          <w:szCs w:val="24"/>
          <w:lang w:val="en-US" w:bidi="en-US"/>
        </w:rPr>
        <w:t xml:space="preserve"> in cash to its shareholders who elected to receive cash and distributed </w:t>
      </w:r>
      <w:bookmarkStart w:id="796" w:name="XBRL_CS_d5f5be79eab04166b773daa06bb70c54"/>
      <w:r w:rsidRPr="00E63721">
        <w:rPr>
          <w:rFonts w:ascii="Arial" w:eastAsia="Arial" w:hAnsi="Arial" w:cs="Arial"/>
          <w:szCs w:val="24"/>
          <w:lang w:val="en-US" w:bidi="en-US"/>
        </w:rPr>
        <w:t>965,044</w:t>
      </w:r>
      <w:bookmarkEnd w:id="796"/>
      <w:r w:rsidRPr="00E63721">
        <w:rPr>
          <w:rFonts w:ascii="Arial" w:eastAsia="Arial" w:hAnsi="Arial" w:cs="Arial"/>
          <w:szCs w:val="24"/>
          <w:lang w:val="en-US" w:bidi="en-US"/>
        </w:rPr>
        <w:t xml:space="preserve"> newly issued common shares to its shareholders who elected to receive shares. On September 8, 2023, the Company distributed a dividend of $</w:t>
      </w:r>
      <w:bookmarkStart w:id="797" w:name="XBRL_CS_74e479d3bc704b92af3498df05ca8a28"/>
      <w:r w:rsidRPr="00E63721">
        <w:rPr>
          <w:rFonts w:ascii="Arial" w:eastAsia="Arial" w:hAnsi="Arial" w:cs="Arial"/>
          <w:szCs w:val="24"/>
          <w:lang w:val="en-US" w:bidi="en-US"/>
        </w:rPr>
        <w:t>0.15</w:t>
      </w:r>
      <w:bookmarkEnd w:id="797"/>
      <w:r w:rsidRPr="00E63721">
        <w:rPr>
          <w:rFonts w:ascii="Arial" w:eastAsia="Arial" w:hAnsi="Arial" w:cs="Arial"/>
          <w:szCs w:val="24"/>
          <w:lang w:val="en-US" w:bidi="en-US"/>
        </w:rPr>
        <w:t xml:space="preserve"> per share to all shareholders of record as of August 14, 2023, and paid $</w:t>
      </w:r>
      <w:bookmarkStart w:id="798" w:name="XBRL_CS_dcf50be09d504887a5f570806334546a"/>
      <w:r w:rsidRPr="00E63721">
        <w:rPr>
          <w:rFonts w:ascii="Arial" w:eastAsia="Arial" w:hAnsi="Arial" w:cs="Arial"/>
          <w:szCs w:val="24"/>
          <w:lang w:val="en-US" w:bidi="en-US"/>
        </w:rPr>
        <w:t>13,041</w:t>
      </w:r>
      <w:bookmarkEnd w:id="798"/>
      <w:r w:rsidRPr="00E63721">
        <w:rPr>
          <w:rFonts w:ascii="Arial" w:eastAsia="Arial" w:hAnsi="Arial" w:cs="Arial"/>
          <w:szCs w:val="24"/>
          <w:lang w:val="en-US" w:bidi="en-US"/>
        </w:rPr>
        <w:t xml:space="preserve"> in cash to its shareholders who elected to receive cash and distributed </w:t>
      </w:r>
      <w:bookmarkStart w:id="799" w:name="XBRL_CS_664e4da1cf5447afa317e79befa8509a"/>
      <w:r w:rsidRPr="00E63721">
        <w:rPr>
          <w:rFonts w:ascii="Arial" w:eastAsia="Arial" w:hAnsi="Arial" w:cs="Arial"/>
          <w:szCs w:val="24"/>
          <w:lang w:val="en-US" w:bidi="en-US"/>
        </w:rPr>
        <w:t>831,672</w:t>
      </w:r>
      <w:bookmarkEnd w:id="799"/>
      <w:r w:rsidRPr="00E63721">
        <w:rPr>
          <w:rFonts w:ascii="Arial" w:eastAsia="Arial" w:hAnsi="Arial" w:cs="Arial"/>
          <w:szCs w:val="24"/>
          <w:lang w:val="en-US" w:bidi="en-US"/>
        </w:rPr>
        <w:t xml:space="preserve"> newly issued common shares to its shareholders who elected to receive shares. </w:t>
      </w:r>
      <w:bookmarkStart w:id="800" w:name="_Hlk160815911"/>
      <w:r w:rsidRPr="00E63721">
        <w:rPr>
          <w:rFonts w:ascii="Arial" w:eastAsia="Arial" w:hAnsi="Arial" w:cs="Arial"/>
          <w:szCs w:val="24"/>
          <w:lang w:val="en-US" w:bidi="en-US"/>
        </w:rPr>
        <w:t>On December 4, 2023, the Company distributed a dividend of $</w:t>
      </w:r>
      <w:bookmarkStart w:id="801" w:name="XBRL_CS_145087f932de42ef95a1f3b9ad596dd0"/>
      <w:r w:rsidRPr="00E63721">
        <w:rPr>
          <w:rFonts w:ascii="Arial" w:eastAsia="Arial" w:hAnsi="Arial" w:cs="Arial"/>
          <w:szCs w:val="24"/>
          <w:lang w:val="en-US" w:bidi="en-US"/>
        </w:rPr>
        <w:t>0.15</w:t>
      </w:r>
      <w:bookmarkEnd w:id="801"/>
      <w:r w:rsidRPr="00E63721">
        <w:rPr>
          <w:rFonts w:ascii="Arial" w:eastAsia="Arial" w:hAnsi="Arial" w:cs="Arial"/>
          <w:szCs w:val="24"/>
          <w:lang w:val="en-US" w:bidi="en-US"/>
        </w:rPr>
        <w:t xml:space="preserve"> per share to all shareholders of record as of November 27, 2023 in the form of common stock and distributed </w:t>
      </w:r>
      <w:bookmarkStart w:id="802" w:name="XBRL_CS_a9dd4c5ce573442a9ffe74111e14744e"/>
      <w:r w:rsidRPr="00E63721">
        <w:rPr>
          <w:rFonts w:ascii="Arial" w:eastAsia="Arial" w:hAnsi="Arial" w:cs="Arial"/>
          <w:szCs w:val="24"/>
          <w:lang w:val="en-US" w:bidi="en-US"/>
        </w:rPr>
        <w:t>4,831,777</w:t>
      </w:r>
      <w:bookmarkEnd w:id="802"/>
      <w:r w:rsidRPr="00E63721">
        <w:rPr>
          <w:rFonts w:ascii="Arial" w:eastAsia="Arial" w:hAnsi="Arial" w:cs="Arial"/>
          <w:szCs w:val="24"/>
          <w:lang w:val="en-US" w:bidi="en-US"/>
        </w:rPr>
        <w:t xml:space="preserve"> newly issued common shares</w:t>
      </w:r>
      <w:bookmarkEnd w:id="800"/>
      <w:r w:rsidRPr="00E63721">
        <w:rPr>
          <w:rFonts w:ascii="Arial" w:eastAsia="Arial" w:hAnsi="Arial" w:cs="Arial"/>
          <w:szCs w:val="24"/>
          <w:lang w:val="en-US" w:bidi="en-US"/>
        </w:rPr>
        <w:t>.</w:t>
      </w:r>
    </w:p>
    <w:p w14:paraId="71F3F88A" w14:textId="77777777" w:rsidR="00E63721" w:rsidRPr="00E63721" w:rsidRDefault="00E63721" w:rsidP="00E63721">
      <w:pPr>
        <w:pBdr>
          <w:top w:val="nil"/>
          <w:left w:val="nil"/>
          <w:bottom w:val="nil"/>
          <w:right w:val="nil"/>
          <w:between w:val="nil"/>
          <w:bar w:val="nil"/>
        </w:pBdr>
        <w:jc w:val="both"/>
        <w:rPr>
          <w:rFonts w:ascii="Arial" w:eastAsia="Arial" w:hAnsi="Arial" w:cs="Arial"/>
          <w:bdr w:val="nil"/>
          <w:lang w:val="en-US"/>
        </w:rPr>
      </w:pPr>
    </w:p>
    <w:p w14:paraId="71F3F88B" w14:textId="77777777" w:rsidR="00E63721" w:rsidRPr="00E63721" w:rsidRDefault="003A4815" w:rsidP="00E63721">
      <w:pPr>
        <w:pBdr>
          <w:top w:val="nil"/>
          <w:left w:val="nil"/>
          <w:bottom w:val="nil"/>
          <w:right w:val="nil"/>
          <w:between w:val="nil"/>
          <w:bar w:val="nil"/>
        </w:pBdr>
        <w:jc w:val="both"/>
        <w:rPr>
          <w:rFonts w:ascii="Arial" w:eastAsia="Arial" w:hAnsi="Arial" w:cs="Arial"/>
          <w:bdr w:val="nil"/>
          <w:lang w:val="en-GB"/>
        </w:rPr>
      </w:pPr>
      <w:r w:rsidRPr="00E63721">
        <w:rPr>
          <w:rFonts w:ascii="Arial" w:eastAsia="Arial" w:hAnsi="Arial" w:cs="Arial"/>
          <w:szCs w:val="24"/>
          <w:lang w:val="en-GB" w:bidi="en-US"/>
        </w:rPr>
        <w:t>On March 12, 2024, the Company paid a cash dividend on its common stock of $</w:t>
      </w:r>
      <w:bookmarkStart w:id="803" w:name="XBRL_CS_dcfdd149239846f2973f9a1a944b8d68"/>
      <w:r w:rsidRPr="00E63721">
        <w:rPr>
          <w:rFonts w:ascii="Arial" w:eastAsia="Arial" w:hAnsi="Arial" w:cs="Arial"/>
          <w:szCs w:val="24"/>
          <w:lang w:val="en-GB" w:bidi="en-US"/>
        </w:rPr>
        <w:t>0.075</w:t>
      </w:r>
      <w:bookmarkEnd w:id="803"/>
      <w:r w:rsidRPr="00E63721">
        <w:rPr>
          <w:rFonts w:ascii="Arial" w:eastAsia="Arial" w:hAnsi="Arial" w:cs="Arial"/>
          <w:szCs w:val="24"/>
          <w:lang w:val="en-GB" w:bidi="en-US"/>
        </w:rPr>
        <w:t xml:space="preserve"> per share, or $</w:t>
      </w:r>
      <w:bookmarkStart w:id="804" w:name="XBRL_CS_01becd8c1bb34b3da5112ebf2eff11c4"/>
      <w:r w:rsidRPr="00E63721">
        <w:rPr>
          <w:rFonts w:ascii="Arial" w:eastAsia="Arial" w:hAnsi="Arial" w:cs="Arial"/>
          <w:szCs w:val="24"/>
          <w:lang w:val="en-GB" w:bidi="en-US"/>
        </w:rPr>
        <w:t>8,989</w:t>
      </w:r>
      <w:bookmarkEnd w:id="804"/>
      <w:r w:rsidRPr="00E63721">
        <w:rPr>
          <w:rFonts w:ascii="Arial" w:eastAsia="Arial" w:hAnsi="Arial" w:cs="Arial"/>
          <w:szCs w:val="24"/>
          <w:lang w:val="en-GB" w:bidi="en-US"/>
        </w:rPr>
        <w:t xml:space="preserve"> to shareholders of record as of March 5, 2024. On June 18, 2024, the Company paid a cash dividend on its common stock of $</w:t>
      </w:r>
      <w:bookmarkStart w:id="805" w:name="XBRL_CS_9c2cf2125a6b4e40a2324671d1cd92c9"/>
      <w:r w:rsidRPr="00E63721">
        <w:rPr>
          <w:rFonts w:ascii="Arial" w:eastAsia="Arial" w:hAnsi="Arial" w:cs="Arial"/>
          <w:szCs w:val="24"/>
          <w:lang w:val="en-GB" w:bidi="en-US"/>
        </w:rPr>
        <w:t>0.075</w:t>
      </w:r>
      <w:bookmarkEnd w:id="805"/>
      <w:r w:rsidRPr="00E63721">
        <w:rPr>
          <w:rFonts w:ascii="Arial" w:eastAsia="Arial" w:hAnsi="Arial" w:cs="Arial"/>
          <w:szCs w:val="24"/>
          <w:lang w:val="en-GB" w:bidi="en-US"/>
        </w:rPr>
        <w:t xml:space="preserve"> per share, or $</w:t>
      </w:r>
      <w:bookmarkStart w:id="806" w:name="XBRL_CS_db7ce859ea344254bbf07b0e60ab6545"/>
      <w:r w:rsidRPr="00E63721">
        <w:rPr>
          <w:rFonts w:ascii="Arial" w:eastAsia="Arial" w:hAnsi="Arial" w:cs="Arial"/>
          <w:szCs w:val="24"/>
          <w:lang w:val="en-GB" w:bidi="en-US"/>
        </w:rPr>
        <w:t>9,379</w:t>
      </w:r>
      <w:bookmarkEnd w:id="806"/>
      <w:r w:rsidRPr="00E63721">
        <w:rPr>
          <w:rFonts w:ascii="Arial" w:eastAsia="Arial" w:hAnsi="Arial" w:cs="Arial"/>
          <w:szCs w:val="24"/>
          <w:lang w:val="en-GB" w:bidi="en-US"/>
        </w:rPr>
        <w:t>, to shareholders of record as of June 12, 2024. On August 30, 2024, the Company paid a cash dividend on its common stock of $</w:t>
      </w:r>
      <w:bookmarkStart w:id="807" w:name="XBRL_CS_09cbc7e354cd40f4ac9d591b0ade99f5"/>
      <w:r w:rsidRPr="00E63721">
        <w:rPr>
          <w:rFonts w:ascii="Arial" w:eastAsia="Arial" w:hAnsi="Arial" w:cs="Arial"/>
          <w:szCs w:val="24"/>
          <w:lang w:val="en-GB" w:bidi="en-US"/>
        </w:rPr>
        <w:t>0.075</w:t>
      </w:r>
      <w:bookmarkEnd w:id="807"/>
      <w:r w:rsidRPr="00E63721">
        <w:rPr>
          <w:rFonts w:ascii="Arial" w:eastAsia="Arial" w:hAnsi="Arial" w:cs="Arial"/>
          <w:szCs w:val="24"/>
          <w:lang w:val="en-GB" w:bidi="en-US"/>
        </w:rPr>
        <w:t xml:space="preserve"> per share, or $</w:t>
      </w:r>
      <w:bookmarkStart w:id="808" w:name="XBRL_CS_5e132e3cdba1487c8fd71b985610815f"/>
      <w:r w:rsidRPr="00E63721">
        <w:rPr>
          <w:rFonts w:ascii="Arial" w:eastAsia="Arial" w:hAnsi="Arial" w:cs="Arial"/>
          <w:szCs w:val="24"/>
          <w:lang w:val="en-GB" w:bidi="en-US"/>
        </w:rPr>
        <w:t>9,384</w:t>
      </w:r>
      <w:bookmarkEnd w:id="808"/>
      <w:r w:rsidRPr="00E63721">
        <w:rPr>
          <w:rFonts w:ascii="Arial" w:eastAsia="Arial" w:hAnsi="Arial" w:cs="Arial"/>
          <w:szCs w:val="24"/>
          <w:lang w:val="en-GB" w:bidi="en-US"/>
        </w:rPr>
        <w:t>, to shareholders of record as of August 15, 2024. On December 18, 2024, the Company paid a cash dividend on its common stock of $</w:t>
      </w:r>
      <w:bookmarkStart w:id="809" w:name="XBRL_CS_6fd7cef1e8ad4e31864a9e26c03310a5"/>
      <w:r w:rsidRPr="00E63721">
        <w:rPr>
          <w:rFonts w:ascii="Arial" w:eastAsia="Arial" w:hAnsi="Arial" w:cs="Arial"/>
          <w:szCs w:val="24"/>
          <w:lang w:val="en-GB" w:bidi="en-US"/>
        </w:rPr>
        <w:t>0.01</w:t>
      </w:r>
      <w:bookmarkEnd w:id="809"/>
      <w:r w:rsidRPr="00E63721">
        <w:rPr>
          <w:rFonts w:ascii="Arial" w:eastAsia="Arial" w:hAnsi="Arial" w:cs="Arial"/>
          <w:szCs w:val="24"/>
          <w:lang w:val="en-GB" w:bidi="en-US"/>
        </w:rPr>
        <w:t xml:space="preserve"> per share, or $</w:t>
      </w:r>
      <w:bookmarkStart w:id="810" w:name="XBRL_CS_148e8311aa05425d9f9c56c18f5f7c82"/>
      <w:r w:rsidRPr="00E63721">
        <w:rPr>
          <w:rFonts w:ascii="Arial" w:eastAsia="Arial" w:hAnsi="Arial" w:cs="Arial"/>
          <w:szCs w:val="24"/>
          <w:lang w:val="en-GB" w:bidi="en-US"/>
        </w:rPr>
        <w:t>1,252</w:t>
      </w:r>
      <w:bookmarkEnd w:id="810"/>
      <w:r w:rsidRPr="00E63721">
        <w:rPr>
          <w:rFonts w:ascii="Arial" w:eastAsia="Arial" w:hAnsi="Arial" w:cs="Arial"/>
          <w:szCs w:val="24"/>
          <w:lang w:val="en-GB" w:bidi="en-US"/>
        </w:rPr>
        <w:t>, to shareholders of record as of December 11, 2024.</w:t>
      </w:r>
    </w:p>
    <w:p w14:paraId="71F3F88C" w14:textId="77777777" w:rsidR="00E63721" w:rsidRDefault="00E63721" w:rsidP="00A418D3">
      <w:pPr>
        <w:pBdr>
          <w:top w:val="nil"/>
          <w:left w:val="nil"/>
          <w:bottom w:val="nil"/>
          <w:right w:val="nil"/>
          <w:between w:val="nil"/>
          <w:bar w:val="nil"/>
        </w:pBdr>
        <w:jc w:val="both"/>
        <w:rPr>
          <w:rFonts w:ascii="Arial" w:eastAsia="Arial" w:hAnsi="Arial" w:cs="Arial"/>
          <w:bdr w:val="nil"/>
          <w:lang w:val="en-GB"/>
        </w:rPr>
      </w:pPr>
    </w:p>
    <w:p w14:paraId="71F3F88D" w14:textId="77777777" w:rsidR="00E63721" w:rsidRDefault="003A4815" w:rsidP="00A418D3">
      <w:pPr>
        <w:pBdr>
          <w:top w:val="nil"/>
          <w:left w:val="nil"/>
          <w:bottom w:val="nil"/>
          <w:right w:val="nil"/>
          <w:between w:val="nil"/>
          <w:bar w:val="nil"/>
        </w:pBdr>
        <w:jc w:val="both"/>
        <w:rPr>
          <w:rFonts w:ascii="Arial" w:eastAsia="Arial" w:hAnsi="Arial" w:cs="Arial"/>
          <w:bdr w:val="nil"/>
          <w:lang w:val="en-GB"/>
        </w:rPr>
      </w:pPr>
      <w:r w:rsidRPr="00E63721">
        <w:rPr>
          <w:rFonts w:ascii="Arial" w:eastAsia="Arial" w:hAnsi="Arial" w:cs="Arial"/>
          <w:szCs w:val="24"/>
          <w:lang w:val="en-GB" w:bidi="en-US"/>
        </w:rPr>
        <w:t>On March 21, 2025, the Company paid a cash dividend on its common stock of $</w:t>
      </w:r>
      <w:bookmarkStart w:id="811" w:name="XBRL_CS_bffbb800fabd4546b4516488e230d2d9"/>
      <w:r w:rsidRPr="00E63721">
        <w:rPr>
          <w:rFonts w:ascii="Arial" w:eastAsia="Arial" w:hAnsi="Arial" w:cs="Arial"/>
          <w:szCs w:val="24"/>
          <w:lang w:val="en-GB" w:bidi="en-US"/>
        </w:rPr>
        <w:t>0.01</w:t>
      </w:r>
      <w:bookmarkEnd w:id="811"/>
      <w:r w:rsidRPr="00E63721">
        <w:rPr>
          <w:rFonts w:ascii="Arial" w:eastAsia="Arial" w:hAnsi="Arial" w:cs="Arial"/>
          <w:szCs w:val="24"/>
          <w:lang w:val="en-GB" w:bidi="en-US"/>
        </w:rPr>
        <w:t xml:space="preserve"> per share, or $</w:t>
      </w:r>
      <w:bookmarkStart w:id="812" w:name="XBRL_CS_a83318b6cdf04e7399152a2ace28f16e"/>
      <w:r w:rsidRPr="00E63721">
        <w:rPr>
          <w:rFonts w:ascii="Arial" w:eastAsia="Arial" w:hAnsi="Arial" w:cs="Arial"/>
          <w:szCs w:val="24"/>
          <w:lang w:val="en-GB" w:bidi="en-US"/>
        </w:rPr>
        <w:t>1,158</w:t>
      </w:r>
      <w:bookmarkEnd w:id="812"/>
      <w:r w:rsidRPr="00E63721">
        <w:rPr>
          <w:rFonts w:ascii="Arial" w:eastAsia="Arial" w:hAnsi="Arial" w:cs="Arial"/>
          <w:szCs w:val="24"/>
          <w:lang w:val="en-GB" w:bidi="en-US"/>
        </w:rPr>
        <w:t>, to all shareholders of record as of March 12, 2025. On June 24, 2025, the Company paid a cash dividend on its common stock of $</w:t>
      </w:r>
      <w:bookmarkStart w:id="813" w:name="XBRL_CS_21b68f8d06d746e7ac625f7675588416"/>
      <w:r w:rsidRPr="00E63721">
        <w:rPr>
          <w:rFonts w:ascii="Arial" w:eastAsia="Arial" w:hAnsi="Arial" w:cs="Arial"/>
          <w:szCs w:val="24"/>
          <w:lang w:val="en-GB" w:bidi="en-US"/>
        </w:rPr>
        <w:t>0.01</w:t>
      </w:r>
      <w:bookmarkEnd w:id="813"/>
      <w:r w:rsidRPr="00E63721">
        <w:rPr>
          <w:rFonts w:ascii="Arial" w:eastAsia="Arial" w:hAnsi="Arial" w:cs="Arial"/>
          <w:szCs w:val="24"/>
          <w:lang w:val="en-GB" w:bidi="en-US"/>
        </w:rPr>
        <w:t xml:space="preserve"> per share, or $</w:t>
      </w:r>
      <w:bookmarkStart w:id="814" w:name="XBRL_CS_28c25258102e424d8b32219ee07ba670"/>
      <w:r w:rsidRPr="00E63721">
        <w:rPr>
          <w:rFonts w:ascii="Arial" w:eastAsia="Arial" w:hAnsi="Arial" w:cs="Arial"/>
          <w:szCs w:val="24"/>
          <w:lang w:val="en-GB" w:bidi="en-US"/>
        </w:rPr>
        <w:t>1,158</w:t>
      </w:r>
      <w:bookmarkEnd w:id="814"/>
      <w:r w:rsidRPr="00E63721">
        <w:rPr>
          <w:rFonts w:ascii="Arial" w:eastAsia="Arial" w:hAnsi="Arial" w:cs="Arial"/>
          <w:szCs w:val="24"/>
          <w:lang w:val="en-GB" w:bidi="en-US"/>
        </w:rPr>
        <w:t>, to all shareholders of record as of June 17, 2025. On September 11, 2025 the Company paid a cash dividend on its common stock of $</w:t>
      </w:r>
      <w:bookmarkStart w:id="815" w:name="XBRL_CS_f37a3aa6548d4a558f41ff23ddfe2ad9"/>
      <w:r w:rsidRPr="00E63721">
        <w:rPr>
          <w:rFonts w:ascii="Arial" w:eastAsia="Arial" w:hAnsi="Arial" w:cs="Arial"/>
          <w:szCs w:val="24"/>
          <w:lang w:val="en-GB" w:bidi="en-US"/>
        </w:rPr>
        <w:t>0.01</w:t>
      </w:r>
      <w:bookmarkEnd w:id="815"/>
      <w:r w:rsidRPr="00E63721">
        <w:rPr>
          <w:rFonts w:ascii="Arial" w:eastAsia="Arial" w:hAnsi="Arial" w:cs="Arial"/>
          <w:szCs w:val="24"/>
          <w:lang w:val="en-GB" w:bidi="en-US"/>
        </w:rPr>
        <w:t xml:space="preserve"> per share, or $</w:t>
      </w:r>
      <w:bookmarkStart w:id="816" w:name="XBRL_CS_d5f077c445854ab2ac99a21f2079e7e3"/>
      <w:r w:rsidRPr="00E63721">
        <w:rPr>
          <w:rFonts w:ascii="Arial" w:eastAsia="Arial" w:hAnsi="Arial" w:cs="Arial"/>
          <w:szCs w:val="24"/>
          <w:lang w:val="en-GB" w:bidi="en-US"/>
        </w:rPr>
        <w:t>1,15</w:t>
      </w:r>
      <w:r w:rsidR="003E2D0E">
        <w:rPr>
          <w:rFonts w:ascii="Arial" w:eastAsia="Arial" w:hAnsi="Arial" w:cs="Arial"/>
          <w:szCs w:val="24"/>
          <w:lang w:val="en-GB" w:bidi="en-US"/>
        </w:rPr>
        <w:t>7</w:t>
      </w:r>
      <w:bookmarkEnd w:id="816"/>
      <w:r w:rsidRPr="00E63721">
        <w:rPr>
          <w:rFonts w:ascii="Arial" w:eastAsia="Arial" w:hAnsi="Arial" w:cs="Arial"/>
          <w:szCs w:val="24"/>
          <w:lang w:val="en-GB" w:bidi="en-US"/>
        </w:rPr>
        <w:t>, to shareholders of record as of August 21, 2025.</w:t>
      </w:r>
      <w:r>
        <w:rPr>
          <w:rFonts w:ascii="Arial" w:eastAsia="Arial" w:hAnsi="Arial" w:cs="Arial"/>
          <w:szCs w:val="24"/>
          <w:lang w:val="en-GB" w:bidi="en-US"/>
        </w:rPr>
        <w:t xml:space="preserve"> </w:t>
      </w:r>
      <w:r w:rsidRPr="00E63721">
        <w:rPr>
          <w:rFonts w:ascii="Arial" w:eastAsia="Arial" w:hAnsi="Arial" w:cs="Arial"/>
          <w:szCs w:val="24"/>
          <w:lang w:val="en-GB" w:bidi="en-US"/>
        </w:rPr>
        <w:t xml:space="preserve">On </w:t>
      </w:r>
      <w:r>
        <w:rPr>
          <w:rFonts w:ascii="Arial" w:eastAsia="Arial" w:hAnsi="Arial" w:cs="Arial"/>
          <w:szCs w:val="24"/>
          <w:lang w:val="en-GB" w:bidi="en-US"/>
        </w:rPr>
        <w:t>December</w:t>
      </w:r>
      <w:r w:rsidRPr="00E63721">
        <w:rPr>
          <w:rFonts w:ascii="Arial" w:eastAsia="Arial" w:hAnsi="Arial" w:cs="Arial"/>
          <w:szCs w:val="24"/>
          <w:lang w:val="en-GB" w:bidi="en-US"/>
        </w:rPr>
        <w:t xml:space="preserve"> </w:t>
      </w:r>
      <w:r>
        <w:rPr>
          <w:rFonts w:ascii="Arial" w:eastAsia="Arial" w:hAnsi="Arial" w:cs="Arial"/>
          <w:szCs w:val="24"/>
          <w:lang w:val="en-GB" w:bidi="en-US"/>
        </w:rPr>
        <w:t>17</w:t>
      </w:r>
      <w:r w:rsidRPr="00E63721">
        <w:rPr>
          <w:rFonts w:ascii="Arial" w:eastAsia="Arial" w:hAnsi="Arial" w:cs="Arial"/>
          <w:szCs w:val="24"/>
          <w:lang w:val="en-GB" w:bidi="en-US"/>
        </w:rPr>
        <w:t>, 2025 the Company paid a cash dividend on its common stock of $</w:t>
      </w:r>
      <w:bookmarkStart w:id="817" w:name="XBRL_CS_7919ba50206c4cd98996de76fca4c805"/>
      <w:r w:rsidRPr="00E63721">
        <w:rPr>
          <w:rFonts w:ascii="Arial" w:eastAsia="Arial" w:hAnsi="Arial" w:cs="Arial"/>
          <w:szCs w:val="24"/>
          <w:lang w:val="en-GB" w:bidi="en-US"/>
        </w:rPr>
        <w:t>0.01</w:t>
      </w:r>
      <w:bookmarkEnd w:id="817"/>
      <w:r w:rsidRPr="00E63721">
        <w:rPr>
          <w:rFonts w:ascii="Arial" w:eastAsia="Arial" w:hAnsi="Arial" w:cs="Arial"/>
          <w:szCs w:val="24"/>
          <w:lang w:val="en-GB" w:bidi="en-US"/>
        </w:rPr>
        <w:t xml:space="preserve"> per share, or $</w:t>
      </w:r>
      <w:bookmarkStart w:id="818" w:name="XBRL_CS_6c4a0163de294107b67e105c971a1fbb"/>
      <w:r w:rsidRPr="00E63721">
        <w:rPr>
          <w:rFonts w:ascii="Arial" w:eastAsia="Arial" w:hAnsi="Arial" w:cs="Arial"/>
          <w:szCs w:val="24"/>
          <w:lang w:val="en-GB" w:bidi="en-US"/>
        </w:rPr>
        <w:t>1,15</w:t>
      </w:r>
      <w:r w:rsidR="003E2D0E">
        <w:rPr>
          <w:rFonts w:ascii="Arial" w:eastAsia="Arial" w:hAnsi="Arial" w:cs="Arial"/>
          <w:szCs w:val="24"/>
          <w:lang w:val="en-GB" w:bidi="en-US"/>
        </w:rPr>
        <w:t>7</w:t>
      </w:r>
      <w:bookmarkEnd w:id="818"/>
      <w:r w:rsidRPr="00E63721">
        <w:rPr>
          <w:rFonts w:ascii="Arial" w:eastAsia="Arial" w:hAnsi="Arial" w:cs="Arial"/>
          <w:szCs w:val="24"/>
          <w:lang w:val="en-GB" w:bidi="en-US"/>
        </w:rPr>
        <w:t xml:space="preserve">, to shareholders of record as of </w:t>
      </w:r>
      <w:r>
        <w:rPr>
          <w:rFonts w:ascii="Arial" w:eastAsia="Arial" w:hAnsi="Arial" w:cs="Arial"/>
          <w:szCs w:val="24"/>
          <w:lang w:val="en-GB" w:bidi="en-US"/>
        </w:rPr>
        <w:t>December</w:t>
      </w:r>
      <w:r w:rsidRPr="00E63721">
        <w:rPr>
          <w:rFonts w:ascii="Arial" w:eastAsia="Arial" w:hAnsi="Arial" w:cs="Arial"/>
          <w:szCs w:val="24"/>
          <w:lang w:val="en-GB" w:bidi="en-US"/>
        </w:rPr>
        <w:t xml:space="preserve"> </w:t>
      </w:r>
      <w:r>
        <w:rPr>
          <w:rFonts w:ascii="Arial" w:eastAsia="Arial" w:hAnsi="Arial" w:cs="Arial"/>
          <w:szCs w:val="24"/>
          <w:lang w:val="en-GB" w:bidi="en-US"/>
        </w:rPr>
        <w:t>8</w:t>
      </w:r>
      <w:r w:rsidRPr="00E63721">
        <w:rPr>
          <w:rFonts w:ascii="Arial" w:eastAsia="Arial" w:hAnsi="Arial" w:cs="Arial"/>
          <w:szCs w:val="24"/>
          <w:lang w:val="en-GB" w:bidi="en-US"/>
        </w:rPr>
        <w:t>, 2025.</w:t>
      </w:r>
    </w:p>
    <w:p w14:paraId="71F3F88E" w14:textId="77777777" w:rsidR="00E63721" w:rsidRDefault="00E63721" w:rsidP="00A418D3">
      <w:pPr>
        <w:pBdr>
          <w:top w:val="nil"/>
          <w:left w:val="nil"/>
          <w:bottom w:val="nil"/>
          <w:right w:val="nil"/>
          <w:between w:val="nil"/>
          <w:bar w:val="nil"/>
        </w:pBdr>
        <w:jc w:val="both"/>
        <w:rPr>
          <w:rFonts w:ascii="Arial" w:eastAsia="Arial" w:hAnsi="Arial" w:cs="Arial"/>
          <w:bdr w:val="nil"/>
          <w:lang w:val="en-GB"/>
        </w:rPr>
      </w:pPr>
    </w:p>
    <w:p w14:paraId="71F3F88F" w14:textId="77777777" w:rsidR="00E63721" w:rsidRPr="00E63721" w:rsidRDefault="003A4815" w:rsidP="00A418D3">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
          <w:i/>
          <w:szCs w:val="24"/>
          <w:lang w:val="en-US" w:bidi="en-US"/>
        </w:rPr>
        <w:t>g)</w:t>
      </w:r>
      <w:r w:rsidR="00BA0F3D">
        <w:rPr>
          <w:rFonts w:ascii="Arial" w:eastAsia="Arial" w:hAnsi="Arial" w:cs="Arial"/>
          <w:b/>
          <w:i/>
          <w:szCs w:val="24"/>
          <w:lang w:bidi="en-US"/>
        </w:rPr>
        <w:tab/>
      </w:r>
      <w:r w:rsidRPr="00E63721">
        <w:rPr>
          <w:rFonts w:ascii="Arial" w:eastAsia="Arial" w:hAnsi="Arial" w:cs="Arial"/>
          <w:b/>
          <w:i/>
          <w:szCs w:val="24"/>
          <w:lang w:val="en-US" w:bidi="en-US"/>
        </w:rPr>
        <w:t xml:space="preserve">Dividend in Kind: </w:t>
      </w:r>
      <w:r w:rsidRPr="00E63721">
        <w:rPr>
          <w:rFonts w:ascii="Arial" w:eastAsia="Arial" w:hAnsi="Arial" w:cs="Arial"/>
          <w:szCs w:val="24"/>
          <w:lang w:val="en-US" w:bidi="en-US"/>
        </w:rPr>
        <w:t>On June 9, 2023, the Company distributed the Company’s investment in the Series D Preferred Shares of OceanPal in the form of a stock dividend amounting to $</w:t>
      </w:r>
      <w:bookmarkStart w:id="819" w:name="XBRL_CS_c84362411a924865bda1560b2bed70bb"/>
      <w:r w:rsidRPr="00E63721">
        <w:rPr>
          <w:rFonts w:ascii="Arial" w:eastAsia="Arial" w:hAnsi="Arial" w:cs="Arial"/>
          <w:szCs w:val="24"/>
          <w:lang w:val="en-US" w:bidi="en-US"/>
        </w:rPr>
        <w:t>10,761</w:t>
      </w:r>
      <w:bookmarkEnd w:id="819"/>
      <w:r w:rsidRPr="00E63721">
        <w:rPr>
          <w:rFonts w:ascii="Arial" w:eastAsia="Arial" w:hAnsi="Arial" w:cs="Arial"/>
          <w:szCs w:val="24"/>
          <w:lang w:val="en-US" w:bidi="en-US"/>
        </w:rPr>
        <w:t>, or $</w:t>
      </w:r>
      <w:bookmarkStart w:id="820" w:name="XBRL_CS_00f4301a9c15448ab8b429a19188bdb1"/>
      <w:r w:rsidRPr="00E63721">
        <w:rPr>
          <w:rFonts w:ascii="Arial" w:eastAsia="Arial" w:hAnsi="Arial" w:cs="Arial"/>
          <w:szCs w:val="24"/>
          <w:lang w:val="en-US" w:bidi="en-US"/>
        </w:rPr>
        <w:t>0.10</w:t>
      </w:r>
      <w:bookmarkEnd w:id="820"/>
      <w:r w:rsidRPr="00E63721">
        <w:rPr>
          <w:rFonts w:ascii="Arial" w:eastAsia="Arial" w:hAnsi="Arial" w:cs="Arial"/>
          <w:szCs w:val="24"/>
          <w:lang w:val="en-US" w:bidi="en-US"/>
        </w:rPr>
        <w:t xml:space="preserve"> per share, to its shareholders of record as of April 24, 2023. </w:t>
      </w:r>
    </w:p>
    <w:p w14:paraId="71F3F890" w14:textId="77777777" w:rsidR="007E1003" w:rsidRPr="00FE3546" w:rsidRDefault="007E1003" w:rsidP="00A418D3">
      <w:pPr>
        <w:pBdr>
          <w:top w:val="nil"/>
          <w:left w:val="nil"/>
          <w:bottom w:val="nil"/>
          <w:right w:val="nil"/>
          <w:between w:val="nil"/>
          <w:bar w:val="nil"/>
        </w:pBdr>
        <w:jc w:val="both"/>
        <w:rPr>
          <w:rFonts w:ascii="Arial" w:eastAsia="Arial" w:hAnsi="Arial" w:cs="Arial"/>
          <w:bdr w:val="nil"/>
          <w:lang w:val="en-US"/>
        </w:rPr>
      </w:pPr>
    </w:p>
    <w:p w14:paraId="71F3F891" w14:textId="77777777" w:rsidR="007A1D4C" w:rsidRDefault="003A4815" w:rsidP="00A418D3">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
          <w:i/>
          <w:lang w:val="en-US" w:bidi="en-US"/>
        </w:rPr>
        <w:t>h</w:t>
      </w:r>
      <w:r w:rsidR="00461CDE" w:rsidRPr="007A1D4C">
        <w:rPr>
          <w:rFonts w:ascii="Arial" w:eastAsia="Arial" w:hAnsi="Arial" w:cs="Arial"/>
          <w:b/>
          <w:i/>
          <w:lang w:val="en-US" w:bidi="en-US"/>
        </w:rPr>
        <w:t>)</w:t>
      </w:r>
      <w:r w:rsidR="00BA0F3D" w:rsidRPr="00BA0F3D">
        <w:rPr>
          <w:rFonts w:ascii="Arial" w:eastAsia="Arial" w:hAnsi="Arial" w:cs="Arial"/>
          <w:b/>
          <w:i/>
          <w:lang w:val="en-US" w:bidi="en-US"/>
        </w:rPr>
        <w:tab/>
      </w:r>
      <w:r w:rsidR="00461CDE" w:rsidRPr="007A1D4C">
        <w:rPr>
          <w:rFonts w:ascii="Arial" w:eastAsia="Arial" w:hAnsi="Arial" w:cs="Arial"/>
          <w:b/>
          <w:i/>
          <w:lang w:val="en-US" w:bidi="en-US"/>
        </w:rPr>
        <w:t>Warrants</w:t>
      </w:r>
      <w:r w:rsidR="00461CDE">
        <w:rPr>
          <w:rFonts w:ascii="Arial" w:eastAsia="Arial" w:hAnsi="Arial" w:cs="Arial"/>
          <w:b/>
          <w:i/>
          <w:lang w:val="en-US" w:bidi="en-US"/>
        </w:rPr>
        <w:t xml:space="preserve">: </w:t>
      </w:r>
      <w:r w:rsidR="00461CDE" w:rsidRPr="007E1003">
        <w:rPr>
          <w:rFonts w:ascii="Arial" w:eastAsia="Arial" w:hAnsi="Arial" w:cs="Arial"/>
          <w:lang w:val="en-US" w:bidi="en-US"/>
        </w:rPr>
        <w:t xml:space="preserve">On December 14, 2023, the Company distributed </w:t>
      </w:r>
      <w:bookmarkStart w:id="821" w:name="XBRL_CS_2e271c03f5b8434294b6e7fa1364c494"/>
      <w:r w:rsidR="00461CDE" w:rsidRPr="007E1003">
        <w:rPr>
          <w:rFonts w:ascii="Arial" w:eastAsia="Arial" w:hAnsi="Arial" w:cs="Arial"/>
          <w:lang w:val="en-US" w:bidi="en-US"/>
        </w:rPr>
        <w:t>22,613,070</w:t>
      </w:r>
      <w:bookmarkEnd w:id="821"/>
      <w:r w:rsidR="00461CDE" w:rsidRPr="007E1003">
        <w:rPr>
          <w:rFonts w:ascii="Arial" w:eastAsia="Arial" w:hAnsi="Arial" w:cs="Arial"/>
          <w:lang w:val="en-US" w:bidi="en-US"/>
        </w:rPr>
        <w:t xml:space="preserve"> warrants to its shareholders of record on December 6, 2023. Holders received one warrant for every five shares of issued and outstanding shares of common stock held as of the record date (rounded down to the nearest whole number for any fractional warrant. Each Warrant entitle</w:t>
      </w:r>
      <w:r w:rsidR="00461CDE">
        <w:rPr>
          <w:rFonts w:ascii="Arial" w:eastAsia="Arial" w:hAnsi="Arial" w:cs="Arial"/>
          <w:lang w:val="en-US" w:bidi="en-US"/>
        </w:rPr>
        <w:t>s</w:t>
      </w:r>
      <w:r w:rsidR="00461CDE" w:rsidRPr="007E1003">
        <w:rPr>
          <w:rFonts w:ascii="Arial" w:eastAsia="Arial" w:hAnsi="Arial" w:cs="Arial"/>
          <w:lang w:val="en-US" w:bidi="en-US"/>
        </w:rPr>
        <w:t xml:space="preserve"> the </w:t>
      </w:r>
      <w:r w:rsidR="00461CDE">
        <w:rPr>
          <w:rFonts w:ascii="Arial" w:eastAsia="Arial" w:hAnsi="Arial" w:cs="Arial"/>
          <w:lang w:val="en-US" w:bidi="en-US"/>
        </w:rPr>
        <w:t>h</w:t>
      </w:r>
      <w:r w:rsidR="00461CDE" w:rsidRPr="007E1003">
        <w:rPr>
          <w:rFonts w:ascii="Arial" w:eastAsia="Arial" w:hAnsi="Arial" w:cs="Arial"/>
          <w:lang w:val="en-US" w:bidi="en-US"/>
        </w:rPr>
        <w:t xml:space="preserve">older to purchase, at the </w:t>
      </w:r>
      <w:r w:rsidR="00461CDE">
        <w:rPr>
          <w:rFonts w:ascii="Arial" w:eastAsia="Arial" w:hAnsi="Arial" w:cs="Arial"/>
          <w:lang w:val="en-US" w:bidi="en-US"/>
        </w:rPr>
        <w:t>h</w:t>
      </w:r>
      <w:r w:rsidR="00461CDE" w:rsidRPr="007E1003">
        <w:rPr>
          <w:rFonts w:ascii="Arial" w:eastAsia="Arial" w:hAnsi="Arial" w:cs="Arial"/>
          <w:lang w:val="en-US" w:bidi="en-US"/>
        </w:rPr>
        <w:t>older’s sole and exclusive election, at the exercise price of $</w:t>
      </w:r>
      <w:bookmarkStart w:id="822" w:name="XBRL_CS_562ec0502a284030a7858661fb8804e1"/>
      <w:r w:rsidR="00461CDE" w:rsidRPr="007E1003">
        <w:rPr>
          <w:rFonts w:ascii="Arial" w:eastAsia="Arial" w:hAnsi="Arial" w:cs="Arial"/>
          <w:lang w:val="en-US" w:bidi="en-US"/>
        </w:rPr>
        <w:t>4</w:t>
      </w:r>
      <w:bookmarkEnd w:id="822"/>
      <w:r w:rsidR="00461CDE" w:rsidRPr="007E1003">
        <w:rPr>
          <w:rFonts w:ascii="Arial" w:eastAsia="Arial" w:hAnsi="Arial" w:cs="Arial"/>
          <w:lang w:val="en-US" w:bidi="en-US"/>
        </w:rPr>
        <w:t xml:space="preserve"> per warrant, </w:t>
      </w:r>
      <w:bookmarkStart w:id="823" w:name="XBRL_CS_ee9adb0b962741a2b02535f94ed53b83"/>
      <w:r w:rsidR="00137F13">
        <w:rPr>
          <w:rFonts w:ascii="Arial" w:eastAsia="Arial" w:hAnsi="Arial" w:cs="Arial"/>
          <w:lang w:val="en-US" w:bidi="en-US"/>
        </w:rPr>
        <w:t>1.</w:t>
      </w:r>
      <w:r w:rsidR="00461CDE">
        <w:rPr>
          <w:rFonts w:ascii="Arial" w:eastAsia="Arial" w:hAnsi="Arial" w:cs="Arial"/>
          <w:lang w:val="en-US" w:bidi="en-US"/>
        </w:rPr>
        <w:t>6</w:t>
      </w:r>
      <w:r>
        <w:rPr>
          <w:rFonts w:ascii="Arial" w:eastAsia="Arial" w:hAnsi="Arial" w:cs="Arial"/>
          <w:lang w:val="en-US" w:bidi="en-US"/>
        </w:rPr>
        <w:t>7484</w:t>
      </w:r>
      <w:bookmarkEnd w:id="823"/>
      <w:r w:rsidR="00461CDE" w:rsidRPr="007E1003">
        <w:rPr>
          <w:rFonts w:ascii="Arial" w:eastAsia="Arial" w:hAnsi="Arial" w:cs="Arial"/>
          <w:lang w:val="en-US" w:bidi="en-US"/>
        </w:rPr>
        <w:t xml:space="preserve"> share</w:t>
      </w:r>
      <w:r w:rsidR="00461CDE">
        <w:rPr>
          <w:rFonts w:ascii="Arial" w:eastAsia="Arial" w:hAnsi="Arial" w:cs="Arial"/>
          <w:lang w:val="en-US" w:bidi="en-US"/>
        </w:rPr>
        <w:t>s</w:t>
      </w:r>
      <w:r w:rsidR="00461CDE" w:rsidRPr="007E1003">
        <w:rPr>
          <w:rFonts w:ascii="Arial" w:eastAsia="Arial" w:hAnsi="Arial" w:cs="Arial"/>
          <w:lang w:val="en-US" w:bidi="en-US"/>
        </w:rPr>
        <w:t xml:space="preserve"> of common stock </w:t>
      </w:r>
      <w:r w:rsidR="00461CDE">
        <w:rPr>
          <w:rFonts w:ascii="Arial" w:eastAsia="Arial" w:hAnsi="Arial" w:cs="Arial"/>
          <w:lang w:val="en-US" w:bidi="en-US"/>
        </w:rPr>
        <w:t>including</w:t>
      </w:r>
      <w:r w:rsidR="00461CDE" w:rsidRPr="007E1003">
        <w:rPr>
          <w:rFonts w:ascii="Arial" w:eastAsia="Arial" w:hAnsi="Arial" w:cs="Arial"/>
          <w:lang w:val="en-US" w:bidi="en-US"/>
        </w:rPr>
        <w:t xml:space="preserve"> a bonus share fraction</w:t>
      </w:r>
      <w:r w:rsidR="00461CDE">
        <w:rPr>
          <w:rFonts w:ascii="Arial" w:eastAsia="Arial" w:hAnsi="Arial" w:cs="Arial"/>
          <w:lang w:val="en-US" w:bidi="en-US"/>
        </w:rPr>
        <w:t>.</w:t>
      </w:r>
      <w:r w:rsidR="00461CDE" w:rsidRPr="007E1003">
        <w:rPr>
          <w:rFonts w:ascii="Arial" w:eastAsia="Arial" w:hAnsi="Arial" w:cs="Arial"/>
          <w:lang w:val="en-US" w:bidi="en-US"/>
        </w:rPr>
        <w:t xml:space="preserve"> A bonus share fraction entitles a </w:t>
      </w:r>
      <w:r w:rsidR="00461CDE">
        <w:rPr>
          <w:rFonts w:ascii="Arial" w:eastAsia="Arial" w:hAnsi="Arial" w:cs="Arial"/>
          <w:lang w:val="en-US" w:bidi="en-US"/>
        </w:rPr>
        <w:t>h</w:t>
      </w:r>
      <w:r w:rsidR="00461CDE" w:rsidRPr="007E1003">
        <w:rPr>
          <w:rFonts w:ascii="Arial" w:eastAsia="Arial" w:hAnsi="Arial" w:cs="Arial"/>
          <w:lang w:val="en-US" w:bidi="en-US"/>
        </w:rPr>
        <w:t xml:space="preserve">older to receive an additional </w:t>
      </w:r>
      <w:r w:rsidR="00461CDE">
        <w:rPr>
          <w:rFonts w:ascii="Arial" w:eastAsia="Arial" w:hAnsi="Arial" w:cs="Arial"/>
          <w:lang w:val="en-US" w:bidi="en-US"/>
        </w:rPr>
        <w:t xml:space="preserve">part </w:t>
      </w:r>
      <w:r w:rsidR="00461CDE" w:rsidRPr="007E1003">
        <w:rPr>
          <w:rFonts w:ascii="Arial" w:eastAsia="Arial" w:hAnsi="Arial" w:cs="Arial"/>
          <w:lang w:val="en-US" w:bidi="en-US"/>
        </w:rPr>
        <w:t>of a share of common stock for each warrant exercised without payment of any additional exercise price.</w:t>
      </w:r>
    </w:p>
    <w:p w14:paraId="71F3F892" w14:textId="77777777" w:rsidR="007A1D4C" w:rsidRDefault="007A1D4C" w:rsidP="00A418D3">
      <w:pPr>
        <w:pBdr>
          <w:top w:val="nil"/>
          <w:left w:val="nil"/>
          <w:bottom w:val="nil"/>
          <w:right w:val="nil"/>
          <w:between w:val="nil"/>
          <w:bar w:val="nil"/>
        </w:pBdr>
        <w:jc w:val="both"/>
        <w:rPr>
          <w:rFonts w:ascii="Arial" w:eastAsia="Arial" w:hAnsi="Arial" w:cs="Arial"/>
          <w:bdr w:val="nil"/>
          <w:lang w:val="en-US"/>
        </w:rPr>
      </w:pPr>
    </w:p>
    <w:p w14:paraId="71F3F893" w14:textId="77777777" w:rsidR="007A1D4C" w:rsidRPr="003B6D65" w:rsidRDefault="003A4815" w:rsidP="007A1D4C">
      <w:pPr>
        <w:pBdr>
          <w:top w:val="nil"/>
          <w:left w:val="nil"/>
          <w:bottom w:val="nil"/>
          <w:right w:val="nil"/>
          <w:between w:val="nil"/>
          <w:bar w:val="nil"/>
        </w:pBdr>
        <w:jc w:val="both"/>
        <w:rPr>
          <w:rFonts w:ascii="Arial" w:eastAsia="Arial" w:hAnsi="Arial" w:cs="Arial"/>
          <w:bdr w:val="nil"/>
          <w:lang w:val="en-GB"/>
        </w:rPr>
      </w:pPr>
      <w:r>
        <w:rPr>
          <w:rFonts w:ascii="Arial" w:eastAsia="Arial" w:hAnsi="Arial" w:cs="Arial"/>
          <w:color w:val="000000"/>
          <w:bdr w:val="none" w:sz="0" w:space="0" w:color="auto" w:frame="1"/>
          <w:lang w:val="en-US"/>
        </w:rPr>
        <w:t>In</w:t>
      </w:r>
      <w:r w:rsidR="00B16AAD">
        <w:rPr>
          <w:rFonts w:ascii="Arial" w:eastAsia="Arial" w:hAnsi="Arial" w:cs="Arial"/>
          <w:color w:val="000000"/>
          <w:bdr w:val="none" w:sz="0" w:space="0" w:color="auto" w:frame="1"/>
          <w:lang w:val="en-US"/>
        </w:rPr>
        <w:t xml:space="preserve"> 2025</w:t>
      </w:r>
      <w:r w:rsidR="009D0E96">
        <w:rPr>
          <w:rFonts w:ascii="Arial" w:eastAsia="Arial" w:hAnsi="Arial" w:cs="Arial"/>
          <w:color w:val="000000"/>
          <w:bdr w:val="none" w:sz="0" w:space="0" w:color="auto" w:frame="1"/>
          <w:lang w:val="en-US"/>
        </w:rPr>
        <w:t xml:space="preserve"> and 2024</w:t>
      </w:r>
      <w:r w:rsidR="00B16AAD" w:rsidRPr="00D265DF">
        <w:rPr>
          <w:rFonts w:ascii="Arial" w:eastAsia="Arial" w:hAnsi="Arial" w:cs="Arial"/>
          <w:szCs w:val="24"/>
          <w:lang w:val="en-GB" w:bidi="en-US"/>
        </w:rPr>
        <w:t>,</w:t>
      </w:r>
      <w:r w:rsidR="003B6D65">
        <w:rPr>
          <w:rFonts w:ascii="Arial" w:eastAsia="Arial" w:hAnsi="Arial" w:cs="Arial"/>
          <w:szCs w:val="24"/>
          <w:lang w:val="en-GB" w:bidi="en-US"/>
        </w:rPr>
        <w:t xml:space="preserve"> the Company</w:t>
      </w:r>
      <w:r>
        <w:rPr>
          <w:rFonts w:ascii="Arial" w:eastAsia="Arial" w:hAnsi="Arial" w:cs="Arial"/>
          <w:szCs w:val="24"/>
          <w:lang w:val="en-GB" w:bidi="en-US"/>
        </w:rPr>
        <w:t xml:space="preserve"> </w:t>
      </w:r>
      <w:r w:rsidR="009E7456">
        <w:rPr>
          <w:rFonts w:ascii="Arial" w:eastAsia="Arial" w:hAnsi="Arial" w:cs="Arial"/>
          <w:szCs w:val="24"/>
          <w:lang w:val="en-GB" w:bidi="en-US"/>
        </w:rPr>
        <w:t xml:space="preserve">issued </w:t>
      </w:r>
      <w:bookmarkStart w:id="824" w:name="XBRL_CS_0672dc00f2a542518b9b7f2a0c38c687"/>
      <w:r w:rsidR="009E7456">
        <w:rPr>
          <w:rFonts w:ascii="Arial" w:eastAsia="Arial" w:hAnsi="Arial" w:cs="Arial"/>
          <w:color w:val="000000"/>
          <w:bdr w:val="none" w:sz="0" w:space="0" w:color="auto" w:frame="1"/>
          <w:lang w:val="en-US"/>
        </w:rPr>
        <w:t xml:space="preserve"> 26,674</w:t>
      </w:r>
      <w:bookmarkEnd w:id="824"/>
      <w:r w:rsidR="009E7456">
        <w:rPr>
          <w:rFonts w:ascii="Arial" w:eastAsia="Arial" w:hAnsi="Arial" w:cs="Arial"/>
          <w:color w:val="000000"/>
          <w:bdr w:val="none" w:sz="0" w:space="0" w:color="auto" w:frame="1"/>
          <w:lang w:val="en-US"/>
        </w:rPr>
        <w:t xml:space="preserve"> and </w:t>
      </w:r>
      <w:bookmarkStart w:id="825" w:name="XBRL_CS_061bde8dd56e4571ae97262e9f2278eb"/>
      <w:r w:rsidR="009E7456">
        <w:rPr>
          <w:rFonts w:ascii="Arial" w:eastAsia="Arial" w:hAnsi="Arial" w:cs="Arial"/>
          <w:color w:val="000000"/>
          <w:bdr w:val="none" w:sz="0" w:space="0" w:color="auto" w:frame="1"/>
          <w:lang w:val="en-US"/>
        </w:rPr>
        <w:t xml:space="preserve"> 9,837,680</w:t>
      </w:r>
      <w:bookmarkEnd w:id="825"/>
      <w:r w:rsidR="009E7456">
        <w:rPr>
          <w:rFonts w:ascii="Arial" w:eastAsia="Arial" w:hAnsi="Arial" w:cs="Arial"/>
          <w:color w:val="000000"/>
          <w:bdr w:val="none" w:sz="0" w:space="0" w:color="auto" w:frame="1"/>
          <w:lang w:val="en-US"/>
        </w:rPr>
        <w:t xml:space="preserve"> shares, respectively, having a value of $</w:t>
      </w:r>
      <w:bookmarkStart w:id="826" w:name="XBRL_CS_954a92d238704a8e87fc1d6459077fed"/>
      <w:r w:rsidR="009E7456">
        <w:rPr>
          <w:rFonts w:ascii="Arial" w:eastAsia="Arial" w:hAnsi="Arial" w:cs="Arial"/>
          <w:color w:val="000000"/>
          <w:bdr w:val="none" w:sz="0" w:space="0" w:color="auto" w:frame="1"/>
          <w:lang w:val="en-US"/>
        </w:rPr>
        <w:t>35</w:t>
      </w:r>
      <w:bookmarkEnd w:id="826"/>
      <w:r w:rsidR="009E7456">
        <w:rPr>
          <w:rFonts w:ascii="Arial" w:eastAsia="Arial" w:hAnsi="Arial" w:cs="Arial"/>
          <w:color w:val="000000"/>
          <w:bdr w:val="none" w:sz="0" w:space="0" w:color="auto" w:frame="1"/>
          <w:lang w:val="en-US"/>
        </w:rPr>
        <w:t xml:space="preserve"> and $</w:t>
      </w:r>
      <w:bookmarkStart w:id="827" w:name="XBRL_CS_c89df605ae7e4c4c8df98c56f2e23f0f"/>
      <w:r w:rsidR="009E7456">
        <w:rPr>
          <w:rFonts w:ascii="Arial" w:eastAsia="Arial" w:hAnsi="Arial" w:cs="Arial"/>
          <w:color w:val="000000"/>
          <w:bdr w:val="none" w:sz="0" w:space="0" w:color="auto" w:frame="1"/>
          <w:lang w:val="en-US"/>
        </w:rPr>
        <w:t>28,047</w:t>
      </w:r>
      <w:bookmarkEnd w:id="827"/>
      <w:r w:rsidR="009E7456">
        <w:rPr>
          <w:rFonts w:ascii="Arial" w:eastAsia="Arial" w:hAnsi="Arial" w:cs="Arial"/>
          <w:color w:val="000000"/>
          <w:bdr w:val="none" w:sz="0" w:space="0" w:color="auto" w:frame="1"/>
          <w:lang w:val="en-US"/>
        </w:rPr>
        <w:t>, net of expenses, or $</w:t>
      </w:r>
      <w:bookmarkStart w:id="828" w:name="XBRL_CS_4b34365c2a66415cad1f6223c6da39e9"/>
      <w:r w:rsidR="009E7456">
        <w:rPr>
          <w:rFonts w:ascii="Arial" w:eastAsia="Arial" w:hAnsi="Arial" w:cs="Arial"/>
          <w:color w:val="000000"/>
          <w:bdr w:val="none" w:sz="0" w:space="0" w:color="auto" w:frame="1"/>
          <w:lang w:val="en-US"/>
        </w:rPr>
        <w:t>1.30</w:t>
      </w:r>
      <w:bookmarkEnd w:id="828"/>
      <w:r w:rsidR="009E7456">
        <w:rPr>
          <w:rFonts w:ascii="Arial" w:eastAsia="Arial" w:hAnsi="Arial" w:cs="Arial"/>
          <w:color w:val="000000"/>
          <w:bdr w:val="none" w:sz="0" w:space="0" w:color="auto" w:frame="1"/>
          <w:lang w:val="en-US"/>
        </w:rPr>
        <w:t xml:space="preserve"> and $</w:t>
      </w:r>
      <w:bookmarkStart w:id="829" w:name="XBRL_CS_a5818650fc734db6bf531e84084b60e2"/>
      <w:r w:rsidR="009E7456">
        <w:rPr>
          <w:rFonts w:ascii="Arial" w:eastAsia="Arial" w:hAnsi="Arial" w:cs="Arial"/>
          <w:color w:val="000000"/>
          <w:bdr w:val="none" w:sz="0" w:space="0" w:color="auto" w:frame="1"/>
          <w:lang w:val="en-US"/>
        </w:rPr>
        <w:t>2.86</w:t>
      </w:r>
      <w:bookmarkEnd w:id="829"/>
      <w:r w:rsidR="009E7456">
        <w:rPr>
          <w:rFonts w:ascii="Arial" w:eastAsia="Arial" w:hAnsi="Arial" w:cs="Arial"/>
          <w:color w:val="000000"/>
          <w:bdr w:val="none" w:sz="0" w:space="0" w:color="auto" w:frame="1"/>
          <w:lang w:val="en-US"/>
        </w:rPr>
        <w:t xml:space="preserve"> per share, respectively. In 2025 and 2024</w:t>
      </w:r>
      <w:r w:rsidR="009E7456" w:rsidRPr="00D265DF">
        <w:rPr>
          <w:rFonts w:ascii="Arial" w:eastAsia="Arial" w:hAnsi="Arial" w:cs="Arial"/>
          <w:szCs w:val="24"/>
          <w:lang w:val="en-GB" w:bidi="en-US"/>
        </w:rPr>
        <w:t>,</w:t>
      </w:r>
      <w:r w:rsidR="009E7456">
        <w:rPr>
          <w:rFonts w:ascii="Arial" w:eastAsia="Arial" w:hAnsi="Arial" w:cs="Arial"/>
          <w:szCs w:val="24"/>
          <w:lang w:val="en-GB" w:bidi="en-US"/>
        </w:rPr>
        <w:t xml:space="preserve"> </w:t>
      </w:r>
      <w:r>
        <w:rPr>
          <w:rFonts w:ascii="Arial" w:eastAsia="Arial" w:hAnsi="Arial" w:cs="Arial"/>
          <w:szCs w:val="24"/>
          <w:lang w:val="en-GB" w:bidi="en-US"/>
        </w:rPr>
        <w:t xml:space="preserve">the Company received </w:t>
      </w:r>
      <w:r>
        <w:rPr>
          <w:rFonts w:ascii="Arial" w:eastAsia="Arial" w:hAnsi="Arial" w:cs="Arial"/>
          <w:color w:val="000000"/>
          <w:bdr w:val="none" w:sz="0" w:space="0" w:color="auto" w:frame="1"/>
          <w:lang w:val="en-US"/>
        </w:rPr>
        <w:t>$</w:t>
      </w:r>
      <w:bookmarkStart w:id="830" w:name="XBRL_CS_d24c1db32cc74190904c70fd9cde3380"/>
      <w:r>
        <w:rPr>
          <w:rFonts w:ascii="Arial" w:eastAsia="Arial" w:hAnsi="Arial" w:cs="Arial"/>
          <w:color w:val="000000"/>
          <w:bdr w:val="none" w:sz="0" w:space="0" w:color="auto" w:frame="1"/>
          <w:lang w:val="en-US"/>
        </w:rPr>
        <w:t>93</w:t>
      </w:r>
      <w:bookmarkEnd w:id="830"/>
      <w:r>
        <w:rPr>
          <w:rFonts w:ascii="Arial" w:eastAsia="Arial" w:hAnsi="Arial" w:cs="Arial"/>
          <w:color w:val="000000"/>
          <w:bdr w:val="none" w:sz="0" w:space="0" w:color="auto" w:frame="1"/>
          <w:lang w:val="en-US"/>
        </w:rPr>
        <w:t xml:space="preserve"> and $</w:t>
      </w:r>
      <w:bookmarkStart w:id="831" w:name="XBRL_CS_fb2df09eadb94b77b8e190a1b639c30f"/>
      <w:r>
        <w:rPr>
          <w:rFonts w:ascii="Arial" w:eastAsia="Arial" w:hAnsi="Arial" w:cs="Arial"/>
          <w:color w:val="000000"/>
          <w:bdr w:val="none" w:sz="0" w:space="0" w:color="auto" w:frame="1"/>
          <w:lang w:val="en-US"/>
        </w:rPr>
        <w:t>24,195</w:t>
      </w:r>
      <w:bookmarkEnd w:id="831"/>
      <w:r w:rsidR="009767A4">
        <w:rPr>
          <w:rFonts w:ascii="Arial" w:eastAsia="Arial" w:hAnsi="Arial" w:cs="Arial"/>
          <w:color w:val="000000"/>
          <w:bdr w:val="none" w:sz="0" w:space="0" w:color="auto" w:frame="1"/>
          <w:lang w:val="en-US"/>
        </w:rPr>
        <w:t>,</w:t>
      </w:r>
      <w:r>
        <w:rPr>
          <w:rFonts w:ascii="Arial" w:eastAsia="Arial" w:hAnsi="Arial" w:cs="Arial"/>
          <w:color w:val="000000"/>
          <w:bdr w:val="none" w:sz="0" w:space="0" w:color="auto" w:frame="1"/>
          <w:lang w:val="en-US"/>
        </w:rPr>
        <w:t xml:space="preserve"> in </w:t>
      </w:r>
      <w:r w:rsidRPr="00CD2038">
        <w:rPr>
          <w:rFonts w:ascii="Arial" w:eastAsia="Arial" w:hAnsi="Arial" w:cs="Arial"/>
          <w:color w:val="000000"/>
          <w:bdr w:val="none" w:sz="0" w:space="0" w:color="auto" w:frame="1"/>
          <w:lang w:val="en-US"/>
        </w:rPr>
        <w:t>proceeds</w:t>
      </w:r>
      <w:r>
        <w:rPr>
          <w:rFonts w:ascii="Arial" w:eastAsia="Arial" w:hAnsi="Arial" w:cs="Arial"/>
          <w:color w:val="000000"/>
          <w:bdr w:val="none" w:sz="0" w:space="0" w:color="auto" w:frame="1"/>
          <w:lang w:val="en-US"/>
        </w:rPr>
        <w:t xml:space="preserve">, net of fees from the exercise of  </w:t>
      </w:r>
      <w:bookmarkStart w:id="832" w:name="XBRL_CS_a6439573d8024776b8bb19e0cdb3b9c9"/>
      <w:r>
        <w:rPr>
          <w:rFonts w:ascii="Arial" w:eastAsia="Arial" w:hAnsi="Arial" w:cs="Arial"/>
          <w:color w:val="000000"/>
          <w:bdr w:val="none" w:sz="0" w:space="0" w:color="auto" w:frame="1"/>
          <w:lang w:val="en-US"/>
        </w:rPr>
        <w:t>16,181</w:t>
      </w:r>
      <w:bookmarkEnd w:id="832"/>
      <w:r>
        <w:rPr>
          <w:rFonts w:ascii="Arial" w:eastAsia="Arial" w:hAnsi="Arial" w:cs="Arial"/>
          <w:color w:val="000000"/>
          <w:bdr w:val="none" w:sz="0" w:space="0" w:color="auto" w:frame="1"/>
          <w:lang w:val="en-US"/>
        </w:rPr>
        <w:t xml:space="preserve"> and </w:t>
      </w:r>
      <w:bookmarkStart w:id="833" w:name="XBRL_CS_5927306445944305944a4f10748d6fd2"/>
      <w:r>
        <w:rPr>
          <w:rFonts w:ascii="Arial" w:eastAsia="Arial" w:hAnsi="Arial" w:cs="Arial"/>
          <w:color w:val="000000"/>
          <w:bdr w:val="none" w:sz="0" w:space="0" w:color="auto" w:frame="1"/>
          <w:lang w:val="en-US"/>
        </w:rPr>
        <w:t>6,392,765</w:t>
      </w:r>
      <w:bookmarkEnd w:id="833"/>
      <w:r w:rsidR="009767A4">
        <w:rPr>
          <w:rFonts w:ascii="Arial" w:eastAsia="Arial" w:hAnsi="Arial" w:cs="Arial"/>
          <w:color w:val="000000"/>
          <w:bdr w:val="none" w:sz="0" w:space="0" w:color="auto" w:frame="1"/>
          <w:lang w:val="en-US"/>
        </w:rPr>
        <w:t xml:space="preserve"> warrants</w:t>
      </w:r>
      <w:r>
        <w:rPr>
          <w:rFonts w:ascii="Arial" w:eastAsia="Arial" w:hAnsi="Arial" w:cs="Arial"/>
          <w:color w:val="000000"/>
          <w:bdr w:val="none" w:sz="0" w:space="0" w:color="auto" w:frame="1"/>
          <w:lang w:val="en-US"/>
        </w:rPr>
        <w:t>, respectively.</w:t>
      </w:r>
      <w:r w:rsidR="003B6D65">
        <w:rPr>
          <w:rFonts w:ascii="Arial" w:eastAsia="Arial" w:hAnsi="Arial" w:cs="Arial"/>
          <w:szCs w:val="24"/>
          <w:lang w:val="en-GB" w:bidi="en-US"/>
        </w:rPr>
        <w:t xml:space="preserve"> </w:t>
      </w:r>
      <w:r w:rsidR="00D24172" w:rsidRPr="00AB2C8D">
        <w:rPr>
          <w:rFonts w:ascii="Arial" w:eastAsia="Arial" w:hAnsi="Arial" w:cs="Arial"/>
          <w:color w:val="000000"/>
          <w:bdr w:val="none" w:sz="0" w:space="0" w:color="auto" w:frame="1"/>
          <w:lang w:val="en-US"/>
        </w:rPr>
        <w:t xml:space="preserve">If all warrants were exercised as of </w:t>
      </w:r>
      <w:r w:rsidR="00D24172">
        <w:rPr>
          <w:rFonts w:ascii="Arial" w:eastAsia="Arial" w:hAnsi="Arial" w:cs="Arial"/>
          <w:color w:val="000000"/>
          <w:bdr w:val="none" w:sz="0" w:space="0" w:color="auto" w:frame="1"/>
          <w:lang w:val="en-US"/>
        </w:rPr>
        <w:t>December 31,</w:t>
      </w:r>
      <w:r w:rsidR="00D24172" w:rsidRPr="00AB2C8D">
        <w:rPr>
          <w:rFonts w:ascii="Arial" w:eastAsia="Arial" w:hAnsi="Arial" w:cs="Arial"/>
          <w:color w:val="000000"/>
          <w:bdr w:val="none" w:sz="0" w:space="0" w:color="auto" w:frame="1"/>
          <w:lang w:val="en-US"/>
        </w:rPr>
        <w:t xml:space="preserve"> </w:t>
      </w:r>
      <w:r w:rsidR="00D24172">
        <w:rPr>
          <w:rFonts w:ascii="Arial" w:eastAsia="Arial" w:hAnsi="Arial" w:cs="Arial"/>
          <w:color w:val="000000"/>
          <w:bdr w:val="none" w:sz="0" w:space="0" w:color="auto" w:frame="1"/>
          <w:lang w:val="en-US"/>
        </w:rPr>
        <w:t>2025</w:t>
      </w:r>
      <w:r w:rsidR="00D24172" w:rsidRPr="00AB2C8D">
        <w:rPr>
          <w:rFonts w:ascii="Arial" w:eastAsia="Arial" w:hAnsi="Arial" w:cs="Arial"/>
          <w:color w:val="000000"/>
          <w:bdr w:val="none" w:sz="0" w:space="0" w:color="auto" w:frame="1"/>
          <w:lang w:val="en-US"/>
        </w:rPr>
        <w:t xml:space="preserve">, the Company would have issued </w:t>
      </w:r>
      <w:bookmarkStart w:id="834" w:name="XBRL_CS_a40863a85bd64cea8956383600022c6d"/>
      <w:r w:rsidR="00D24172" w:rsidRPr="00CA3ECA">
        <w:rPr>
          <w:rFonts w:ascii="Arial" w:eastAsia="Arial" w:hAnsi="Arial" w:cs="Arial"/>
          <w:color w:val="000000"/>
          <w:bdr w:val="none" w:sz="0" w:space="0" w:color="auto" w:frame="1"/>
          <w:lang w:val="en-US"/>
        </w:rPr>
        <w:t>3</w:t>
      </w:r>
      <w:r w:rsidR="00CA3ECA" w:rsidRPr="00CA3ECA">
        <w:rPr>
          <w:rFonts w:ascii="Arial" w:eastAsia="Arial" w:hAnsi="Arial" w:cs="Arial"/>
          <w:color w:val="000000"/>
          <w:bdr w:val="none" w:sz="0" w:space="0" w:color="auto" w:frame="1"/>
          <w:lang w:val="en-US"/>
        </w:rPr>
        <w:t>7</w:t>
      </w:r>
      <w:r w:rsidR="00D24172" w:rsidRPr="00CA3ECA">
        <w:rPr>
          <w:rFonts w:ascii="Arial" w:eastAsia="Arial" w:hAnsi="Arial" w:cs="Arial"/>
          <w:color w:val="000000"/>
          <w:bdr w:val="none" w:sz="0" w:space="0" w:color="auto" w:frame="1"/>
          <w:lang w:val="en-US"/>
        </w:rPr>
        <w:t>,</w:t>
      </w:r>
      <w:r w:rsidR="00CA3ECA" w:rsidRPr="00CA3ECA">
        <w:rPr>
          <w:rFonts w:ascii="Arial" w:eastAsia="Arial" w:hAnsi="Arial" w:cs="Arial"/>
          <w:color w:val="000000"/>
          <w:bdr w:val="none" w:sz="0" w:space="0" w:color="auto" w:frame="1"/>
          <w:lang w:val="en-US"/>
        </w:rPr>
        <w:t>003</w:t>
      </w:r>
      <w:r w:rsidR="00D24172" w:rsidRPr="00CA3ECA">
        <w:rPr>
          <w:rFonts w:ascii="Arial" w:eastAsia="Arial" w:hAnsi="Arial" w:cs="Arial"/>
          <w:color w:val="000000"/>
          <w:bdr w:val="none" w:sz="0" w:space="0" w:color="auto" w:frame="1"/>
          <w:lang w:val="en-US"/>
        </w:rPr>
        <w:t>,</w:t>
      </w:r>
      <w:r w:rsidR="00CA3ECA" w:rsidRPr="00CA3ECA">
        <w:rPr>
          <w:rFonts w:ascii="Arial" w:eastAsia="Arial" w:hAnsi="Arial" w:cs="Arial"/>
          <w:color w:val="000000"/>
          <w:bdr w:val="none" w:sz="0" w:space="0" w:color="auto" w:frame="1"/>
          <w:lang w:val="en-US"/>
        </w:rPr>
        <w:t>669</w:t>
      </w:r>
      <w:bookmarkEnd w:id="834"/>
      <w:r w:rsidR="00D24172" w:rsidRPr="00CA3ECA">
        <w:rPr>
          <w:rFonts w:ascii="Arial" w:eastAsia="Arial" w:hAnsi="Arial" w:cs="Arial"/>
          <w:color w:val="000000"/>
          <w:bdr w:val="none" w:sz="0" w:space="0" w:color="auto" w:frame="1"/>
          <w:lang w:val="en-US"/>
        </w:rPr>
        <w:t xml:space="preserve"> shares of common stock</w:t>
      </w:r>
      <w:r w:rsidR="0078261E">
        <w:rPr>
          <w:rFonts w:ascii="Arial" w:eastAsia="Arial" w:hAnsi="Arial" w:cs="Arial"/>
          <w:color w:val="000000"/>
          <w:bdr w:val="none" w:sz="0" w:space="0" w:color="auto" w:frame="1"/>
          <w:lang w:val="en-US"/>
        </w:rPr>
        <w:t>, including the shares from the warrants already exercised,</w:t>
      </w:r>
      <w:r w:rsidR="00D24172" w:rsidRPr="00CA3ECA">
        <w:rPr>
          <w:rFonts w:ascii="Arial" w:eastAsia="Arial" w:hAnsi="Arial" w:cs="Arial"/>
          <w:color w:val="000000"/>
          <w:bdr w:val="none" w:sz="0" w:space="0" w:color="auto" w:frame="1"/>
          <w:lang w:val="en-US"/>
        </w:rPr>
        <w:t xml:space="preserve"> with a fair value of $</w:t>
      </w:r>
      <w:bookmarkStart w:id="835" w:name="XBRL_CS_d0a2369f5a5e4f8d8ba35be298adc2a5"/>
      <w:r w:rsidR="00D24172" w:rsidRPr="00CA3ECA">
        <w:rPr>
          <w:rFonts w:ascii="Arial" w:eastAsia="Arial" w:hAnsi="Arial" w:cs="Arial"/>
          <w:color w:val="000000"/>
          <w:bdr w:val="none" w:sz="0" w:space="0" w:color="auto" w:frame="1"/>
          <w:lang w:val="en-US"/>
        </w:rPr>
        <w:t>73,</w:t>
      </w:r>
      <w:r w:rsidR="00CA3ECA" w:rsidRPr="00CA3ECA">
        <w:rPr>
          <w:rFonts w:ascii="Arial" w:eastAsia="Arial" w:hAnsi="Arial" w:cs="Arial"/>
          <w:color w:val="000000"/>
          <w:bdr w:val="none" w:sz="0" w:space="0" w:color="auto" w:frame="1"/>
          <w:lang w:val="en-US"/>
        </w:rPr>
        <w:t>133</w:t>
      </w:r>
      <w:bookmarkEnd w:id="835"/>
      <w:r w:rsidR="00D24172" w:rsidRPr="00CA3ECA">
        <w:rPr>
          <w:rFonts w:ascii="Arial" w:eastAsia="Arial" w:hAnsi="Arial" w:cs="Arial"/>
          <w:color w:val="000000"/>
          <w:bdr w:val="none" w:sz="0" w:space="0" w:color="auto" w:frame="1"/>
          <w:lang w:val="en-US"/>
        </w:rPr>
        <w:t xml:space="preserve"> and would have received $</w:t>
      </w:r>
      <w:bookmarkStart w:id="836" w:name="XBRL_CS_2dd1c4a96a134fd499004a16493a06ed"/>
      <w:r w:rsidR="00D24172" w:rsidRPr="00CA3ECA">
        <w:rPr>
          <w:rFonts w:ascii="Arial" w:eastAsia="Arial" w:hAnsi="Arial" w:cs="Arial"/>
          <w:color w:val="000000"/>
          <w:bdr w:val="none" w:sz="0" w:space="0" w:color="auto" w:frame="1"/>
          <w:lang w:val="en-US"/>
        </w:rPr>
        <w:t>90,452</w:t>
      </w:r>
      <w:bookmarkEnd w:id="836"/>
      <w:r w:rsidR="00D24172" w:rsidRPr="00AB2C8D">
        <w:rPr>
          <w:rFonts w:ascii="Arial" w:eastAsia="Arial" w:hAnsi="Arial" w:cs="Arial"/>
          <w:color w:val="000000"/>
          <w:bdr w:val="none" w:sz="0" w:space="0" w:color="auto" w:frame="1"/>
          <w:lang w:val="en-US"/>
        </w:rPr>
        <w:t xml:space="preserve"> of</w:t>
      </w:r>
      <w:r w:rsidR="00D24172">
        <w:rPr>
          <w:rFonts w:ascii="Arial" w:eastAsia="Arial" w:hAnsi="Arial" w:cs="Arial"/>
          <w:color w:val="000000"/>
          <w:bdr w:val="none" w:sz="0" w:space="0" w:color="auto" w:frame="1"/>
          <w:lang w:val="en-US"/>
        </w:rPr>
        <w:t xml:space="preserve"> gross</w:t>
      </w:r>
      <w:r w:rsidR="00D24172" w:rsidRPr="00AB2C8D">
        <w:rPr>
          <w:rFonts w:ascii="Arial" w:eastAsia="Arial" w:hAnsi="Arial" w:cs="Arial"/>
          <w:color w:val="000000"/>
          <w:bdr w:val="none" w:sz="0" w:space="0" w:color="auto" w:frame="1"/>
          <w:lang w:val="en-US"/>
        </w:rPr>
        <w:t xml:space="preserve"> proceeds. The warrants were measured on the date of distribution at fair value, determined through </w:t>
      </w:r>
      <w:r w:rsidR="00D24172">
        <w:rPr>
          <w:rFonts w:ascii="Arial" w:eastAsia="Arial" w:hAnsi="Arial" w:cs="Arial"/>
          <w:color w:val="000000"/>
          <w:bdr w:val="none" w:sz="0" w:space="0" w:color="auto" w:frame="1"/>
          <w:lang w:val="en-US"/>
        </w:rPr>
        <w:t>L</w:t>
      </w:r>
      <w:r w:rsidR="00D24172" w:rsidRPr="00AB2C8D">
        <w:rPr>
          <w:rFonts w:ascii="Arial" w:eastAsia="Arial" w:hAnsi="Arial" w:cs="Arial"/>
          <w:color w:val="000000"/>
          <w:bdr w:val="none" w:sz="0" w:space="0" w:color="auto" w:frame="1"/>
          <w:lang w:val="en-US"/>
        </w:rPr>
        <w:t xml:space="preserve">evel 1 account hierarchy, being the opening price of the warrants on the NYSE on the date of distribution as they are listed under the ticker DSX_W. As of </w:t>
      </w:r>
      <w:r w:rsidR="00D24172">
        <w:rPr>
          <w:rFonts w:ascii="Arial" w:eastAsia="Arial" w:hAnsi="Arial" w:cs="Arial"/>
          <w:color w:val="000000"/>
          <w:bdr w:val="none" w:sz="0" w:space="0" w:color="auto" w:frame="1"/>
          <w:lang w:val="en-US"/>
        </w:rPr>
        <w:t>December 31, 2025 and 2024</w:t>
      </w:r>
      <w:r w:rsidR="00D24172" w:rsidRPr="00AB2C8D">
        <w:rPr>
          <w:rFonts w:ascii="Arial" w:eastAsia="Arial" w:hAnsi="Arial" w:cs="Arial"/>
          <w:color w:val="000000"/>
          <w:bdr w:val="none" w:sz="0" w:space="0" w:color="auto" w:frame="1"/>
          <w:lang w:val="en-US"/>
        </w:rPr>
        <w:t>, the warrant liability</w:t>
      </w:r>
      <w:r w:rsidR="00D24172">
        <w:rPr>
          <w:rFonts w:ascii="Arial" w:eastAsia="Arial" w:hAnsi="Arial" w:cs="Arial"/>
          <w:color w:val="000000"/>
          <w:bdr w:val="none" w:sz="0" w:space="0" w:color="auto" w:frame="1"/>
          <w:lang w:val="en-US"/>
        </w:rPr>
        <w:t>,</w:t>
      </w:r>
      <w:r w:rsidR="00D24172" w:rsidRPr="00AB2C8D">
        <w:rPr>
          <w:rFonts w:ascii="Arial" w:eastAsia="Arial" w:hAnsi="Arial" w:cs="Arial"/>
          <w:color w:val="000000"/>
          <w:bdr w:val="none" w:sz="0" w:space="0" w:color="auto" w:frame="1"/>
          <w:lang w:val="en-US"/>
        </w:rPr>
        <w:t xml:space="preserve"> </w:t>
      </w:r>
      <w:r w:rsidR="00D24172">
        <w:rPr>
          <w:rFonts w:ascii="Arial" w:eastAsia="Arial" w:hAnsi="Arial" w:cs="Arial"/>
          <w:color w:val="000000"/>
          <w:bdr w:val="none" w:sz="0" w:space="0" w:color="auto" w:frame="1"/>
          <w:lang w:val="en-US"/>
        </w:rPr>
        <w:t>measured a</w:t>
      </w:r>
      <w:r w:rsidR="00D24172" w:rsidRPr="00AB2C8D">
        <w:rPr>
          <w:rFonts w:ascii="Arial" w:eastAsia="Arial" w:hAnsi="Arial" w:cs="Arial"/>
          <w:color w:val="000000"/>
          <w:bdr w:val="none" w:sz="0" w:space="0" w:color="auto" w:frame="1"/>
          <w:lang w:val="en-US"/>
        </w:rPr>
        <w:t>t fair value</w:t>
      </w:r>
      <w:r w:rsidR="00D24172">
        <w:rPr>
          <w:rFonts w:ascii="Arial" w:eastAsia="Arial" w:hAnsi="Arial" w:cs="Arial"/>
          <w:color w:val="000000"/>
          <w:bdr w:val="none" w:sz="0" w:space="0" w:color="auto" w:frame="1"/>
          <w:lang w:val="en-US"/>
        </w:rPr>
        <w:t>,</w:t>
      </w:r>
      <w:r w:rsidR="00D24172" w:rsidRPr="00AB2C8D">
        <w:rPr>
          <w:rFonts w:ascii="Arial" w:eastAsia="Arial" w:hAnsi="Arial" w:cs="Arial"/>
          <w:color w:val="000000"/>
          <w:bdr w:val="none" w:sz="0" w:space="0" w:color="auto" w:frame="1"/>
          <w:lang w:val="en-US"/>
        </w:rPr>
        <w:t xml:space="preserve"> </w:t>
      </w:r>
      <w:r w:rsidR="00D24172">
        <w:rPr>
          <w:rFonts w:ascii="Arial" w:eastAsia="Arial" w:hAnsi="Arial" w:cs="Arial"/>
          <w:color w:val="000000"/>
          <w:bdr w:val="none" w:sz="0" w:space="0" w:color="auto" w:frame="1"/>
          <w:lang w:val="en-US"/>
        </w:rPr>
        <w:t>amounted to $</w:t>
      </w:r>
      <w:bookmarkStart w:id="837" w:name="XBRL_CS_47e329db17e047d7a1194c4dabec3638"/>
      <w:r w:rsidR="00D24172">
        <w:rPr>
          <w:rFonts w:ascii="Arial" w:eastAsia="Arial" w:hAnsi="Arial" w:cs="Arial"/>
          <w:color w:val="000000"/>
          <w:bdr w:val="none" w:sz="0" w:space="0" w:color="auto" w:frame="1"/>
          <w:lang w:val="en-US"/>
        </w:rPr>
        <w:t>1,330</w:t>
      </w:r>
      <w:bookmarkEnd w:id="837"/>
      <w:r w:rsidR="00D24172">
        <w:rPr>
          <w:rFonts w:ascii="Arial" w:eastAsia="Arial" w:hAnsi="Arial" w:cs="Arial"/>
          <w:color w:val="000000"/>
          <w:bdr w:val="none" w:sz="0" w:space="0" w:color="auto" w:frame="1"/>
          <w:lang w:val="en-US"/>
        </w:rPr>
        <w:t xml:space="preserve"> and $</w:t>
      </w:r>
      <w:bookmarkStart w:id="838" w:name="XBRL_CS_63127289b48a4c558372948b6af34f95"/>
      <w:r w:rsidR="00D24172">
        <w:rPr>
          <w:rFonts w:ascii="Arial" w:eastAsia="Arial" w:hAnsi="Arial" w:cs="Arial"/>
          <w:color w:val="000000"/>
          <w:bdr w:val="none" w:sz="0" w:space="0" w:color="auto" w:frame="1"/>
          <w:lang w:val="en-US"/>
        </w:rPr>
        <w:t>1,802</w:t>
      </w:r>
      <w:bookmarkEnd w:id="838"/>
      <w:r w:rsidR="00D24172">
        <w:rPr>
          <w:rFonts w:ascii="Arial" w:eastAsia="Arial" w:hAnsi="Arial" w:cs="Arial"/>
          <w:color w:val="000000"/>
          <w:bdr w:val="none" w:sz="0" w:space="0" w:color="auto" w:frame="1"/>
          <w:lang w:val="en-US"/>
        </w:rPr>
        <w:t xml:space="preserve">, respectively. </w:t>
      </w:r>
      <w:r w:rsidR="00044ED2">
        <w:rPr>
          <w:rFonts w:ascii="Arial" w:eastAsia="Arial" w:hAnsi="Arial" w:cs="Arial"/>
          <w:color w:val="000000"/>
          <w:bdr w:val="none" w:sz="0" w:space="0" w:color="auto" w:frame="1"/>
          <w:lang w:val="en-US"/>
        </w:rPr>
        <w:t>In</w:t>
      </w:r>
      <w:r w:rsidR="00D24172">
        <w:rPr>
          <w:rFonts w:ascii="Arial" w:eastAsia="Arial" w:hAnsi="Arial" w:cs="Arial"/>
          <w:color w:val="000000"/>
          <w:bdr w:val="none" w:sz="0" w:space="0" w:color="auto" w:frame="1"/>
          <w:lang w:val="en-US"/>
        </w:rPr>
        <w:t xml:space="preserve"> 2025</w:t>
      </w:r>
      <w:r w:rsidR="00302A47">
        <w:rPr>
          <w:rFonts w:ascii="Arial" w:eastAsia="Arial" w:hAnsi="Arial" w:cs="Arial"/>
          <w:color w:val="000000"/>
          <w:bdr w:val="none" w:sz="0" w:space="0" w:color="auto" w:frame="1"/>
          <w:lang w:val="en-US"/>
        </w:rPr>
        <w:t>,</w:t>
      </w:r>
      <w:r w:rsidR="00D24172">
        <w:rPr>
          <w:rFonts w:ascii="Arial" w:eastAsia="Arial" w:hAnsi="Arial" w:cs="Arial"/>
          <w:color w:val="000000"/>
          <w:bdr w:val="none" w:sz="0" w:space="0" w:color="auto" w:frame="1"/>
          <w:lang w:val="en-US"/>
        </w:rPr>
        <w:t xml:space="preserve"> 2024</w:t>
      </w:r>
      <w:r w:rsidR="00302A47">
        <w:rPr>
          <w:rFonts w:ascii="Arial" w:eastAsia="Arial" w:hAnsi="Arial" w:cs="Arial"/>
          <w:color w:val="000000"/>
          <w:bdr w:val="none" w:sz="0" w:space="0" w:color="auto" w:frame="1"/>
          <w:lang w:val="en-US"/>
        </w:rPr>
        <w:t xml:space="preserve"> and 2023</w:t>
      </w:r>
      <w:r w:rsidR="00D24172">
        <w:rPr>
          <w:rFonts w:ascii="Arial" w:eastAsia="Arial" w:hAnsi="Arial" w:cs="Arial"/>
          <w:color w:val="000000"/>
          <w:bdr w:val="none" w:sz="0" w:space="0" w:color="auto" w:frame="1"/>
          <w:lang w:val="en-US"/>
        </w:rPr>
        <w:t xml:space="preserve">, </w:t>
      </w:r>
      <w:r w:rsidR="00CB0EEA">
        <w:rPr>
          <w:rFonts w:ascii="Arial" w:eastAsia="Arial" w:hAnsi="Arial" w:cs="Arial"/>
          <w:color w:val="000000"/>
          <w:bdr w:val="none" w:sz="0" w:space="0" w:color="auto" w:frame="1"/>
          <w:lang w:val="en-US"/>
        </w:rPr>
        <w:t>Gain</w:t>
      </w:r>
      <w:r w:rsidR="00D24172">
        <w:rPr>
          <w:rFonts w:ascii="Arial" w:eastAsia="Arial" w:hAnsi="Arial" w:cs="Arial"/>
          <w:color w:val="000000"/>
          <w:bdr w:val="none" w:sz="0" w:space="0" w:color="auto" w:frame="1"/>
          <w:lang w:val="en-US"/>
        </w:rPr>
        <w:t xml:space="preserve"> on warrants amounted to</w:t>
      </w:r>
      <w:r w:rsidR="00044ED2">
        <w:rPr>
          <w:rFonts w:ascii="Arial" w:eastAsia="Arial" w:hAnsi="Arial" w:cs="Arial"/>
          <w:color w:val="000000"/>
          <w:bdr w:val="none" w:sz="0" w:space="0" w:color="auto" w:frame="1"/>
          <w:lang w:val="en-US"/>
        </w:rPr>
        <w:t xml:space="preserve"> </w:t>
      </w:r>
      <w:r w:rsidR="00D24172">
        <w:rPr>
          <w:rFonts w:ascii="Arial" w:eastAsia="Arial" w:hAnsi="Arial" w:cs="Arial"/>
          <w:color w:val="000000"/>
          <w:bdr w:val="none" w:sz="0" w:space="0" w:color="auto" w:frame="1"/>
          <w:lang w:val="en-US"/>
        </w:rPr>
        <w:t>$</w:t>
      </w:r>
      <w:bookmarkStart w:id="839" w:name="XBRL_CS_e5957d59d7594937bd0156d11626af6b"/>
      <w:bookmarkStart w:id="840" w:name="XBRL_CS_d6c996a7f8714f909afb3a9fb87c8413"/>
      <w:r w:rsidR="00D24172">
        <w:rPr>
          <w:rFonts w:ascii="Arial" w:eastAsia="Arial" w:hAnsi="Arial" w:cs="Arial"/>
          <w:color w:val="000000"/>
          <w:bdr w:val="none" w:sz="0" w:space="0" w:color="auto" w:frame="1"/>
          <w:lang w:val="en-US"/>
        </w:rPr>
        <w:t>490</w:t>
      </w:r>
      <w:bookmarkEnd w:id="839"/>
      <w:bookmarkEnd w:id="840"/>
      <w:r w:rsidR="00302A47">
        <w:rPr>
          <w:rFonts w:ascii="Arial" w:eastAsia="Arial" w:hAnsi="Arial" w:cs="Arial"/>
          <w:color w:val="000000"/>
          <w:bdr w:val="none" w:sz="0" w:space="0" w:color="auto" w:frame="1"/>
          <w:lang w:val="en-US"/>
        </w:rPr>
        <w:t>,</w:t>
      </w:r>
      <w:r w:rsidR="00D24172">
        <w:rPr>
          <w:rFonts w:ascii="Arial" w:eastAsia="Arial" w:hAnsi="Arial" w:cs="Arial"/>
          <w:color w:val="000000"/>
          <w:bdr w:val="none" w:sz="0" w:space="0" w:color="auto" w:frame="1"/>
          <w:lang w:val="en-US"/>
        </w:rPr>
        <w:t xml:space="preserve"> $</w:t>
      </w:r>
      <w:bookmarkStart w:id="841" w:name="XBRL_CS_3005a694a92c47cc9fc8cf4bbad04f25"/>
      <w:bookmarkStart w:id="842" w:name="XBRL_CS_0eb782637f6747a3b0e6382371693524"/>
      <w:r w:rsidR="00D24172">
        <w:rPr>
          <w:rFonts w:ascii="Arial" w:eastAsia="Arial" w:hAnsi="Arial" w:cs="Arial"/>
          <w:color w:val="000000"/>
          <w:bdr w:val="none" w:sz="0" w:space="0" w:color="auto" w:frame="1"/>
          <w:lang w:val="en-US"/>
        </w:rPr>
        <w:t>719</w:t>
      </w:r>
      <w:bookmarkEnd w:id="841"/>
      <w:bookmarkEnd w:id="842"/>
      <w:r w:rsidR="00302A47">
        <w:rPr>
          <w:rFonts w:ascii="Arial" w:eastAsia="Arial" w:hAnsi="Arial" w:cs="Arial"/>
          <w:color w:val="000000"/>
          <w:bdr w:val="none" w:sz="0" w:space="0" w:color="auto" w:frame="1"/>
          <w:lang w:val="en-US"/>
        </w:rPr>
        <w:t xml:space="preserve"> and $</w:t>
      </w:r>
      <w:bookmarkStart w:id="843" w:name="XBRL_CS_7b870f245942496183107ae5bd72355e"/>
      <w:r w:rsidR="00302A47">
        <w:rPr>
          <w:rFonts w:ascii="Arial" w:eastAsia="Arial" w:hAnsi="Arial" w:cs="Arial"/>
          <w:color w:val="000000"/>
          <w:bdr w:val="none" w:sz="0" w:space="0" w:color="auto" w:frame="1"/>
          <w:lang w:val="en-US"/>
        </w:rPr>
        <w:t>1,583</w:t>
      </w:r>
      <w:bookmarkEnd w:id="843"/>
      <w:r w:rsidR="00D24172">
        <w:rPr>
          <w:rFonts w:ascii="Arial" w:eastAsia="Arial" w:hAnsi="Arial" w:cs="Arial"/>
          <w:color w:val="000000"/>
          <w:bdr w:val="none" w:sz="0" w:space="0" w:color="auto" w:frame="1"/>
          <w:lang w:val="en-US"/>
        </w:rPr>
        <w:t xml:space="preserve">, respectively, </w:t>
      </w:r>
      <w:r w:rsidR="00D24172" w:rsidRPr="00AB2C8D">
        <w:rPr>
          <w:rFonts w:ascii="Arial" w:eastAsia="Arial" w:hAnsi="Arial" w:cs="Arial"/>
          <w:color w:val="000000"/>
          <w:bdr w:val="none" w:sz="0" w:space="0" w:color="auto" w:frame="1"/>
          <w:lang w:val="en-US"/>
        </w:rPr>
        <w:t>separately presented in the</w:t>
      </w:r>
      <w:r w:rsidR="00D24172">
        <w:rPr>
          <w:rFonts w:ascii="Arial" w:eastAsia="Arial" w:hAnsi="Arial" w:cs="Arial"/>
          <w:color w:val="000000"/>
          <w:bdr w:val="none" w:sz="0" w:space="0" w:color="auto" w:frame="1"/>
          <w:lang w:val="en-US"/>
        </w:rPr>
        <w:t xml:space="preserve"> </w:t>
      </w:r>
      <w:r w:rsidR="00D24172" w:rsidRPr="00CF6501">
        <w:rPr>
          <w:rFonts w:ascii="Arial" w:eastAsia="Arial" w:hAnsi="Arial" w:cs="Arial"/>
          <w:color w:val="000000"/>
          <w:bdr w:val="none" w:sz="0" w:space="0" w:color="auto" w:frame="1"/>
          <w:lang w:val="en-US" w:bidi="en-US"/>
        </w:rPr>
        <w:t xml:space="preserve">accompanying </w:t>
      </w:r>
      <w:r w:rsidR="00D24172" w:rsidRPr="00AB2C8D">
        <w:rPr>
          <w:rFonts w:ascii="Arial" w:eastAsia="Arial" w:hAnsi="Arial" w:cs="Arial"/>
          <w:color w:val="000000"/>
          <w:bdr w:val="none" w:sz="0" w:space="0" w:color="auto" w:frame="1"/>
          <w:lang w:val="en-US"/>
        </w:rPr>
        <w:t>consolidated statement</w:t>
      </w:r>
      <w:r w:rsidR="00D24172">
        <w:rPr>
          <w:rFonts w:ascii="Arial" w:eastAsia="Arial" w:hAnsi="Arial" w:cs="Arial"/>
          <w:color w:val="000000"/>
          <w:bdr w:val="none" w:sz="0" w:space="0" w:color="auto" w:frame="1"/>
          <w:lang w:val="en-US"/>
        </w:rPr>
        <w:t>s</w:t>
      </w:r>
      <w:r w:rsidR="00D24172" w:rsidRPr="00AB2C8D">
        <w:rPr>
          <w:rFonts w:ascii="Arial" w:eastAsia="Arial" w:hAnsi="Arial" w:cs="Arial"/>
          <w:color w:val="000000"/>
          <w:bdr w:val="none" w:sz="0" w:space="0" w:color="auto" w:frame="1"/>
          <w:lang w:val="en-US"/>
        </w:rPr>
        <w:t xml:space="preserve"> of income.</w:t>
      </w:r>
    </w:p>
    <w:p w14:paraId="71F3F894" w14:textId="77777777" w:rsidR="007A1D4C" w:rsidRPr="00FE3546" w:rsidRDefault="007A1D4C" w:rsidP="00A418D3">
      <w:pPr>
        <w:pBdr>
          <w:top w:val="nil"/>
          <w:left w:val="nil"/>
          <w:bottom w:val="nil"/>
          <w:right w:val="nil"/>
          <w:between w:val="nil"/>
          <w:bar w:val="nil"/>
        </w:pBdr>
        <w:jc w:val="both"/>
        <w:rPr>
          <w:rFonts w:ascii="Arial" w:eastAsia="Arial" w:hAnsi="Arial" w:cs="Arial"/>
          <w:bdr w:val="nil"/>
          <w:lang w:val="en-US"/>
        </w:rPr>
      </w:pPr>
    </w:p>
    <w:p w14:paraId="71F3F895" w14:textId="77777777" w:rsidR="007E1003" w:rsidRPr="00346838" w:rsidRDefault="003A4815" w:rsidP="00346838">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
          <w:i/>
          <w:lang w:val="en-US" w:bidi="en-US"/>
        </w:rPr>
        <w:t>i</w:t>
      </w:r>
      <w:r w:rsidR="006D1101" w:rsidRPr="00346838">
        <w:rPr>
          <w:rFonts w:ascii="Arial" w:eastAsia="Arial" w:hAnsi="Arial" w:cs="Arial"/>
          <w:b/>
          <w:i/>
          <w:lang w:val="en-US" w:bidi="en-US"/>
        </w:rPr>
        <w:t>)</w:t>
      </w:r>
      <w:r w:rsidR="006D1101" w:rsidRPr="00346838">
        <w:rPr>
          <w:rFonts w:ascii="Arial" w:eastAsia="Arial" w:hAnsi="Arial" w:cs="Arial"/>
          <w:b/>
          <w:i/>
          <w:lang w:val="en-US" w:bidi="en-US"/>
        </w:rPr>
        <w:tab/>
        <w:t xml:space="preserve">Incentive </w:t>
      </w:r>
      <w:r w:rsidR="00172DD7" w:rsidRPr="00346838">
        <w:rPr>
          <w:rFonts w:ascii="Arial" w:eastAsia="Arial" w:hAnsi="Arial" w:cs="Arial"/>
          <w:b/>
          <w:i/>
          <w:lang w:val="en-US" w:bidi="en-US"/>
        </w:rPr>
        <w:t>P</w:t>
      </w:r>
      <w:r w:rsidR="006D1101" w:rsidRPr="00346838">
        <w:rPr>
          <w:rFonts w:ascii="Arial" w:eastAsia="Arial" w:hAnsi="Arial" w:cs="Arial"/>
          <w:b/>
          <w:i/>
          <w:lang w:val="en-US" w:bidi="en-US"/>
        </w:rPr>
        <w:t xml:space="preserve">lan: </w:t>
      </w:r>
      <w:r w:rsidR="000C45C8" w:rsidRPr="00346838">
        <w:rPr>
          <w:rFonts w:ascii="Arial" w:eastAsia="Arial" w:hAnsi="Arial" w:cs="Arial"/>
          <w:lang w:val="en-US" w:bidi="en-US"/>
        </w:rPr>
        <w:t>As of</w:t>
      </w:r>
      <w:r w:rsidR="006D1101" w:rsidRPr="00346838">
        <w:rPr>
          <w:rFonts w:ascii="Arial" w:eastAsia="Arial" w:hAnsi="Arial" w:cs="Arial"/>
          <w:lang w:val="en-US" w:bidi="en-US"/>
        </w:rPr>
        <w:t xml:space="preserve"> </w:t>
      </w:r>
      <w:r w:rsidR="000C45C8" w:rsidRPr="00346838">
        <w:rPr>
          <w:rFonts w:ascii="Arial" w:eastAsia="Arial" w:hAnsi="Arial" w:cs="Arial"/>
          <w:lang w:val="en-US" w:bidi="en-US"/>
        </w:rPr>
        <w:t>December 31</w:t>
      </w:r>
      <w:r w:rsidR="006D1101" w:rsidRPr="00346838">
        <w:rPr>
          <w:rFonts w:ascii="Arial" w:eastAsia="Arial" w:hAnsi="Arial" w:cs="Arial"/>
          <w:lang w:val="en-US" w:bidi="en-US"/>
        </w:rPr>
        <w:t xml:space="preserve">, </w:t>
      </w:r>
      <w:r w:rsidR="000C45C8" w:rsidRPr="00346838">
        <w:rPr>
          <w:rFonts w:ascii="Arial" w:eastAsia="Arial" w:hAnsi="Arial" w:cs="Arial"/>
          <w:lang w:val="en-US" w:bidi="en-US"/>
        </w:rPr>
        <w:t>2025</w:t>
      </w:r>
      <w:r w:rsidR="006D1101" w:rsidRPr="00346838">
        <w:rPr>
          <w:rFonts w:ascii="Arial" w:eastAsia="Arial" w:hAnsi="Arial" w:cs="Arial"/>
          <w:lang w:val="en-US" w:bidi="en-US"/>
        </w:rPr>
        <w:t xml:space="preserve">, </w:t>
      </w:r>
      <w:bookmarkStart w:id="844" w:name="XBRL_CS_2faa00e6f75e4b0bb282109d8d8f4279"/>
      <w:r w:rsidR="000C45C8" w:rsidRPr="00346838">
        <w:rPr>
          <w:rFonts w:ascii="Arial" w:eastAsia="Arial" w:hAnsi="Arial" w:cs="Arial"/>
          <w:lang w:val="en-US" w:bidi="en-US"/>
        </w:rPr>
        <w:t>9,144,759</w:t>
      </w:r>
      <w:bookmarkEnd w:id="844"/>
      <w:r w:rsidR="006D1101" w:rsidRPr="00346838">
        <w:rPr>
          <w:rFonts w:ascii="Arial" w:eastAsia="Arial" w:hAnsi="Arial" w:cs="Arial"/>
          <w:lang w:val="en-US" w:bidi="en-US"/>
        </w:rPr>
        <w:t xml:space="preserve"> shares remained reserved for issuance according to the Company’s incentive plan.</w:t>
      </w:r>
    </w:p>
    <w:p w14:paraId="71F3F896" w14:textId="77777777" w:rsidR="00ED0AF4" w:rsidRPr="00346838" w:rsidRDefault="00ED0AF4" w:rsidP="00346838">
      <w:pPr>
        <w:pBdr>
          <w:top w:val="nil"/>
          <w:left w:val="nil"/>
          <w:bottom w:val="nil"/>
          <w:right w:val="nil"/>
          <w:between w:val="nil"/>
          <w:bar w:val="nil"/>
        </w:pBdr>
        <w:jc w:val="both"/>
        <w:rPr>
          <w:rFonts w:ascii="Arial" w:eastAsia="Arial" w:hAnsi="Arial" w:cs="Arial"/>
          <w:bdr w:val="nil"/>
          <w:lang w:val="en-US"/>
        </w:rPr>
      </w:pPr>
    </w:p>
    <w:p w14:paraId="71F3F897" w14:textId="77777777" w:rsidR="00892673" w:rsidRPr="00346838" w:rsidRDefault="003A4815" w:rsidP="00346838">
      <w:pPr>
        <w:pBdr>
          <w:top w:val="nil"/>
          <w:left w:val="nil"/>
          <w:bottom w:val="nil"/>
          <w:right w:val="nil"/>
          <w:between w:val="nil"/>
          <w:bar w:val="nil"/>
        </w:pBdr>
        <w:jc w:val="both"/>
        <w:rPr>
          <w:rFonts w:ascii="Arial" w:eastAsia="Arial" w:hAnsi="Arial" w:cs="Arial"/>
          <w:bdr w:val="nil"/>
          <w:lang w:val="en-US"/>
        </w:rPr>
      </w:pPr>
      <w:r w:rsidRPr="00346838">
        <w:rPr>
          <w:rFonts w:ascii="Arial" w:eastAsia="Arial" w:hAnsi="Arial" w:cs="Arial"/>
          <w:lang w:val="en-US" w:bidi="en-US"/>
        </w:rPr>
        <w:t xml:space="preserve">Restricted stock </w:t>
      </w:r>
      <w:r>
        <w:rPr>
          <w:rFonts w:ascii="Arial" w:eastAsia="Arial" w:hAnsi="Arial" w:cs="Arial"/>
          <w:lang w:val="en-US" w:bidi="en-US"/>
        </w:rPr>
        <w:t xml:space="preserve">as of December 31, </w:t>
      </w:r>
      <w:r w:rsidRPr="00346838">
        <w:rPr>
          <w:rFonts w:ascii="Arial" w:eastAsia="Arial" w:hAnsi="Arial" w:cs="Arial"/>
          <w:lang w:val="en-US" w:bidi="en-US"/>
        </w:rPr>
        <w:t>2025</w:t>
      </w:r>
      <w:r w:rsidR="009A460A">
        <w:rPr>
          <w:rFonts w:ascii="Arial" w:eastAsia="Arial" w:hAnsi="Arial" w:cs="Arial"/>
          <w:lang w:val="en-US" w:bidi="en-US"/>
        </w:rPr>
        <w:t xml:space="preserve">, </w:t>
      </w:r>
      <w:r w:rsidRPr="00346838">
        <w:rPr>
          <w:rFonts w:ascii="Arial" w:eastAsia="Arial" w:hAnsi="Arial" w:cs="Arial"/>
          <w:lang w:val="en-US" w:bidi="en-US"/>
        </w:rPr>
        <w:t>2024</w:t>
      </w:r>
      <w:r>
        <w:rPr>
          <w:rFonts w:ascii="Arial" w:eastAsia="Arial" w:hAnsi="Arial" w:cs="Arial"/>
          <w:lang w:val="en-US" w:bidi="en-US"/>
        </w:rPr>
        <w:t xml:space="preserve"> </w:t>
      </w:r>
      <w:r w:rsidR="009A460A">
        <w:rPr>
          <w:rFonts w:ascii="Arial" w:eastAsia="Arial" w:hAnsi="Arial" w:cs="Arial"/>
          <w:lang w:val="en-US" w:bidi="en-US"/>
        </w:rPr>
        <w:t xml:space="preserve">and </w:t>
      </w:r>
      <w:r w:rsidR="009A460A" w:rsidRPr="00346838">
        <w:rPr>
          <w:rFonts w:ascii="Arial" w:eastAsia="Arial" w:hAnsi="Arial" w:cs="Arial"/>
          <w:lang w:val="en-US" w:bidi="en-US"/>
        </w:rPr>
        <w:t>2023</w:t>
      </w:r>
      <w:r w:rsidR="009A460A">
        <w:rPr>
          <w:rFonts w:ascii="Arial" w:eastAsia="Arial" w:hAnsi="Arial" w:cs="Arial"/>
          <w:lang w:val="en-US" w:bidi="en-US"/>
        </w:rPr>
        <w:t xml:space="preserve"> </w:t>
      </w:r>
      <w:r w:rsidRPr="00346838">
        <w:rPr>
          <w:rFonts w:ascii="Arial" w:eastAsia="Arial" w:hAnsi="Arial" w:cs="Arial"/>
          <w:lang w:val="en-US" w:bidi="en-US"/>
        </w:rPr>
        <w:t>is analyzed as follows:</w:t>
      </w:r>
      <w:bookmarkEnd w:id="732"/>
    </w:p>
    <w:tbl>
      <w:tblPr>
        <w:tblStyle w:val="CDMRange1"/>
        <w:tblW w:w="10260" w:type="dxa"/>
        <w:tblLayout w:type="fixed"/>
        <w:tblLook w:val="0600" w:firstRow="0" w:lastRow="0" w:firstColumn="0" w:lastColumn="0" w:noHBand="1" w:noVBand="1"/>
      </w:tblPr>
      <w:tblGrid>
        <w:gridCol w:w="5970"/>
        <w:gridCol w:w="180"/>
        <w:gridCol w:w="1965"/>
        <w:gridCol w:w="180"/>
        <w:gridCol w:w="1965"/>
      </w:tblGrid>
      <w:tr w:rsidR="00510CAA" w14:paraId="71F3F89D" w14:textId="77777777">
        <w:trPr>
          <w:cantSplit/>
          <w:trHeight w:hRule="exact" w:val="495"/>
        </w:trPr>
        <w:tc>
          <w:tcPr>
            <w:tcW w:w="5970" w:type="dxa"/>
            <w:tcBorders>
              <w:top w:val="nil"/>
              <w:left w:val="nil"/>
              <w:bottom w:val="nil"/>
              <w:right w:val="nil"/>
              <w:tl2br w:val="nil"/>
              <w:tr2bl w:val="nil"/>
            </w:tcBorders>
            <w:noWrap/>
            <w:tcMar>
              <w:left w:w="0" w:type="dxa"/>
              <w:right w:w="0" w:type="dxa"/>
            </w:tcMar>
            <w:vAlign w:val="bottom"/>
          </w:tcPr>
          <w:p w14:paraId="71F3F898" w14:textId="77777777" w:rsidR="00510CAA" w:rsidRDefault="00510CAA">
            <w:pPr>
              <w:keepNext/>
              <w:rPr>
                <w:rFonts w:ascii="Arial" w:eastAsia="Arial" w:hAnsi="Arial" w:cs="Arial"/>
                <w:color w:val="000000"/>
                <w:sz w:val="20"/>
              </w:rPr>
            </w:pPr>
            <w:bookmarkStart w:id="845" w:name="RG_MARKER_23117"/>
            <w:bookmarkEnd w:id="845"/>
          </w:p>
        </w:tc>
        <w:tc>
          <w:tcPr>
            <w:tcW w:w="180" w:type="dxa"/>
            <w:tcBorders>
              <w:top w:val="nil"/>
              <w:left w:val="nil"/>
              <w:bottom w:val="nil"/>
              <w:right w:val="nil"/>
              <w:tl2br w:val="nil"/>
              <w:tr2bl w:val="nil"/>
            </w:tcBorders>
            <w:noWrap/>
            <w:tcMar>
              <w:left w:w="0" w:type="dxa"/>
              <w:right w:w="0" w:type="dxa"/>
            </w:tcMar>
            <w:vAlign w:val="bottom"/>
          </w:tcPr>
          <w:p w14:paraId="71F3F899" w14:textId="77777777" w:rsidR="00510CAA" w:rsidRDefault="00510CAA">
            <w:pPr>
              <w:keepNext/>
              <w:rPr>
                <w:rFonts w:ascii="Arial" w:eastAsia="Arial" w:hAnsi="Arial" w:cs="Arial"/>
                <w:color w:val="000000"/>
                <w:sz w:val="20"/>
              </w:rPr>
            </w:pPr>
          </w:p>
        </w:tc>
        <w:tc>
          <w:tcPr>
            <w:tcW w:w="1965" w:type="dxa"/>
            <w:tcBorders>
              <w:top w:val="nil"/>
              <w:left w:val="nil"/>
              <w:bottom w:val="single" w:sz="12" w:space="0" w:color="000000"/>
              <w:right w:val="nil"/>
              <w:tl2br w:val="nil"/>
              <w:tr2bl w:val="nil"/>
            </w:tcBorders>
            <w:tcMar>
              <w:left w:w="0" w:type="dxa"/>
              <w:right w:w="0" w:type="dxa"/>
            </w:tcMar>
            <w:vAlign w:val="bottom"/>
          </w:tcPr>
          <w:p w14:paraId="71F3F89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Number of Shares</w:t>
            </w:r>
          </w:p>
        </w:tc>
        <w:tc>
          <w:tcPr>
            <w:tcW w:w="180" w:type="dxa"/>
            <w:tcBorders>
              <w:top w:val="nil"/>
              <w:left w:val="nil"/>
              <w:bottom w:val="nil"/>
              <w:right w:val="nil"/>
              <w:tl2br w:val="nil"/>
              <w:tr2bl w:val="nil"/>
            </w:tcBorders>
            <w:noWrap/>
            <w:tcMar>
              <w:left w:w="0" w:type="dxa"/>
              <w:right w:w="0" w:type="dxa"/>
            </w:tcMar>
            <w:vAlign w:val="bottom"/>
          </w:tcPr>
          <w:p w14:paraId="71F3F89B" w14:textId="77777777" w:rsidR="00510CAA" w:rsidRDefault="00510CAA">
            <w:pPr>
              <w:keepNext/>
              <w:rPr>
                <w:rFonts w:ascii="Arial" w:eastAsia="Arial" w:hAnsi="Arial" w:cs="Arial"/>
                <w:color w:val="000000"/>
                <w:sz w:val="20"/>
              </w:rPr>
            </w:pPr>
          </w:p>
        </w:tc>
        <w:tc>
          <w:tcPr>
            <w:tcW w:w="1965" w:type="dxa"/>
            <w:tcBorders>
              <w:top w:val="nil"/>
              <w:left w:val="nil"/>
              <w:bottom w:val="single" w:sz="12" w:space="0" w:color="000000"/>
              <w:right w:val="nil"/>
              <w:tl2br w:val="nil"/>
              <w:tr2bl w:val="nil"/>
            </w:tcBorders>
            <w:tcMar>
              <w:left w:w="0" w:type="dxa"/>
              <w:right w:w="0" w:type="dxa"/>
            </w:tcMar>
            <w:vAlign w:val="bottom"/>
          </w:tcPr>
          <w:p w14:paraId="71F3F89C"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Weighted Average Grant Date Price</w:t>
            </w:r>
          </w:p>
        </w:tc>
      </w:tr>
      <w:tr w:rsidR="00510CAA" w14:paraId="71F3F8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70" w:type="dxa"/>
            <w:tcBorders>
              <w:top w:val="nil"/>
              <w:left w:val="nil"/>
              <w:bottom w:val="nil"/>
              <w:right w:val="nil"/>
              <w:tl2br w:val="nil"/>
              <w:tr2bl w:val="nil"/>
            </w:tcBorders>
            <w:noWrap/>
            <w:tcMar>
              <w:left w:w="0" w:type="dxa"/>
              <w:right w:w="0" w:type="dxa"/>
            </w:tcMar>
            <w:vAlign w:val="bottom"/>
          </w:tcPr>
          <w:p w14:paraId="71F3F89E" w14:textId="77777777" w:rsidR="00510CAA" w:rsidRDefault="003A4815">
            <w:pPr>
              <w:keepNext/>
              <w:rPr>
                <w:rFonts w:ascii="Arial" w:eastAsia="Arial" w:hAnsi="Arial" w:cs="Arial"/>
                <w:b/>
                <w:color w:val="000000"/>
                <w:sz w:val="20"/>
              </w:rPr>
            </w:pPr>
            <w:r>
              <w:rPr>
                <w:rFonts w:ascii="Arial" w:eastAsia="Arial" w:hAnsi="Arial" w:cs="Arial"/>
                <w:b/>
                <w:color w:val="000000"/>
                <w:sz w:val="20"/>
              </w:rPr>
              <w:t>Outstanding as of December 31, 2022</w:t>
            </w:r>
          </w:p>
        </w:tc>
        <w:tc>
          <w:tcPr>
            <w:tcW w:w="180" w:type="dxa"/>
            <w:tcBorders>
              <w:top w:val="nil"/>
              <w:left w:val="nil"/>
              <w:bottom w:val="nil"/>
              <w:right w:val="nil"/>
              <w:tl2br w:val="nil"/>
              <w:tr2bl w:val="nil"/>
            </w:tcBorders>
            <w:noWrap/>
            <w:tcMar>
              <w:left w:w="0" w:type="dxa"/>
              <w:right w:w="0" w:type="dxa"/>
            </w:tcMar>
            <w:vAlign w:val="bottom"/>
          </w:tcPr>
          <w:p w14:paraId="71F3F89F" w14:textId="77777777" w:rsidR="00510CAA" w:rsidRDefault="00510CAA">
            <w:pPr>
              <w:keepNext/>
              <w:rPr>
                <w:rFonts w:ascii="Arial" w:eastAsia="Arial" w:hAnsi="Arial" w:cs="Arial"/>
                <w:color w:val="000000"/>
                <w:sz w:val="20"/>
              </w:rPr>
            </w:pPr>
          </w:p>
        </w:tc>
        <w:tc>
          <w:tcPr>
            <w:tcW w:w="1965" w:type="dxa"/>
            <w:tcBorders>
              <w:top w:val="single" w:sz="12" w:space="0" w:color="000000"/>
              <w:left w:val="nil"/>
              <w:bottom w:val="nil"/>
              <w:right w:val="nil"/>
              <w:tl2br w:val="nil"/>
              <w:tr2bl w:val="nil"/>
            </w:tcBorders>
            <w:noWrap/>
            <w:tcMar>
              <w:left w:w="0" w:type="dxa"/>
              <w:right w:w="60" w:type="dxa"/>
            </w:tcMar>
            <w:vAlign w:val="center"/>
          </w:tcPr>
          <w:p w14:paraId="71F3F8A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7,866,589</w:t>
            </w:r>
          </w:p>
        </w:tc>
        <w:tc>
          <w:tcPr>
            <w:tcW w:w="180" w:type="dxa"/>
            <w:tcBorders>
              <w:top w:val="nil"/>
              <w:left w:val="nil"/>
              <w:bottom w:val="nil"/>
              <w:right w:val="nil"/>
              <w:tl2br w:val="nil"/>
              <w:tr2bl w:val="nil"/>
            </w:tcBorders>
            <w:noWrap/>
            <w:tcMar>
              <w:left w:w="0" w:type="dxa"/>
              <w:right w:w="60" w:type="dxa"/>
            </w:tcMar>
            <w:vAlign w:val="center"/>
          </w:tcPr>
          <w:p w14:paraId="71F3F8A1"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12" w:space="0" w:color="000000"/>
              <w:left w:val="nil"/>
              <w:bottom w:val="nil"/>
              <w:right w:val="nil"/>
              <w:tl2br w:val="nil"/>
              <w:tr2bl w:val="nil"/>
            </w:tcBorders>
            <w:noWrap/>
            <w:tcMar>
              <w:left w:w="0" w:type="dxa"/>
              <w:right w:w="60" w:type="dxa"/>
            </w:tcMar>
            <w:vAlign w:val="center"/>
          </w:tcPr>
          <w:p w14:paraId="71F3F8A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3.07</w:t>
            </w:r>
          </w:p>
        </w:tc>
      </w:tr>
      <w:tr w:rsidR="00510CAA" w14:paraId="71F3F8A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70" w:type="dxa"/>
            <w:tcBorders>
              <w:top w:val="nil"/>
              <w:left w:val="nil"/>
              <w:bottom w:val="nil"/>
              <w:right w:val="nil"/>
              <w:tl2br w:val="nil"/>
              <w:tr2bl w:val="nil"/>
            </w:tcBorders>
            <w:noWrap/>
            <w:tcMar>
              <w:left w:w="0" w:type="dxa"/>
              <w:right w:w="0" w:type="dxa"/>
            </w:tcMar>
            <w:vAlign w:val="bottom"/>
          </w:tcPr>
          <w:p w14:paraId="71F3F8A4" w14:textId="77777777" w:rsidR="00510CAA" w:rsidRDefault="003A4815">
            <w:pPr>
              <w:keepNext/>
              <w:rPr>
                <w:rFonts w:ascii="Arial" w:eastAsia="Arial" w:hAnsi="Arial" w:cs="Arial"/>
                <w:color w:val="000000"/>
                <w:sz w:val="20"/>
              </w:rPr>
            </w:pPr>
            <w:r>
              <w:rPr>
                <w:rFonts w:ascii="Arial" w:eastAsia="Arial" w:hAnsi="Arial" w:cs="Arial"/>
                <w:color w:val="000000"/>
                <w:sz w:val="20"/>
              </w:rPr>
              <w:t>Granted</w:t>
            </w:r>
          </w:p>
        </w:tc>
        <w:tc>
          <w:tcPr>
            <w:tcW w:w="180" w:type="dxa"/>
            <w:tcBorders>
              <w:top w:val="nil"/>
              <w:left w:val="nil"/>
              <w:bottom w:val="nil"/>
              <w:right w:val="nil"/>
              <w:tl2br w:val="nil"/>
              <w:tr2bl w:val="nil"/>
            </w:tcBorders>
            <w:noWrap/>
            <w:tcMar>
              <w:left w:w="0" w:type="dxa"/>
              <w:right w:w="0" w:type="dxa"/>
            </w:tcMar>
            <w:vAlign w:val="bottom"/>
          </w:tcPr>
          <w:p w14:paraId="71F3F8A5"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60" w:type="dxa"/>
            </w:tcMar>
            <w:vAlign w:val="center"/>
          </w:tcPr>
          <w:p w14:paraId="71F3F8A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1,750,000</w:t>
            </w:r>
          </w:p>
        </w:tc>
        <w:tc>
          <w:tcPr>
            <w:tcW w:w="180" w:type="dxa"/>
            <w:tcBorders>
              <w:top w:val="nil"/>
              <w:left w:val="nil"/>
              <w:bottom w:val="nil"/>
              <w:right w:val="nil"/>
              <w:tl2br w:val="nil"/>
              <w:tr2bl w:val="nil"/>
            </w:tcBorders>
            <w:noWrap/>
            <w:tcMar>
              <w:left w:w="0" w:type="dxa"/>
              <w:right w:w="0" w:type="dxa"/>
            </w:tcMar>
            <w:vAlign w:val="center"/>
          </w:tcPr>
          <w:p w14:paraId="71F3F8A7"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60" w:type="dxa"/>
            </w:tcMar>
            <w:vAlign w:val="bottom"/>
          </w:tcPr>
          <w:p w14:paraId="71F3F8A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4.54</w:t>
            </w:r>
          </w:p>
        </w:tc>
      </w:tr>
      <w:tr w:rsidR="00510CAA" w14:paraId="71F3F8A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70" w:type="dxa"/>
            <w:tcBorders>
              <w:top w:val="nil"/>
              <w:left w:val="nil"/>
              <w:bottom w:val="nil"/>
              <w:right w:val="nil"/>
              <w:tl2br w:val="nil"/>
              <w:tr2bl w:val="nil"/>
            </w:tcBorders>
            <w:noWrap/>
            <w:tcMar>
              <w:left w:w="0" w:type="dxa"/>
              <w:right w:w="0" w:type="dxa"/>
            </w:tcMar>
            <w:vAlign w:val="bottom"/>
          </w:tcPr>
          <w:p w14:paraId="71F3F8AA" w14:textId="77777777" w:rsidR="00510CAA" w:rsidRDefault="003A4815">
            <w:pPr>
              <w:keepNext/>
              <w:rPr>
                <w:rFonts w:ascii="Arial" w:eastAsia="Arial" w:hAnsi="Arial" w:cs="Arial"/>
                <w:color w:val="000000"/>
                <w:sz w:val="20"/>
              </w:rPr>
            </w:pPr>
            <w:r>
              <w:rPr>
                <w:rFonts w:ascii="Arial" w:eastAsia="Arial" w:hAnsi="Arial" w:cs="Arial"/>
                <w:color w:val="000000"/>
                <w:sz w:val="20"/>
              </w:rPr>
              <w:t>Vested</w:t>
            </w:r>
          </w:p>
        </w:tc>
        <w:tc>
          <w:tcPr>
            <w:tcW w:w="180" w:type="dxa"/>
            <w:tcBorders>
              <w:top w:val="nil"/>
              <w:left w:val="nil"/>
              <w:bottom w:val="nil"/>
              <w:right w:val="nil"/>
              <w:tl2br w:val="nil"/>
              <w:tr2bl w:val="nil"/>
            </w:tcBorders>
            <w:noWrap/>
            <w:tcMar>
              <w:left w:w="0" w:type="dxa"/>
              <w:right w:w="0" w:type="dxa"/>
            </w:tcMar>
            <w:vAlign w:val="bottom"/>
          </w:tcPr>
          <w:p w14:paraId="71F3F8AB"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0" w:type="dxa"/>
            </w:tcMar>
            <w:vAlign w:val="center"/>
          </w:tcPr>
          <w:p w14:paraId="71F3F8A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(2,822,753)</w:t>
            </w:r>
          </w:p>
        </w:tc>
        <w:tc>
          <w:tcPr>
            <w:tcW w:w="180" w:type="dxa"/>
            <w:tcBorders>
              <w:top w:val="nil"/>
              <w:left w:val="nil"/>
              <w:bottom w:val="nil"/>
              <w:right w:val="nil"/>
              <w:tl2br w:val="nil"/>
              <w:tr2bl w:val="nil"/>
            </w:tcBorders>
            <w:noWrap/>
            <w:tcMar>
              <w:left w:w="0" w:type="dxa"/>
              <w:right w:w="0" w:type="dxa"/>
            </w:tcMar>
            <w:vAlign w:val="center"/>
          </w:tcPr>
          <w:p w14:paraId="71F3F8AD"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60" w:type="dxa"/>
            </w:tcMar>
            <w:vAlign w:val="bottom"/>
          </w:tcPr>
          <w:p w14:paraId="71F3F8A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3.05</w:t>
            </w:r>
          </w:p>
        </w:tc>
      </w:tr>
      <w:tr w:rsidR="00510CAA" w14:paraId="71F3F8B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970" w:type="dxa"/>
            <w:tcBorders>
              <w:top w:val="nil"/>
              <w:left w:val="nil"/>
              <w:bottom w:val="nil"/>
              <w:right w:val="nil"/>
              <w:tl2br w:val="nil"/>
              <w:tr2bl w:val="nil"/>
            </w:tcBorders>
            <w:noWrap/>
            <w:tcMar>
              <w:left w:w="0" w:type="dxa"/>
              <w:right w:w="0" w:type="dxa"/>
            </w:tcMar>
            <w:vAlign w:val="bottom"/>
          </w:tcPr>
          <w:p w14:paraId="71F3F8B0" w14:textId="77777777" w:rsidR="00510CAA" w:rsidRDefault="003A4815">
            <w:pPr>
              <w:keepNext/>
              <w:rPr>
                <w:rFonts w:ascii="Arial" w:eastAsia="Arial" w:hAnsi="Arial" w:cs="Arial"/>
                <w:b/>
                <w:color w:val="000000"/>
                <w:sz w:val="20"/>
              </w:rPr>
            </w:pPr>
            <w:r>
              <w:rPr>
                <w:rFonts w:ascii="Arial" w:eastAsia="Arial" w:hAnsi="Arial" w:cs="Arial"/>
                <w:b/>
                <w:color w:val="000000"/>
                <w:sz w:val="20"/>
              </w:rPr>
              <w:t>Outstanding as of December 31, 2023</w:t>
            </w:r>
          </w:p>
        </w:tc>
        <w:tc>
          <w:tcPr>
            <w:tcW w:w="180" w:type="dxa"/>
            <w:tcBorders>
              <w:top w:val="nil"/>
              <w:left w:val="nil"/>
              <w:bottom w:val="nil"/>
              <w:right w:val="nil"/>
              <w:tl2br w:val="nil"/>
              <w:tr2bl w:val="nil"/>
            </w:tcBorders>
            <w:noWrap/>
            <w:tcMar>
              <w:left w:w="0" w:type="dxa"/>
              <w:right w:w="0" w:type="dxa"/>
            </w:tcMar>
            <w:vAlign w:val="bottom"/>
          </w:tcPr>
          <w:p w14:paraId="71F3F8B1" w14:textId="77777777" w:rsidR="00510CAA" w:rsidRDefault="00510CAA">
            <w:pPr>
              <w:keepNext/>
              <w:rPr>
                <w:rFonts w:ascii="Arial" w:eastAsia="Arial" w:hAnsi="Arial" w:cs="Arial"/>
                <w:color w:val="000000"/>
                <w:sz w:val="20"/>
              </w:rPr>
            </w:pP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center"/>
          </w:tcPr>
          <w:p w14:paraId="71F3F8B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6,793,836</w:t>
            </w:r>
          </w:p>
        </w:tc>
        <w:tc>
          <w:tcPr>
            <w:tcW w:w="180" w:type="dxa"/>
            <w:tcBorders>
              <w:top w:val="nil"/>
              <w:left w:val="nil"/>
              <w:bottom w:val="nil"/>
              <w:right w:val="nil"/>
              <w:tl2br w:val="nil"/>
              <w:tr2bl w:val="nil"/>
            </w:tcBorders>
            <w:noWrap/>
            <w:tcMar>
              <w:left w:w="0" w:type="dxa"/>
              <w:right w:w="60" w:type="dxa"/>
            </w:tcMar>
            <w:vAlign w:val="center"/>
          </w:tcPr>
          <w:p w14:paraId="71F3F8B3"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8B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3.45</w:t>
            </w:r>
          </w:p>
        </w:tc>
      </w:tr>
      <w:tr w:rsidR="00510CAA" w14:paraId="71F3F8B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970" w:type="dxa"/>
            <w:tcBorders>
              <w:top w:val="nil"/>
              <w:left w:val="nil"/>
              <w:bottom w:val="nil"/>
              <w:right w:val="nil"/>
              <w:tl2br w:val="nil"/>
              <w:tr2bl w:val="nil"/>
            </w:tcBorders>
            <w:noWrap/>
            <w:tcMar>
              <w:left w:w="0" w:type="dxa"/>
              <w:right w:w="0" w:type="dxa"/>
            </w:tcMar>
            <w:vAlign w:val="bottom"/>
          </w:tcPr>
          <w:p w14:paraId="71F3F8B6" w14:textId="77777777" w:rsidR="00510CAA" w:rsidRDefault="003A4815">
            <w:pPr>
              <w:keepNext/>
              <w:rPr>
                <w:rFonts w:ascii="Arial" w:eastAsia="Arial" w:hAnsi="Arial" w:cs="Arial"/>
                <w:color w:val="000000"/>
                <w:sz w:val="20"/>
              </w:rPr>
            </w:pPr>
            <w:r>
              <w:rPr>
                <w:rFonts w:ascii="Arial" w:eastAsia="Arial" w:hAnsi="Arial" w:cs="Arial"/>
                <w:color w:val="000000"/>
                <w:sz w:val="20"/>
              </w:rPr>
              <w:t>Granted</w:t>
            </w:r>
          </w:p>
        </w:tc>
        <w:tc>
          <w:tcPr>
            <w:tcW w:w="180" w:type="dxa"/>
            <w:tcBorders>
              <w:top w:val="nil"/>
              <w:left w:val="nil"/>
              <w:bottom w:val="nil"/>
              <w:right w:val="nil"/>
              <w:tl2br w:val="nil"/>
              <w:tr2bl w:val="nil"/>
            </w:tcBorders>
            <w:noWrap/>
            <w:tcMar>
              <w:left w:w="0" w:type="dxa"/>
              <w:right w:w="0" w:type="dxa"/>
            </w:tcMar>
            <w:vAlign w:val="bottom"/>
          </w:tcPr>
          <w:p w14:paraId="71F3F8B7" w14:textId="77777777" w:rsidR="00510CAA" w:rsidRDefault="00510CAA">
            <w:pPr>
              <w:keepNext/>
              <w:rPr>
                <w:rFonts w:ascii="Arial" w:eastAsia="Arial" w:hAnsi="Arial" w:cs="Arial"/>
                <w:color w:val="000000"/>
                <w:sz w:val="20"/>
              </w:rPr>
            </w:pPr>
          </w:p>
        </w:tc>
        <w:tc>
          <w:tcPr>
            <w:tcW w:w="1965" w:type="dxa"/>
            <w:tcBorders>
              <w:top w:val="double" w:sz="6" w:space="0" w:color="000000"/>
              <w:left w:val="nil"/>
              <w:bottom w:val="nil"/>
              <w:right w:val="nil"/>
              <w:tl2br w:val="nil"/>
              <w:tr2bl w:val="nil"/>
            </w:tcBorders>
            <w:noWrap/>
            <w:tcMar>
              <w:left w:w="0" w:type="dxa"/>
              <w:right w:w="60" w:type="dxa"/>
            </w:tcMar>
            <w:vAlign w:val="center"/>
          </w:tcPr>
          <w:p w14:paraId="71F3F8B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2,300,000</w:t>
            </w:r>
          </w:p>
        </w:tc>
        <w:tc>
          <w:tcPr>
            <w:tcW w:w="180" w:type="dxa"/>
            <w:tcBorders>
              <w:top w:val="nil"/>
              <w:left w:val="nil"/>
              <w:bottom w:val="nil"/>
              <w:right w:val="nil"/>
              <w:tl2br w:val="nil"/>
              <w:tr2bl w:val="nil"/>
            </w:tcBorders>
            <w:noWrap/>
            <w:tcMar>
              <w:left w:w="0" w:type="dxa"/>
              <w:right w:w="0" w:type="dxa"/>
            </w:tcMar>
            <w:vAlign w:val="center"/>
          </w:tcPr>
          <w:p w14:paraId="71F3F8B9" w14:textId="77777777" w:rsidR="00510CAA" w:rsidRDefault="00510CAA">
            <w:pPr>
              <w:keepNext/>
              <w:rPr>
                <w:rFonts w:ascii="Arial" w:eastAsia="Arial" w:hAnsi="Arial" w:cs="Arial"/>
                <w:color w:val="000000"/>
                <w:sz w:val="20"/>
              </w:rPr>
            </w:pPr>
          </w:p>
        </w:tc>
        <w:tc>
          <w:tcPr>
            <w:tcW w:w="1965" w:type="dxa"/>
            <w:tcBorders>
              <w:top w:val="double" w:sz="6" w:space="0" w:color="000000"/>
              <w:left w:val="nil"/>
              <w:bottom w:val="nil"/>
              <w:right w:val="nil"/>
              <w:tl2br w:val="nil"/>
              <w:tr2bl w:val="nil"/>
            </w:tcBorders>
            <w:noWrap/>
            <w:tcMar>
              <w:left w:w="0" w:type="dxa"/>
              <w:right w:w="60" w:type="dxa"/>
            </w:tcMar>
            <w:vAlign w:val="bottom"/>
          </w:tcPr>
          <w:p w14:paraId="71F3F8B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2.96</w:t>
            </w:r>
          </w:p>
        </w:tc>
      </w:tr>
      <w:tr w:rsidR="00510CAA" w14:paraId="71F3F8C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70" w:type="dxa"/>
            <w:tcBorders>
              <w:top w:val="nil"/>
              <w:left w:val="nil"/>
              <w:bottom w:val="nil"/>
              <w:right w:val="nil"/>
              <w:tl2br w:val="nil"/>
              <w:tr2bl w:val="nil"/>
            </w:tcBorders>
            <w:noWrap/>
            <w:tcMar>
              <w:left w:w="0" w:type="dxa"/>
              <w:right w:w="0" w:type="dxa"/>
            </w:tcMar>
            <w:vAlign w:val="bottom"/>
          </w:tcPr>
          <w:p w14:paraId="71F3F8BC" w14:textId="77777777" w:rsidR="00510CAA" w:rsidRDefault="003A4815">
            <w:pPr>
              <w:keepNext/>
              <w:rPr>
                <w:rFonts w:ascii="Arial" w:eastAsia="Arial" w:hAnsi="Arial" w:cs="Arial"/>
                <w:color w:val="000000"/>
                <w:sz w:val="20"/>
              </w:rPr>
            </w:pPr>
            <w:r>
              <w:rPr>
                <w:rFonts w:ascii="Arial" w:eastAsia="Arial" w:hAnsi="Arial" w:cs="Arial"/>
                <w:color w:val="000000"/>
                <w:sz w:val="20"/>
              </w:rPr>
              <w:t>Vested</w:t>
            </w:r>
          </w:p>
        </w:tc>
        <w:tc>
          <w:tcPr>
            <w:tcW w:w="180" w:type="dxa"/>
            <w:tcBorders>
              <w:top w:val="nil"/>
              <w:left w:val="nil"/>
              <w:bottom w:val="nil"/>
              <w:right w:val="nil"/>
              <w:tl2br w:val="nil"/>
              <w:tr2bl w:val="nil"/>
            </w:tcBorders>
            <w:noWrap/>
            <w:tcMar>
              <w:left w:w="0" w:type="dxa"/>
              <w:right w:w="0" w:type="dxa"/>
            </w:tcMar>
            <w:vAlign w:val="bottom"/>
          </w:tcPr>
          <w:p w14:paraId="71F3F8BD"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0" w:type="dxa"/>
            </w:tcMar>
            <w:vAlign w:val="center"/>
          </w:tcPr>
          <w:p w14:paraId="71F3F8B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(2,996,334)</w:t>
            </w:r>
          </w:p>
        </w:tc>
        <w:tc>
          <w:tcPr>
            <w:tcW w:w="180" w:type="dxa"/>
            <w:tcBorders>
              <w:top w:val="nil"/>
              <w:left w:val="nil"/>
              <w:bottom w:val="nil"/>
              <w:right w:val="nil"/>
              <w:tl2br w:val="nil"/>
              <w:tr2bl w:val="nil"/>
            </w:tcBorders>
            <w:noWrap/>
            <w:tcMar>
              <w:left w:w="0" w:type="dxa"/>
              <w:right w:w="0" w:type="dxa"/>
            </w:tcMar>
            <w:vAlign w:val="center"/>
          </w:tcPr>
          <w:p w14:paraId="71F3F8BF"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60" w:type="dxa"/>
            </w:tcMar>
            <w:vAlign w:val="bottom"/>
          </w:tcPr>
          <w:p w14:paraId="71F3F8C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3.38</w:t>
            </w:r>
          </w:p>
        </w:tc>
      </w:tr>
      <w:tr w:rsidR="00510CAA" w14:paraId="71F3F8C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970" w:type="dxa"/>
            <w:tcBorders>
              <w:top w:val="nil"/>
              <w:left w:val="nil"/>
              <w:bottom w:val="nil"/>
              <w:right w:val="nil"/>
              <w:tl2br w:val="nil"/>
              <w:tr2bl w:val="nil"/>
            </w:tcBorders>
            <w:noWrap/>
            <w:tcMar>
              <w:left w:w="0" w:type="dxa"/>
              <w:right w:w="0" w:type="dxa"/>
            </w:tcMar>
            <w:vAlign w:val="bottom"/>
          </w:tcPr>
          <w:p w14:paraId="71F3F8C2" w14:textId="77777777" w:rsidR="00510CAA" w:rsidRDefault="003A4815">
            <w:pPr>
              <w:keepNext/>
              <w:rPr>
                <w:rFonts w:ascii="Arial" w:eastAsia="Arial" w:hAnsi="Arial" w:cs="Arial"/>
                <w:b/>
                <w:color w:val="000000"/>
                <w:sz w:val="20"/>
              </w:rPr>
            </w:pPr>
            <w:r>
              <w:rPr>
                <w:rFonts w:ascii="Arial" w:eastAsia="Arial" w:hAnsi="Arial" w:cs="Arial"/>
                <w:b/>
                <w:color w:val="000000"/>
                <w:sz w:val="20"/>
              </w:rPr>
              <w:t>Outstanding as of December 31, 2024</w:t>
            </w:r>
          </w:p>
        </w:tc>
        <w:tc>
          <w:tcPr>
            <w:tcW w:w="180" w:type="dxa"/>
            <w:tcBorders>
              <w:top w:val="nil"/>
              <w:left w:val="nil"/>
              <w:bottom w:val="nil"/>
              <w:right w:val="nil"/>
              <w:tl2br w:val="nil"/>
              <w:tr2bl w:val="nil"/>
            </w:tcBorders>
            <w:noWrap/>
            <w:tcMar>
              <w:left w:w="0" w:type="dxa"/>
              <w:right w:w="0" w:type="dxa"/>
            </w:tcMar>
            <w:vAlign w:val="bottom"/>
          </w:tcPr>
          <w:p w14:paraId="71F3F8C3" w14:textId="77777777" w:rsidR="00510CAA" w:rsidRDefault="00510CAA">
            <w:pPr>
              <w:keepNext/>
              <w:rPr>
                <w:rFonts w:ascii="Arial" w:eastAsia="Arial" w:hAnsi="Arial" w:cs="Arial"/>
                <w:color w:val="000000"/>
                <w:sz w:val="20"/>
              </w:rPr>
            </w:pP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center"/>
          </w:tcPr>
          <w:p w14:paraId="71F3F8C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6,097,502</w:t>
            </w:r>
          </w:p>
        </w:tc>
        <w:tc>
          <w:tcPr>
            <w:tcW w:w="180" w:type="dxa"/>
            <w:tcBorders>
              <w:top w:val="nil"/>
              <w:left w:val="nil"/>
              <w:bottom w:val="nil"/>
              <w:right w:val="nil"/>
              <w:tl2br w:val="nil"/>
              <w:tr2bl w:val="nil"/>
            </w:tcBorders>
            <w:noWrap/>
            <w:tcMar>
              <w:left w:w="0" w:type="dxa"/>
              <w:right w:w="60" w:type="dxa"/>
            </w:tcMar>
            <w:vAlign w:val="center"/>
          </w:tcPr>
          <w:p w14:paraId="71F3F8C5"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8C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3.30</w:t>
            </w:r>
          </w:p>
        </w:tc>
      </w:tr>
      <w:tr w:rsidR="00510CAA" w14:paraId="71F3F8C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970" w:type="dxa"/>
            <w:tcBorders>
              <w:top w:val="nil"/>
              <w:left w:val="nil"/>
              <w:bottom w:val="nil"/>
              <w:right w:val="nil"/>
              <w:tl2br w:val="nil"/>
              <w:tr2bl w:val="nil"/>
            </w:tcBorders>
            <w:noWrap/>
            <w:tcMar>
              <w:left w:w="0" w:type="dxa"/>
              <w:right w:w="0" w:type="dxa"/>
            </w:tcMar>
            <w:vAlign w:val="bottom"/>
          </w:tcPr>
          <w:p w14:paraId="71F3F8C8" w14:textId="77777777" w:rsidR="00510CAA" w:rsidRDefault="003A4815">
            <w:pPr>
              <w:keepNext/>
              <w:rPr>
                <w:rFonts w:ascii="Arial" w:eastAsia="Arial" w:hAnsi="Arial" w:cs="Arial"/>
                <w:color w:val="000000"/>
                <w:sz w:val="20"/>
              </w:rPr>
            </w:pPr>
            <w:r>
              <w:rPr>
                <w:rFonts w:ascii="Arial" w:eastAsia="Arial" w:hAnsi="Arial" w:cs="Arial"/>
                <w:color w:val="000000"/>
                <w:sz w:val="20"/>
              </w:rPr>
              <w:t>Granted</w:t>
            </w:r>
          </w:p>
        </w:tc>
        <w:tc>
          <w:tcPr>
            <w:tcW w:w="180" w:type="dxa"/>
            <w:tcBorders>
              <w:top w:val="nil"/>
              <w:left w:val="nil"/>
              <w:bottom w:val="nil"/>
              <w:right w:val="nil"/>
              <w:tl2br w:val="nil"/>
              <w:tr2bl w:val="nil"/>
            </w:tcBorders>
            <w:noWrap/>
            <w:tcMar>
              <w:left w:w="0" w:type="dxa"/>
              <w:right w:w="0" w:type="dxa"/>
            </w:tcMar>
            <w:vAlign w:val="bottom"/>
          </w:tcPr>
          <w:p w14:paraId="71F3F8C9" w14:textId="77777777" w:rsidR="00510CAA" w:rsidRDefault="00510CAA">
            <w:pPr>
              <w:keepNext/>
              <w:rPr>
                <w:rFonts w:ascii="Arial" w:eastAsia="Arial" w:hAnsi="Arial" w:cs="Arial"/>
                <w:color w:val="000000"/>
                <w:sz w:val="20"/>
              </w:rPr>
            </w:pPr>
          </w:p>
        </w:tc>
        <w:tc>
          <w:tcPr>
            <w:tcW w:w="1965" w:type="dxa"/>
            <w:tcBorders>
              <w:top w:val="double" w:sz="6" w:space="0" w:color="000000"/>
              <w:left w:val="nil"/>
              <w:bottom w:val="nil"/>
              <w:right w:val="nil"/>
              <w:tl2br w:val="nil"/>
              <w:tr2bl w:val="nil"/>
            </w:tcBorders>
            <w:noWrap/>
            <w:tcMar>
              <w:left w:w="0" w:type="dxa"/>
              <w:right w:w="60" w:type="dxa"/>
            </w:tcMar>
            <w:vAlign w:val="bottom"/>
          </w:tcPr>
          <w:p w14:paraId="71F3F8C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2,000,000</w:t>
            </w:r>
          </w:p>
        </w:tc>
        <w:tc>
          <w:tcPr>
            <w:tcW w:w="180" w:type="dxa"/>
            <w:tcBorders>
              <w:top w:val="nil"/>
              <w:left w:val="nil"/>
              <w:bottom w:val="nil"/>
              <w:right w:val="nil"/>
              <w:tl2br w:val="nil"/>
              <w:tr2bl w:val="nil"/>
            </w:tcBorders>
            <w:noWrap/>
            <w:tcMar>
              <w:left w:w="0" w:type="dxa"/>
              <w:right w:w="0" w:type="dxa"/>
            </w:tcMar>
            <w:vAlign w:val="bottom"/>
          </w:tcPr>
          <w:p w14:paraId="71F3F8CB" w14:textId="77777777" w:rsidR="00510CAA" w:rsidRDefault="00510CAA">
            <w:pPr>
              <w:keepNext/>
              <w:rPr>
                <w:rFonts w:ascii="Arial" w:eastAsia="Arial" w:hAnsi="Arial" w:cs="Arial"/>
                <w:color w:val="000000"/>
                <w:sz w:val="20"/>
              </w:rPr>
            </w:pPr>
          </w:p>
        </w:tc>
        <w:tc>
          <w:tcPr>
            <w:tcW w:w="1965" w:type="dxa"/>
            <w:tcBorders>
              <w:top w:val="double" w:sz="6" w:space="0" w:color="000000"/>
              <w:left w:val="nil"/>
              <w:bottom w:val="nil"/>
              <w:right w:val="nil"/>
              <w:tl2br w:val="nil"/>
              <w:tr2bl w:val="nil"/>
            </w:tcBorders>
            <w:noWrap/>
            <w:tcMar>
              <w:left w:w="0" w:type="dxa"/>
              <w:right w:w="60" w:type="dxa"/>
            </w:tcMar>
            <w:vAlign w:val="bottom"/>
          </w:tcPr>
          <w:p w14:paraId="71F3F8C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1.84</w:t>
            </w:r>
          </w:p>
        </w:tc>
      </w:tr>
      <w:tr w:rsidR="00510CAA" w14:paraId="71F3F8D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970" w:type="dxa"/>
            <w:tcBorders>
              <w:top w:val="nil"/>
              <w:left w:val="nil"/>
              <w:bottom w:val="nil"/>
              <w:right w:val="nil"/>
              <w:tl2br w:val="nil"/>
              <w:tr2bl w:val="nil"/>
            </w:tcBorders>
            <w:noWrap/>
            <w:tcMar>
              <w:left w:w="0" w:type="dxa"/>
              <w:right w:w="0" w:type="dxa"/>
            </w:tcMar>
            <w:vAlign w:val="bottom"/>
          </w:tcPr>
          <w:p w14:paraId="71F3F8CE" w14:textId="77777777" w:rsidR="00510CAA" w:rsidRDefault="003A4815">
            <w:pPr>
              <w:keepNext/>
              <w:rPr>
                <w:rFonts w:ascii="Arial" w:eastAsia="Arial" w:hAnsi="Arial" w:cs="Arial"/>
                <w:color w:val="000000"/>
                <w:sz w:val="20"/>
              </w:rPr>
            </w:pPr>
            <w:r>
              <w:rPr>
                <w:rFonts w:ascii="Arial" w:eastAsia="Arial" w:hAnsi="Arial" w:cs="Arial"/>
                <w:color w:val="000000"/>
                <w:sz w:val="20"/>
              </w:rPr>
              <w:t>Vested</w:t>
            </w:r>
          </w:p>
        </w:tc>
        <w:tc>
          <w:tcPr>
            <w:tcW w:w="180" w:type="dxa"/>
            <w:tcBorders>
              <w:top w:val="nil"/>
              <w:left w:val="nil"/>
              <w:bottom w:val="nil"/>
              <w:right w:val="nil"/>
              <w:tl2br w:val="nil"/>
              <w:tr2bl w:val="nil"/>
            </w:tcBorders>
            <w:noWrap/>
            <w:tcMar>
              <w:left w:w="0" w:type="dxa"/>
              <w:right w:w="0" w:type="dxa"/>
            </w:tcMar>
            <w:vAlign w:val="bottom"/>
          </w:tcPr>
          <w:p w14:paraId="71F3F8CF"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0" w:type="dxa"/>
            </w:tcMar>
            <w:vAlign w:val="bottom"/>
          </w:tcPr>
          <w:p w14:paraId="71F3F8D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(3,134,365)</w:t>
            </w:r>
          </w:p>
        </w:tc>
        <w:tc>
          <w:tcPr>
            <w:tcW w:w="180" w:type="dxa"/>
            <w:tcBorders>
              <w:top w:val="nil"/>
              <w:left w:val="nil"/>
              <w:bottom w:val="nil"/>
              <w:right w:val="nil"/>
              <w:tl2br w:val="nil"/>
              <w:tr2bl w:val="nil"/>
            </w:tcBorders>
            <w:noWrap/>
            <w:tcMar>
              <w:left w:w="0" w:type="dxa"/>
              <w:right w:w="0" w:type="dxa"/>
            </w:tcMar>
            <w:vAlign w:val="bottom"/>
          </w:tcPr>
          <w:p w14:paraId="71F3F8D1" w14:textId="77777777" w:rsidR="00510CAA" w:rsidRDefault="00510CAA">
            <w:pPr>
              <w:keepNext/>
              <w:rPr>
                <w:rFonts w:ascii="Arial" w:eastAsia="Arial" w:hAnsi="Arial" w:cs="Arial"/>
                <w:color w:val="000000"/>
                <w:sz w:val="20"/>
              </w:rPr>
            </w:pPr>
          </w:p>
        </w:tc>
        <w:tc>
          <w:tcPr>
            <w:tcW w:w="1965" w:type="dxa"/>
            <w:tcBorders>
              <w:top w:val="nil"/>
              <w:left w:val="nil"/>
              <w:bottom w:val="nil"/>
              <w:right w:val="nil"/>
              <w:tl2br w:val="nil"/>
              <w:tr2bl w:val="nil"/>
            </w:tcBorders>
            <w:noWrap/>
            <w:tcMar>
              <w:left w:w="0" w:type="dxa"/>
              <w:right w:w="60" w:type="dxa"/>
            </w:tcMar>
            <w:vAlign w:val="bottom"/>
          </w:tcPr>
          <w:p w14:paraId="71F3F8D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3.37</w:t>
            </w:r>
          </w:p>
        </w:tc>
      </w:tr>
      <w:tr w:rsidR="00510CAA" w14:paraId="71F3F8D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970" w:type="dxa"/>
            <w:tcBorders>
              <w:top w:val="nil"/>
              <w:left w:val="nil"/>
              <w:bottom w:val="nil"/>
              <w:right w:val="nil"/>
              <w:tl2br w:val="nil"/>
              <w:tr2bl w:val="nil"/>
            </w:tcBorders>
            <w:noWrap/>
            <w:tcMar>
              <w:left w:w="0" w:type="dxa"/>
              <w:right w:w="0" w:type="dxa"/>
            </w:tcMar>
            <w:vAlign w:val="bottom"/>
          </w:tcPr>
          <w:p w14:paraId="71F3F8D4" w14:textId="77777777" w:rsidR="00510CAA" w:rsidRDefault="003A4815">
            <w:pPr>
              <w:keepNext/>
              <w:rPr>
                <w:rFonts w:ascii="Arial" w:eastAsia="Arial" w:hAnsi="Arial" w:cs="Arial"/>
                <w:b/>
                <w:color w:val="000000"/>
                <w:sz w:val="20"/>
              </w:rPr>
            </w:pPr>
            <w:r>
              <w:rPr>
                <w:rFonts w:ascii="Arial" w:eastAsia="Arial" w:hAnsi="Arial" w:cs="Arial"/>
                <w:b/>
                <w:color w:val="000000"/>
                <w:sz w:val="20"/>
              </w:rPr>
              <w:t>Outstanding as of December 31, 2025</w:t>
            </w:r>
          </w:p>
        </w:tc>
        <w:tc>
          <w:tcPr>
            <w:tcW w:w="180" w:type="dxa"/>
            <w:tcBorders>
              <w:top w:val="nil"/>
              <w:left w:val="nil"/>
              <w:bottom w:val="nil"/>
              <w:right w:val="nil"/>
              <w:tl2br w:val="nil"/>
              <w:tr2bl w:val="nil"/>
            </w:tcBorders>
            <w:noWrap/>
            <w:tcMar>
              <w:left w:w="0" w:type="dxa"/>
              <w:right w:w="0" w:type="dxa"/>
            </w:tcMar>
            <w:vAlign w:val="bottom"/>
          </w:tcPr>
          <w:p w14:paraId="71F3F8D5" w14:textId="77777777" w:rsidR="00510CAA" w:rsidRDefault="00510CAA">
            <w:pPr>
              <w:keepNext/>
              <w:rPr>
                <w:rFonts w:ascii="Arial" w:eastAsia="Arial" w:hAnsi="Arial" w:cs="Arial"/>
                <w:color w:val="000000"/>
                <w:sz w:val="20"/>
              </w:rPr>
            </w:pP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8D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4,963,137</w:t>
            </w:r>
          </w:p>
        </w:tc>
        <w:tc>
          <w:tcPr>
            <w:tcW w:w="180" w:type="dxa"/>
            <w:tcBorders>
              <w:top w:val="nil"/>
              <w:left w:val="nil"/>
              <w:bottom w:val="nil"/>
              <w:right w:val="nil"/>
              <w:tl2br w:val="nil"/>
              <w:tr2bl w:val="nil"/>
            </w:tcBorders>
            <w:noWrap/>
            <w:tcMar>
              <w:left w:w="0" w:type="dxa"/>
              <w:right w:w="60" w:type="dxa"/>
            </w:tcMar>
            <w:vAlign w:val="bottom"/>
          </w:tcPr>
          <w:p w14:paraId="71F3F8D7"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965"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8D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2.67</w:t>
            </w:r>
          </w:p>
        </w:tc>
      </w:tr>
    </w:tbl>
    <w:p w14:paraId="71F3F8DA"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8DB" w14:textId="77777777" w:rsidR="00FB4C4B" w:rsidRPr="00B134B5" w:rsidRDefault="003A4815" w:rsidP="00CC3ED8">
      <w:pPr>
        <w:pBdr>
          <w:top w:val="nil"/>
          <w:left w:val="nil"/>
          <w:bottom w:val="nil"/>
          <w:right w:val="nil"/>
          <w:between w:val="nil"/>
          <w:bar w:val="nil"/>
        </w:pBdr>
        <w:jc w:val="both"/>
        <w:rPr>
          <w:rFonts w:ascii="Arial" w:eastAsia="Arial" w:hAnsi="Arial" w:cs="Arial"/>
          <w:bdr w:val="nil"/>
          <w:lang w:val="en-US"/>
        </w:rPr>
      </w:pPr>
      <w:bookmarkStart w:id="846" w:name="RG_MARKER_23118"/>
      <w:bookmarkStart w:id="847" w:name="XBRL_TS_b83e49138c0f427ca332032ff90ce692"/>
      <w:r w:rsidRPr="00B134B5">
        <w:rPr>
          <w:rFonts w:ascii="Arial" w:eastAsia="Arial" w:hAnsi="Arial" w:cs="Arial"/>
          <w:lang w:val="en-US"/>
        </w:rPr>
        <w:t xml:space="preserve">The fair value of the restricted shares has been determined with reference to the closing price of the Company’s stock on the date such awards were approved by the Company’s board of directors. The aggregate compensation cost is recognized ratably in the </w:t>
      </w:r>
      <w:bookmarkEnd w:id="846"/>
      <w:r w:rsidRPr="00731133">
        <w:rPr>
          <w:rFonts w:ascii="Arial" w:eastAsia="Arial" w:hAnsi="Arial" w:cs="Arial"/>
          <w:lang w:val="en-US"/>
        </w:rPr>
        <w:t>accompanying consolidated statements of income</w:t>
      </w:r>
      <w:r>
        <w:rPr>
          <w:rFonts w:ascii="Arial" w:eastAsia="Arial" w:hAnsi="Arial" w:cs="Arial"/>
          <w:lang w:val="en-US"/>
        </w:rPr>
        <w:t xml:space="preserve"> </w:t>
      </w:r>
      <w:r w:rsidRPr="00B134B5">
        <w:rPr>
          <w:rFonts w:ascii="Arial" w:eastAsia="Arial" w:hAnsi="Arial" w:cs="Arial"/>
          <w:lang w:val="en-US"/>
        </w:rPr>
        <w:t>over the respective vesting periods.</w:t>
      </w:r>
      <w:r w:rsidR="00946D0E" w:rsidRPr="00B134B5">
        <w:rPr>
          <w:rFonts w:ascii="Arial" w:eastAsia="Arial" w:hAnsi="Arial" w:cs="Arial"/>
          <w:lang w:val="en-US"/>
        </w:rPr>
        <w:t xml:space="preserve"> </w:t>
      </w:r>
      <w:r w:rsidR="00C65389">
        <w:rPr>
          <w:rFonts w:ascii="Arial" w:eastAsia="Arial" w:hAnsi="Arial" w:cs="Arial"/>
          <w:lang w:val="en-US"/>
        </w:rPr>
        <w:t>In</w:t>
      </w:r>
      <w:r w:rsidRPr="007E3A0D">
        <w:rPr>
          <w:rFonts w:ascii="Arial" w:eastAsia="Arial" w:hAnsi="Arial" w:cs="Arial"/>
          <w:lang w:val="en-US"/>
        </w:rPr>
        <w:t xml:space="preserve"> 2025</w:t>
      </w:r>
      <w:r w:rsidR="00C65389">
        <w:rPr>
          <w:rFonts w:ascii="Arial" w:eastAsia="Arial" w:hAnsi="Arial" w:cs="Arial"/>
          <w:lang w:val="en-US"/>
        </w:rPr>
        <w:t>,</w:t>
      </w:r>
      <w:r w:rsidRPr="007E3A0D">
        <w:rPr>
          <w:rFonts w:ascii="Arial" w:eastAsia="Arial" w:hAnsi="Arial" w:cs="Arial"/>
          <w:lang w:val="en-US"/>
        </w:rPr>
        <w:t xml:space="preserve"> 2024</w:t>
      </w:r>
      <w:r w:rsidR="00C65389">
        <w:rPr>
          <w:rFonts w:ascii="Arial" w:eastAsia="Arial" w:hAnsi="Arial" w:cs="Arial"/>
          <w:lang w:val="en-US"/>
        </w:rPr>
        <w:t xml:space="preserve"> and </w:t>
      </w:r>
      <w:r w:rsidR="00C65389" w:rsidRPr="007E3A0D">
        <w:rPr>
          <w:rFonts w:ascii="Arial" w:eastAsia="Arial" w:hAnsi="Arial" w:cs="Arial"/>
          <w:lang w:val="en-US"/>
        </w:rPr>
        <w:t>2023</w:t>
      </w:r>
      <w:r w:rsidR="000B2D54">
        <w:rPr>
          <w:rFonts w:ascii="Arial" w:eastAsia="Arial" w:hAnsi="Arial" w:cs="Arial"/>
          <w:lang w:val="en-US"/>
        </w:rPr>
        <w:t>,</w:t>
      </w:r>
      <w:r w:rsidRPr="00B134B5">
        <w:rPr>
          <w:rFonts w:ascii="Arial" w:eastAsia="Arial" w:hAnsi="Arial" w:cs="Arial"/>
          <w:lang w:val="en-US"/>
        </w:rPr>
        <w:t xml:space="preserve"> compensation cost amounted to </w:t>
      </w:r>
      <w:bookmarkStart w:id="848" w:name="_Hlk128597795"/>
      <w:r w:rsidRPr="00B134B5">
        <w:rPr>
          <w:rFonts w:ascii="Arial" w:eastAsia="Arial" w:hAnsi="Arial" w:cs="Arial"/>
          <w:lang w:val="en-US"/>
        </w:rPr>
        <w:t>$</w:t>
      </w:r>
      <w:bookmarkStart w:id="849" w:name="XBRL_CS_3c461e28bed84de79c7d01fa6caa8485"/>
      <w:r w:rsidRPr="00B134B5">
        <w:rPr>
          <w:rFonts w:ascii="Arial" w:eastAsia="Arial" w:hAnsi="Arial" w:cs="Arial"/>
          <w:lang w:val="en-US"/>
        </w:rPr>
        <w:t>9,605</w:t>
      </w:r>
      <w:bookmarkEnd w:id="849"/>
      <w:r w:rsidR="00C65389">
        <w:rPr>
          <w:rFonts w:ascii="Arial" w:eastAsia="Arial" w:hAnsi="Arial" w:cs="Arial"/>
          <w:lang w:val="en-US"/>
        </w:rPr>
        <w:t>,</w:t>
      </w:r>
      <w:r w:rsidR="000B2D54">
        <w:rPr>
          <w:rFonts w:ascii="Arial" w:eastAsia="Arial" w:hAnsi="Arial" w:cs="Arial"/>
          <w:lang w:val="en-US"/>
        </w:rPr>
        <w:t xml:space="preserve"> </w:t>
      </w:r>
      <w:r w:rsidRPr="00B134B5">
        <w:rPr>
          <w:rFonts w:ascii="Arial" w:eastAsia="Arial" w:hAnsi="Arial" w:cs="Arial"/>
          <w:lang w:val="en-US"/>
        </w:rPr>
        <w:t>$</w:t>
      </w:r>
      <w:bookmarkStart w:id="850" w:name="XBRL_CS_bc0190f47cb8432eaa23bcd63387c49d"/>
      <w:r w:rsidRPr="00B134B5">
        <w:rPr>
          <w:rFonts w:ascii="Arial" w:eastAsia="Arial" w:hAnsi="Arial" w:cs="Arial"/>
          <w:lang w:val="en-US"/>
        </w:rPr>
        <w:t>10,012</w:t>
      </w:r>
      <w:bookmarkEnd w:id="848"/>
      <w:bookmarkEnd w:id="850"/>
      <w:r w:rsidR="00C65389">
        <w:rPr>
          <w:rFonts w:ascii="Arial" w:eastAsia="Arial" w:hAnsi="Arial" w:cs="Arial"/>
          <w:lang w:val="en-US"/>
        </w:rPr>
        <w:t xml:space="preserve"> and </w:t>
      </w:r>
      <w:r w:rsidR="00C65389" w:rsidRPr="00B134B5">
        <w:rPr>
          <w:rFonts w:ascii="Arial" w:eastAsia="Arial" w:hAnsi="Arial" w:cs="Arial"/>
          <w:lang w:val="en-US"/>
        </w:rPr>
        <w:t>$</w:t>
      </w:r>
      <w:bookmarkStart w:id="851" w:name="XBRL_CS_b31dd69e2e374b678fbb79b7a1c9a743"/>
      <w:r w:rsidR="00C65389" w:rsidRPr="00B134B5">
        <w:rPr>
          <w:rFonts w:ascii="Arial" w:eastAsia="Arial" w:hAnsi="Arial" w:cs="Arial"/>
          <w:lang w:val="en-US"/>
        </w:rPr>
        <w:t>9,938</w:t>
      </w:r>
      <w:bookmarkEnd w:id="851"/>
      <w:r w:rsidR="000B2D54">
        <w:rPr>
          <w:rFonts w:ascii="Arial" w:eastAsia="Arial" w:hAnsi="Arial" w:cs="Arial"/>
          <w:lang w:val="en-US"/>
        </w:rPr>
        <w:t xml:space="preserve">, </w:t>
      </w:r>
      <w:r w:rsidRPr="00B134B5">
        <w:rPr>
          <w:rFonts w:ascii="Arial" w:eastAsia="Arial" w:hAnsi="Arial" w:cs="Arial"/>
          <w:lang w:val="en-US"/>
        </w:rPr>
        <w:t xml:space="preserve">respectively, and is included in </w:t>
      </w:r>
      <w:r>
        <w:rPr>
          <w:rFonts w:ascii="Arial" w:eastAsia="Arial" w:hAnsi="Arial" w:cs="Arial"/>
          <w:lang w:val="en-US"/>
        </w:rPr>
        <w:t>g</w:t>
      </w:r>
      <w:r w:rsidRPr="00B134B5">
        <w:rPr>
          <w:rFonts w:ascii="Arial" w:eastAsia="Arial" w:hAnsi="Arial" w:cs="Arial"/>
          <w:lang w:val="en-US"/>
        </w:rPr>
        <w:t xml:space="preserve">eneral and administrative expenses in the </w:t>
      </w:r>
      <w:r w:rsidRPr="00FA261B">
        <w:rPr>
          <w:rFonts w:ascii="Arial" w:eastAsia="Arial" w:hAnsi="Arial" w:cs="Arial"/>
          <w:lang w:val="en-US"/>
        </w:rPr>
        <w:t xml:space="preserve">accompanying </w:t>
      </w:r>
      <w:r w:rsidRPr="00B134B5">
        <w:rPr>
          <w:rFonts w:ascii="Arial" w:eastAsia="Arial" w:hAnsi="Arial" w:cs="Arial"/>
          <w:lang w:val="en-US"/>
        </w:rPr>
        <w:t>consolidated statements of</w:t>
      </w:r>
      <w:r>
        <w:rPr>
          <w:rFonts w:ascii="Arial" w:eastAsia="Arial" w:hAnsi="Arial" w:cs="Arial"/>
          <w:lang w:val="en-US"/>
        </w:rPr>
        <w:t xml:space="preserve"> </w:t>
      </w:r>
      <w:r w:rsidR="00C96D00">
        <w:rPr>
          <w:rFonts w:ascii="Arial" w:eastAsia="Arial" w:hAnsi="Arial" w:cs="Arial"/>
          <w:lang w:val="en-US"/>
        </w:rPr>
        <w:t>income</w:t>
      </w:r>
      <w:r w:rsidRPr="00B134B5">
        <w:rPr>
          <w:rFonts w:ascii="Arial" w:eastAsia="Arial" w:hAnsi="Arial" w:cs="Arial"/>
          <w:lang w:val="en-US"/>
        </w:rPr>
        <w:t>.</w:t>
      </w:r>
    </w:p>
    <w:p w14:paraId="71F3F8DC" w14:textId="77777777" w:rsidR="00463EE9" w:rsidRPr="00B134B5" w:rsidRDefault="00463EE9" w:rsidP="00CC3ED8">
      <w:pPr>
        <w:pBdr>
          <w:top w:val="nil"/>
          <w:left w:val="nil"/>
          <w:bottom w:val="nil"/>
          <w:right w:val="nil"/>
          <w:between w:val="nil"/>
          <w:bar w:val="nil"/>
        </w:pBdr>
        <w:jc w:val="both"/>
        <w:rPr>
          <w:rFonts w:ascii="Arial" w:eastAsia="Arial" w:hAnsi="Arial" w:cs="Arial"/>
          <w:bdr w:val="nil"/>
          <w:lang w:val="en-US"/>
        </w:rPr>
      </w:pPr>
    </w:p>
    <w:p w14:paraId="71F3F8DD" w14:textId="77777777" w:rsidR="00C40B4B" w:rsidRDefault="003A4815" w:rsidP="00CC3ED8">
      <w:pPr>
        <w:pBdr>
          <w:top w:val="nil"/>
          <w:left w:val="nil"/>
          <w:bottom w:val="nil"/>
          <w:right w:val="nil"/>
          <w:between w:val="nil"/>
          <w:bar w:val="nil"/>
        </w:pBdr>
        <w:jc w:val="both"/>
        <w:rPr>
          <w:rFonts w:ascii="Arial" w:eastAsia="Arial" w:hAnsi="Arial" w:cs="Arial"/>
          <w:bdr w:val="nil"/>
          <w:lang w:val="en-US"/>
        </w:rPr>
      </w:pPr>
      <w:r w:rsidRPr="00B134B5">
        <w:rPr>
          <w:rFonts w:ascii="Arial" w:eastAsia="Arial" w:hAnsi="Arial" w:cs="Arial"/>
          <w:lang w:val="en-US"/>
        </w:rPr>
        <w:t>As of December 31, 2025 and</w:t>
      </w:r>
      <w:r>
        <w:rPr>
          <w:rFonts w:ascii="Arial" w:eastAsia="Arial" w:hAnsi="Arial" w:cs="Arial"/>
          <w:lang w:val="en-US"/>
        </w:rPr>
        <w:t xml:space="preserve"> December 31,</w:t>
      </w:r>
      <w:r w:rsidR="00C96D00">
        <w:rPr>
          <w:rFonts w:ascii="Arial" w:eastAsia="Arial" w:hAnsi="Arial" w:cs="Arial"/>
          <w:lang w:val="en-US"/>
        </w:rPr>
        <w:t xml:space="preserve"> </w:t>
      </w:r>
      <w:r w:rsidRPr="00B134B5">
        <w:rPr>
          <w:rFonts w:ascii="Arial" w:eastAsia="Arial" w:hAnsi="Arial" w:cs="Arial"/>
          <w:lang w:val="en-US"/>
        </w:rPr>
        <w:t xml:space="preserve">2024, the total unrecognized cost relating to restricted share awards was </w:t>
      </w:r>
      <w:bookmarkStart w:id="852" w:name="_Hlk128597804"/>
      <w:r w:rsidRPr="00B134B5">
        <w:rPr>
          <w:rFonts w:ascii="Arial" w:eastAsia="Arial" w:hAnsi="Arial" w:cs="Arial"/>
          <w:lang w:val="en-US"/>
        </w:rPr>
        <w:t>$</w:t>
      </w:r>
      <w:bookmarkStart w:id="853" w:name="XBRL_CS_53525760f3114b6e80510b6ac4b4d588"/>
      <w:r w:rsidRPr="00B134B5">
        <w:rPr>
          <w:rFonts w:ascii="Arial" w:eastAsia="Arial" w:hAnsi="Arial" w:cs="Arial"/>
          <w:lang w:val="en-US"/>
        </w:rPr>
        <w:t>5,749</w:t>
      </w:r>
      <w:bookmarkEnd w:id="853"/>
      <w:r w:rsidRPr="00B134B5">
        <w:rPr>
          <w:rFonts w:ascii="Arial" w:eastAsia="Arial" w:hAnsi="Arial" w:cs="Arial"/>
          <w:lang w:val="en-US"/>
        </w:rPr>
        <w:t xml:space="preserve"> and $</w:t>
      </w:r>
      <w:bookmarkStart w:id="854" w:name="XBRL_CS_fd597c444d6346a4addd34844bb3e6b9"/>
      <w:r w:rsidRPr="00B134B5">
        <w:rPr>
          <w:rFonts w:ascii="Arial" w:eastAsia="Arial" w:hAnsi="Arial" w:cs="Arial"/>
          <w:lang w:val="en-US"/>
        </w:rPr>
        <w:t>11,674</w:t>
      </w:r>
      <w:bookmarkEnd w:id="852"/>
      <w:bookmarkEnd w:id="854"/>
      <w:r w:rsidRPr="00B134B5">
        <w:rPr>
          <w:rFonts w:ascii="Arial" w:eastAsia="Arial" w:hAnsi="Arial" w:cs="Arial"/>
          <w:lang w:val="en-US"/>
        </w:rPr>
        <w:t xml:space="preserve">, respectively. As of December 31, 2025, the weighted-average period over which the total compensation cost related to non-vested awards not yet </w:t>
      </w:r>
      <w:r w:rsidRPr="0035407F">
        <w:rPr>
          <w:rFonts w:ascii="Arial" w:eastAsia="Arial" w:hAnsi="Arial" w:cs="Arial"/>
          <w:lang w:val="en-US"/>
        </w:rPr>
        <w:t xml:space="preserve">recognized is expected to be recognized is </w:t>
      </w:r>
      <w:bookmarkStart w:id="855" w:name="XBRL_CS_7dd2ed612dbb452c99198094c3e79c06"/>
      <w:r w:rsidRPr="0035407F">
        <w:rPr>
          <w:rFonts w:ascii="Arial" w:eastAsia="Arial" w:hAnsi="Arial" w:cs="Arial"/>
          <w:lang w:val="en-US"/>
        </w:rPr>
        <w:t>1.45</w:t>
      </w:r>
      <w:bookmarkEnd w:id="855"/>
      <w:r w:rsidRPr="0035407F">
        <w:rPr>
          <w:rFonts w:ascii="Arial" w:eastAsia="Arial" w:hAnsi="Arial" w:cs="Arial"/>
          <w:lang w:val="en-US"/>
        </w:rPr>
        <w:t xml:space="preserve"> years.</w:t>
      </w:r>
      <w:bookmarkEnd w:id="847"/>
    </w:p>
    <w:p w14:paraId="71F3F8DE"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8DF" w14:textId="77777777" w:rsidR="0037344F" w:rsidRPr="00E93CBC" w:rsidRDefault="003A4815" w:rsidP="00E93CBC">
      <w:pPr>
        <w:pStyle w:val="Header1notes"/>
        <w:keepLines/>
        <w:pBdr>
          <w:top w:val="nil"/>
          <w:left w:val="nil"/>
          <w:bottom w:val="nil"/>
          <w:right w:val="nil"/>
          <w:between w:val="nil"/>
          <w:bar w:val="nil"/>
        </w:pBdr>
        <w:spacing w:before="0" w:after="0"/>
        <w:ind w:left="567" w:hanging="567"/>
        <w:rPr>
          <w:rFonts w:ascii="Arial" w:eastAsia="Arial" w:hAnsi="Arial" w:cs="Arial"/>
          <w:sz w:val="24"/>
          <w:bdr w:val="nil"/>
        </w:rPr>
      </w:pPr>
      <w:bookmarkStart w:id="856" w:name="RG_MARKER_23097"/>
      <w:bookmarkStart w:id="857" w:name="RG_MARKER_23096"/>
      <w:bookmarkStart w:id="858" w:name="_Ref110137232"/>
      <w:bookmarkStart w:id="859" w:name="XBRL_TS_f0c0c61580c44fb58b687abb2afdad18"/>
      <w:r w:rsidRPr="00E93CBC">
        <w:rPr>
          <w:rFonts w:ascii="Arial" w:eastAsia="Arial" w:hAnsi="Arial" w:cs="Arial"/>
          <w:sz w:val="24"/>
        </w:rPr>
        <w:t>12.</w:t>
      </w:r>
      <w:bookmarkEnd w:id="856"/>
      <w:bookmarkEnd w:id="857"/>
      <w:r w:rsidRPr="00E93CBC">
        <w:rPr>
          <w:rFonts w:ascii="Arial" w:eastAsia="Arial" w:hAnsi="Arial" w:cs="Arial"/>
          <w:sz w:val="24"/>
        </w:rPr>
        <w:tab/>
        <w:t>Interest</w:t>
      </w:r>
      <w:r w:rsidR="00812A8D">
        <w:rPr>
          <w:rFonts w:ascii="Arial" w:eastAsia="Arial" w:hAnsi="Arial" w:cs="Arial"/>
          <w:sz w:val="24"/>
        </w:rPr>
        <w:t xml:space="preserve"> expense</w:t>
      </w:r>
      <w:r w:rsidRPr="00E93CBC">
        <w:rPr>
          <w:rFonts w:ascii="Arial" w:eastAsia="Arial" w:hAnsi="Arial" w:cs="Arial"/>
          <w:sz w:val="24"/>
        </w:rPr>
        <w:t xml:space="preserve"> and Finance </w:t>
      </w:r>
      <w:r w:rsidR="00812A8D">
        <w:rPr>
          <w:rFonts w:ascii="Arial" w:eastAsia="Arial" w:hAnsi="Arial" w:cs="Arial"/>
          <w:sz w:val="24"/>
        </w:rPr>
        <w:t>c</w:t>
      </w:r>
      <w:r w:rsidRPr="00E93CBC">
        <w:rPr>
          <w:rFonts w:ascii="Arial" w:eastAsia="Arial" w:hAnsi="Arial" w:cs="Arial"/>
          <w:sz w:val="24"/>
        </w:rPr>
        <w:t>osts</w:t>
      </w:r>
      <w:bookmarkEnd w:id="858"/>
    </w:p>
    <w:p w14:paraId="71F3F8E0" w14:textId="77777777" w:rsidR="00935263" w:rsidRPr="00E93CBC" w:rsidRDefault="00935263" w:rsidP="00E93CBC">
      <w:pPr>
        <w:keepNext/>
        <w:keepLines/>
        <w:pBdr>
          <w:top w:val="nil"/>
          <w:left w:val="nil"/>
          <w:bottom w:val="nil"/>
          <w:right w:val="nil"/>
          <w:between w:val="nil"/>
          <w:bar w:val="nil"/>
        </w:pBdr>
        <w:rPr>
          <w:rFonts w:ascii="Arial" w:eastAsia="Arial" w:hAnsi="Arial" w:cs="Arial"/>
          <w:bdr w:val="nil"/>
          <w:lang w:val="en-US"/>
        </w:rPr>
      </w:pPr>
    </w:p>
    <w:p w14:paraId="71F3F8E1" w14:textId="77777777" w:rsidR="00992B53" w:rsidRPr="00E93CBC" w:rsidRDefault="003A4815" w:rsidP="0040471D">
      <w:pPr>
        <w:pBdr>
          <w:top w:val="nil"/>
          <w:left w:val="nil"/>
          <w:bottom w:val="nil"/>
          <w:right w:val="nil"/>
          <w:between w:val="nil"/>
          <w:bar w:val="nil"/>
        </w:pBdr>
        <w:jc w:val="both"/>
        <w:rPr>
          <w:rFonts w:ascii="Arial" w:eastAsia="Arial" w:hAnsi="Arial" w:cs="Arial"/>
          <w:bdr w:val="nil"/>
          <w:lang w:val="en-US"/>
        </w:rPr>
      </w:pPr>
      <w:r w:rsidRPr="00E93CBC">
        <w:rPr>
          <w:rFonts w:ascii="Arial" w:eastAsia="Arial" w:hAnsi="Arial" w:cs="Arial"/>
          <w:lang w:val="en-US" w:bidi="en-US"/>
        </w:rPr>
        <w:t xml:space="preserve">The amounts in the accompanying consolidated statements of </w:t>
      </w:r>
      <w:r>
        <w:rPr>
          <w:rFonts w:ascii="Arial" w:eastAsia="Arial" w:hAnsi="Arial" w:cs="Arial"/>
          <w:lang w:val="en-US" w:bidi="en-US"/>
        </w:rPr>
        <w:t>income</w:t>
      </w:r>
      <w:r w:rsidRPr="00E93CBC">
        <w:rPr>
          <w:rFonts w:ascii="Arial" w:eastAsia="Arial" w:hAnsi="Arial" w:cs="Arial"/>
          <w:lang w:val="en-US" w:bidi="en-US"/>
        </w:rPr>
        <w:t xml:space="preserve"> are analyzed as follows:</w:t>
      </w:r>
      <w:bookmarkEnd w:id="859"/>
    </w:p>
    <w:p w14:paraId="71F3F8E2" w14:textId="77777777" w:rsidR="00510CAA" w:rsidRDefault="00510CAA">
      <w:pPr>
        <w:rPr>
          <w:rFonts w:ascii="Arial" w:eastAsia="Arial" w:hAnsi="Arial" w:cs="Arial"/>
        </w:rPr>
      </w:pPr>
    </w:p>
    <w:tbl>
      <w:tblPr>
        <w:tblStyle w:val="CDMRange2"/>
        <w:tblW w:w="10260" w:type="dxa"/>
        <w:tblLayout w:type="fixed"/>
        <w:tblLook w:val="0600" w:firstRow="0" w:lastRow="0" w:firstColumn="0" w:lastColumn="0" w:noHBand="1" w:noVBand="1"/>
      </w:tblPr>
      <w:tblGrid>
        <w:gridCol w:w="281"/>
        <w:gridCol w:w="5058"/>
        <w:gridCol w:w="290"/>
        <w:gridCol w:w="1425"/>
        <w:gridCol w:w="178"/>
        <w:gridCol w:w="1425"/>
        <w:gridCol w:w="178"/>
        <w:gridCol w:w="1425"/>
      </w:tblGrid>
      <w:tr w:rsidR="00510CAA" w14:paraId="71F3F8EB" w14:textId="77777777">
        <w:trPr>
          <w:cantSplit/>
          <w:trHeight w:hRule="exact" w:val="285"/>
        </w:trPr>
        <w:tc>
          <w:tcPr>
            <w:tcW w:w="285" w:type="dxa"/>
            <w:tcBorders>
              <w:top w:val="nil"/>
              <w:left w:val="nil"/>
              <w:bottom w:val="nil"/>
              <w:right w:val="nil"/>
              <w:tl2br w:val="nil"/>
              <w:tr2bl w:val="nil"/>
            </w:tcBorders>
            <w:noWrap/>
            <w:tcMar>
              <w:left w:w="0" w:type="dxa"/>
              <w:right w:w="0" w:type="dxa"/>
            </w:tcMar>
          </w:tcPr>
          <w:p w14:paraId="71F3F8E3" w14:textId="77777777" w:rsidR="00510CAA" w:rsidRDefault="00510CAA">
            <w:pPr>
              <w:keepNext/>
              <w:rPr>
                <w:rFonts w:ascii="Arial" w:eastAsia="Arial" w:hAnsi="Arial" w:cs="Arial"/>
                <w:color w:val="000000"/>
                <w:sz w:val="20"/>
              </w:rPr>
            </w:pPr>
            <w:bookmarkStart w:id="860" w:name="RG_MARKER_23098"/>
            <w:bookmarkEnd w:id="860"/>
          </w:p>
        </w:tc>
        <w:tc>
          <w:tcPr>
            <w:tcW w:w="5115" w:type="dxa"/>
            <w:tcBorders>
              <w:top w:val="nil"/>
              <w:left w:val="nil"/>
              <w:bottom w:val="nil"/>
              <w:right w:val="nil"/>
              <w:tl2br w:val="nil"/>
              <w:tr2bl w:val="nil"/>
            </w:tcBorders>
            <w:noWrap/>
            <w:tcMar>
              <w:left w:w="0" w:type="dxa"/>
              <w:right w:w="0" w:type="dxa"/>
            </w:tcMar>
          </w:tcPr>
          <w:p w14:paraId="71F3F8E4"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270" w:type="dxa"/>
              <w:right w:w="0" w:type="dxa"/>
            </w:tcMar>
          </w:tcPr>
          <w:p w14:paraId="71F3F8E5"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8E6"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tcMar>
              <w:left w:w="0" w:type="dxa"/>
              <w:right w:w="0" w:type="dxa"/>
            </w:tcMar>
            <w:vAlign w:val="bottom"/>
          </w:tcPr>
          <w:p w14:paraId="71F3F8E7"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8E8"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180" w:type="dxa"/>
            <w:tcBorders>
              <w:top w:val="nil"/>
              <w:left w:val="nil"/>
              <w:bottom w:val="nil"/>
              <w:right w:val="nil"/>
              <w:tl2br w:val="nil"/>
              <w:tr2bl w:val="nil"/>
            </w:tcBorders>
            <w:tcMar>
              <w:left w:w="0" w:type="dxa"/>
              <w:right w:w="0" w:type="dxa"/>
            </w:tcMar>
            <w:vAlign w:val="bottom"/>
          </w:tcPr>
          <w:p w14:paraId="71F3F8E9"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0" w:type="dxa"/>
            </w:tcMar>
            <w:vAlign w:val="bottom"/>
          </w:tcPr>
          <w:p w14:paraId="71F3F8E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F8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400" w:type="dxa"/>
            <w:gridSpan w:val="2"/>
            <w:tcBorders>
              <w:top w:val="nil"/>
              <w:left w:val="nil"/>
              <w:bottom w:val="nil"/>
              <w:right w:val="nil"/>
              <w:tl2br w:val="nil"/>
              <w:tr2bl w:val="nil"/>
            </w:tcBorders>
            <w:noWrap/>
            <w:tcMar>
              <w:left w:w="0" w:type="dxa"/>
              <w:right w:w="0" w:type="dxa"/>
            </w:tcMar>
            <w:vAlign w:val="bottom"/>
          </w:tcPr>
          <w:p w14:paraId="71F3F8EC" w14:textId="77777777" w:rsidR="00510CAA" w:rsidRDefault="003A4815">
            <w:pPr>
              <w:keepNext/>
              <w:rPr>
                <w:rFonts w:ascii="Arial" w:eastAsia="Arial" w:hAnsi="Arial" w:cs="Arial"/>
                <w:color w:val="000000"/>
                <w:sz w:val="20"/>
              </w:rPr>
            </w:pPr>
            <w:r>
              <w:rPr>
                <w:rFonts w:ascii="Arial" w:eastAsia="Arial" w:hAnsi="Arial" w:cs="Arial"/>
                <w:color w:val="000000"/>
                <w:sz w:val="20"/>
              </w:rPr>
              <w:t>Interest expense, debt</w:t>
            </w:r>
          </w:p>
        </w:tc>
        <w:tc>
          <w:tcPr>
            <w:tcW w:w="180" w:type="dxa"/>
            <w:tcBorders>
              <w:top w:val="nil"/>
              <w:left w:val="nil"/>
              <w:bottom w:val="nil"/>
              <w:right w:val="nil"/>
              <w:tl2br w:val="nil"/>
              <w:tr2bl w:val="nil"/>
            </w:tcBorders>
            <w:tcMar>
              <w:left w:w="0" w:type="dxa"/>
              <w:right w:w="0" w:type="dxa"/>
            </w:tcMar>
            <w:vAlign w:val="bottom"/>
          </w:tcPr>
          <w:p w14:paraId="71F3F8ED"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F8E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34,750</w:t>
            </w:r>
          </w:p>
        </w:tc>
        <w:tc>
          <w:tcPr>
            <w:tcW w:w="180" w:type="dxa"/>
            <w:tcBorders>
              <w:top w:val="nil"/>
              <w:left w:val="nil"/>
              <w:bottom w:val="nil"/>
              <w:right w:val="nil"/>
              <w:tl2br w:val="nil"/>
              <w:tr2bl w:val="nil"/>
            </w:tcBorders>
            <w:tcMar>
              <w:left w:w="0" w:type="dxa"/>
              <w:right w:w="0" w:type="dxa"/>
            </w:tcMar>
            <w:vAlign w:val="bottom"/>
          </w:tcPr>
          <w:p w14:paraId="71F3F8EF"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F8F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38,385</w:t>
            </w:r>
          </w:p>
        </w:tc>
        <w:tc>
          <w:tcPr>
            <w:tcW w:w="180" w:type="dxa"/>
            <w:tcBorders>
              <w:top w:val="nil"/>
              <w:left w:val="nil"/>
              <w:bottom w:val="nil"/>
              <w:right w:val="nil"/>
              <w:tl2br w:val="nil"/>
              <w:tr2bl w:val="nil"/>
            </w:tcBorders>
            <w:tcMar>
              <w:left w:w="0" w:type="dxa"/>
              <w:right w:w="0" w:type="dxa"/>
            </w:tcMar>
            <w:vAlign w:val="bottom"/>
          </w:tcPr>
          <w:p w14:paraId="71F3F8F1"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tcMar>
              <w:left w:w="0" w:type="dxa"/>
              <w:right w:w="60" w:type="dxa"/>
            </w:tcMar>
            <w:vAlign w:val="bottom"/>
          </w:tcPr>
          <w:p w14:paraId="71F3F8F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39,617</w:t>
            </w:r>
          </w:p>
        </w:tc>
      </w:tr>
      <w:tr w:rsidR="00510CAA" w14:paraId="71F3F8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400" w:type="dxa"/>
            <w:gridSpan w:val="2"/>
            <w:tcBorders>
              <w:top w:val="nil"/>
              <w:left w:val="nil"/>
              <w:bottom w:val="nil"/>
              <w:right w:val="nil"/>
              <w:tl2br w:val="nil"/>
              <w:tr2bl w:val="nil"/>
            </w:tcBorders>
            <w:tcMar>
              <w:left w:w="0" w:type="dxa"/>
              <w:right w:w="0" w:type="dxa"/>
            </w:tcMar>
            <w:vAlign w:val="bottom"/>
          </w:tcPr>
          <w:p w14:paraId="71F3F8F4" w14:textId="77777777" w:rsidR="00510CAA" w:rsidRDefault="003A4815">
            <w:pPr>
              <w:keepNext/>
              <w:rPr>
                <w:rFonts w:ascii="Arial" w:eastAsia="Arial" w:hAnsi="Arial" w:cs="Arial"/>
                <w:color w:val="000000"/>
                <w:sz w:val="20"/>
              </w:rPr>
            </w:pPr>
            <w:r>
              <w:rPr>
                <w:rFonts w:ascii="Arial" w:eastAsia="Arial" w:hAnsi="Arial" w:cs="Arial"/>
                <w:color w:val="000000"/>
                <w:sz w:val="20"/>
              </w:rPr>
              <w:t>Finance liabilities interest expense</w:t>
            </w:r>
          </w:p>
        </w:tc>
        <w:tc>
          <w:tcPr>
            <w:tcW w:w="180" w:type="dxa"/>
            <w:tcBorders>
              <w:top w:val="nil"/>
              <w:left w:val="nil"/>
              <w:bottom w:val="nil"/>
              <w:right w:val="nil"/>
              <w:tl2br w:val="nil"/>
              <w:tr2bl w:val="nil"/>
            </w:tcBorders>
            <w:tcMar>
              <w:left w:w="0" w:type="dxa"/>
              <w:right w:w="0" w:type="dxa"/>
            </w:tcMar>
            <w:vAlign w:val="bottom"/>
          </w:tcPr>
          <w:p w14:paraId="71F3F8F5"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8F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5,867</w:t>
            </w:r>
          </w:p>
        </w:tc>
        <w:tc>
          <w:tcPr>
            <w:tcW w:w="180" w:type="dxa"/>
            <w:tcBorders>
              <w:top w:val="nil"/>
              <w:left w:val="nil"/>
              <w:bottom w:val="nil"/>
              <w:right w:val="nil"/>
              <w:tl2br w:val="nil"/>
              <w:tr2bl w:val="nil"/>
            </w:tcBorders>
            <w:tcMar>
              <w:left w:w="0" w:type="dxa"/>
              <w:right w:w="0" w:type="dxa"/>
            </w:tcMar>
            <w:vAlign w:val="bottom"/>
          </w:tcPr>
          <w:p w14:paraId="71F3F8F7"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8F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6,353</w:t>
            </w:r>
          </w:p>
        </w:tc>
        <w:tc>
          <w:tcPr>
            <w:tcW w:w="180" w:type="dxa"/>
            <w:tcBorders>
              <w:top w:val="nil"/>
              <w:left w:val="nil"/>
              <w:bottom w:val="nil"/>
              <w:right w:val="nil"/>
              <w:tl2br w:val="nil"/>
              <w:tr2bl w:val="nil"/>
            </w:tcBorders>
            <w:tcMar>
              <w:left w:w="0" w:type="dxa"/>
              <w:right w:w="0" w:type="dxa"/>
            </w:tcMar>
            <w:vAlign w:val="bottom"/>
          </w:tcPr>
          <w:p w14:paraId="71F3F8F9"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8F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6,786</w:t>
            </w:r>
          </w:p>
        </w:tc>
      </w:tr>
      <w:tr w:rsidR="00510CAA" w14:paraId="71F3F90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400" w:type="dxa"/>
            <w:gridSpan w:val="2"/>
            <w:tcBorders>
              <w:top w:val="nil"/>
              <w:left w:val="nil"/>
              <w:bottom w:val="nil"/>
              <w:right w:val="nil"/>
              <w:tl2br w:val="nil"/>
              <w:tr2bl w:val="nil"/>
            </w:tcBorders>
            <w:tcMar>
              <w:left w:w="0" w:type="dxa"/>
              <w:right w:w="0" w:type="dxa"/>
            </w:tcMar>
            <w:vAlign w:val="bottom"/>
          </w:tcPr>
          <w:p w14:paraId="71F3F8FC" w14:textId="77777777" w:rsidR="00510CAA" w:rsidRDefault="003A4815">
            <w:pPr>
              <w:keepNext/>
              <w:rPr>
                <w:rFonts w:ascii="Arial" w:eastAsia="Arial" w:hAnsi="Arial" w:cs="Arial"/>
                <w:color w:val="000000"/>
                <w:sz w:val="20"/>
              </w:rPr>
            </w:pPr>
            <w:r>
              <w:rPr>
                <w:rFonts w:ascii="Arial" w:eastAsia="Arial" w:hAnsi="Arial" w:cs="Arial"/>
                <w:color w:val="000000"/>
                <w:sz w:val="20"/>
              </w:rPr>
              <w:t>Amortization of debt and finance liabilities issuance costs</w:t>
            </w:r>
          </w:p>
        </w:tc>
        <w:tc>
          <w:tcPr>
            <w:tcW w:w="180" w:type="dxa"/>
            <w:tcBorders>
              <w:top w:val="nil"/>
              <w:left w:val="nil"/>
              <w:bottom w:val="nil"/>
              <w:right w:val="nil"/>
              <w:tl2br w:val="nil"/>
              <w:tr2bl w:val="nil"/>
            </w:tcBorders>
            <w:tcMar>
              <w:left w:w="0" w:type="dxa"/>
              <w:right w:w="0" w:type="dxa"/>
            </w:tcMar>
            <w:vAlign w:val="bottom"/>
          </w:tcPr>
          <w:p w14:paraId="71F3F8FD"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8FE"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2,139</w:t>
            </w:r>
          </w:p>
        </w:tc>
        <w:tc>
          <w:tcPr>
            <w:tcW w:w="180" w:type="dxa"/>
            <w:tcBorders>
              <w:top w:val="nil"/>
              <w:left w:val="nil"/>
              <w:bottom w:val="nil"/>
              <w:right w:val="nil"/>
              <w:tl2br w:val="nil"/>
              <w:tr2bl w:val="nil"/>
            </w:tcBorders>
            <w:tcMar>
              <w:left w:w="0" w:type="dxa"/>
              <w:right w:w="0" w:type="dxa"/>
            </w:tcMar>
            <w:vAlign w:val="bottom"/>
          </w:tcPr>
          <w:p w14:paraId="71F3F8FF"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90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2,372</w:t>
            </w:r>
          </w:p>
        </w:tc>
        <w:tc>
          <w:tcPr>
            <w:tcW w:w="180" w:type="dxa"/>
            <w:tcBorders>
              <w:top w:val="nil"/>
              <w:left w:val="nil"/>
              <w:bottom w:val="nil"/>
              <w:right w:val="nil"/>
              <w:tl2br w:val="nil"/>
              <w:tr2bl w:val="nil"/>
            </w:tcBorders>
            <w:tcMar>
              <w:left w:w="0" w:type="dxa"/>
              <w:right w:w="0" w:type="dxa"/>
            </w:tcMar>
            <w:vAlign w:val="bottom"/>
          </w:tcPr>
          <w:p w14:paraId="71F3F901"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60" w:type="dxa"/>
            </w:tcMar>
            <w:vAlign w:val="bottom"/>
          </w:tcPr>
          <w:p w14:paraId="71F3F90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2,620</w:t>
            </w:r>
          </w:p>
        </w:tc>
      </w:tr>
      <w:tr w:rsidR="00510CAA" w14:paraId="71F3F90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400" w:type="dxa"/>
            <w:gridSpan w:val="2"/>
            <w:tcBorders>
              <w:top w:val="nil"/>
              <w:left w:val="nil"/>
              <w:bottom w:val="nil"/>
              <w:right w:val="nil"/>
              <w:tl2br w:val="nil"/>
              <w:tr2bl w:val="nil"/>
            </w:tcBorders>
            <w:noWrap/>
            <w:tcMar>
              <w:left w:w="0" w:type="dxa"/>
              <w:right w:w="0" w:type="dxa"/>
            </w:tcMar>
            <w:vAlign w:val="bottom"/>
          </w:tcPr>
          <w:p w14:paraId="71F3F904" w14:textId="77777777" w:rsidR="00510CAA" w:rsidRDefault="003A4815">
            <w:pPr>
              <w:keepNext/>
              <w:rPr>
                <w:rFonts w:ascii="Arial" w:eastAsia="Arial" w:hAnsi="Arial" w:cs="Arial"/>
                <w:color w:val="000000"/>
                <w:sz w:val="20"/>
              </w:rPr>
            </w:pPr>
            <w:r>
              <w:rPr>
                <w:rFonts w:ascii="Arial" w:eastAsia="Arial" w:hAnsi="Arial" w:cs="Arial"/>
                <w:color w:val="000000"/>
                <w:sz w:val="20"/>
              </w:rPr>
              <w:t>Loan and other expenses</w:t>
            </w:r>
          </w:p>
        </w:tc>
        <w:tc>
          <w:tcPr>
            <w:tcW w:w="180" w:type="dxa"/>
            <w:tcBorders>
              <w:top w:val="nil"/>
              <w:left w:val="nil"/>
              <w:bottom w:val="nil"/>
              <w:right w:val="nil"/>
              <w:tl2br w:val="nil"/>
              <w:tr2bl w:val="nil"/>
            </w:tcBorders>
            <w:noWrap/>
            <w:tcMar>
              <w:left w:w="0" w:type="dxa"/>
              <w:right w:w="0" w:type="dxa"/>
            </w:tcMar>
            <w:vAlign w:val="bottom"/>
          </w:tcPr>
          <w:p w14:paraId="71F3F905"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60" w:type="dxa"/>
            </w:tcMar>
            <w:vAlign w:val="bottom"/>
          </w:tcPr>
          <w:p w14:paraId="71F3F906"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195</w:t>
            </w:r>
          </w:p>
        </w:tc>
        <w:tc>
          <w:tcPr>
            <w:tcW w:w="180" w:type="dxa"/>
            <w:tcBorders>
              <w:top w:val="nil"/>
              <w:left w:val="nil"/>
              <w:bottom w:val="nil"/>
              <w:right w:val="nil"/>
              <w:tl2br w:val="nil"/>
              <w:tr2bl w:val="nil"/>
            </w:tcBorders>
            <w:noWrap/>
            <w:tcMar>
              <w:left w:w="0" w:type="dxa"/>
              <w:right w:w="0" w:type="dxa"/>
            </w:tcMar>
            <w:vAlign w:val="bottom"/>
          </w:tcPr>
          <w:p w14:paraId="71F3F907"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60" w:type="dxa"/>
            </w:tcMar>
            <w:vAlign w:val="bottom"/>
          </w:tcPr>
          <w:p w14:paraId="71F3F90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358</w:t>
            </w:r>
          </w:p>
        </w:tc>
        <w:tc>
          <w:tcPr>
            <w:tcW w:w="180" w:type="dxa"/>
            <w:tcBorders>
              <w:top w:val="nil"/>
              <w:left w:val="nil"/>
              <w:bottom w:val="nil"/>
              <w:right w:val="nil"/>
              <w:tl2br w:val="nil"/>
              <w:tr2bl w:val="nil"/>
            </w:tcBorders>
            <w:tcMar>
              <w:left w:w="0" w:type="dxa"/>
              <w:right w:w="0" w:type="dxa"/>
            </w:tcMar>
            <w:vAlign w:val="bottom"/>
          </w:tcPr>
          <w:p w14:paraId="71F3F909"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tcMar>
              <w:left w:w="0" w:type="dxa"/>
              <w:right w:w="60" w:type="dxa"/>
            </w:tcMar>
            <w:vAlign w:val="bottom"/>
          </w:tcPr>
          <w:p w14:paraId="71F3F90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308</w:t>
            </w:r>
          </w:p>
        </w:tc>
      </w:tr>
      <w:tr w:rsidR="00510CAA" w14:paraId="71F3F91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285" w:type="dxa"/>
            <w:tcBorders>
              <w:top w:val="nil"/>
              <w:left w:val="nil"/>
              <w:bottom w:val="nil"/>
              <w:right w:val="nil"/>
              <w:tl2br w:val="nil"/>
              <w:tr2bl w:val="nil"/>
            </w:tcBorders>
            <w:noWrap/>
            <w:tcMar>
              <w:left w:w="0" w:type="dxa"/>
              <w:right w:w="0" w:type="dxa"/>
            </w:tcMar>
            <w:vAlign w:val="bottom"/>
          </w:tcPr>
          <w:p w14:paraId="71F3F90C" w14:textId="77777777" w:rsidR="00510CAA" w:rsidRDefault="00510CAA">
            <w:pPr>
              <w:keepNext/>
              <w:rPr>
                <w:rFonts w:ascii="Arial" w:eastAsia="Arial" w:hAnsi="Arial" w:cs="Arial"/>
                <w:color w:val="000000"/>
                <w:sz w:val="20"/>
              </w:rPr>
            </w:pPr>
          </w:p>
        </w:tc>
        <w:tc>
          <w:tcPr>
            <w:tcW w:w="5115" w:type="dxa"/>
            <w:tcBorders>
              <w:top w:val="nil"/>
              <w:left w:val="nil"/>
              <w:bottom w:val="nil"/>
              <w:right w:val="nil"/>
              <w:tl2br w:val="nil"/>
              <w:tr2bl w:val="nil"/>
            </w:tcBorders>
            <w:noWrap/>
            <w:tcMar>
              <w:left w:w="0" w:type="dxa"/>
              <w:right w:w="0" w:type="dxa"/>
            </w:tcMar>
            <w:vAlign w:val="bottom"/>
          </w:tcPr>
          <w:p w14:paraId="71F3F90D" w14:textId="77777777" w:rsidR="00510CAA" w:rsidRDefault="003A4815">
            <w:pPr>
              <w:keepNext/>
              <w:rPr>
                <w:rFonts w:ascii="Arial" w:eastAsia="Arial" w:hAnsi="Arial" w:cs="Arial"/>
                <w:b/>
                <w:color w:val="000000"/>
                <w:sz w:val="20"/>
              </w:rPr>
            </w:pPr>
            <w:r>
              <w:rPr>
                <w:rFonts w:ascii="Arial" w:eastAsia="Arial" w:hAnsi="Arial" w:cs="Arial"/>
                <w:b/>
                <w:color w:val="000000"/>
                <w:sz w:val="20"/>
              </w:rPr>
              <w:t>Interest expense and finance costs</w:t>
            </w:r>
          </w:p>
        </w:tc>
        <w:tc>
          <w:tcPr>
            <w:tcW w:w="180" w:type="dxa"/>
            <w:tcBorders>
              <w:top w:val="nil"/>
              <w:left w:val="nil"/>
              <w:bottom w:val="nil"/>
              <w:right w:val="nil"/>
              <w:tl2br w:val="nil"/>
              <w:tr2bl w:val="nil"/>
            </w:tcBorders>
            <w:tcMar>
              <w:left w:w="0" w:type="dxa"/>
              <w:right w:w="0" w:type="dxa"/>
            </w:tcMar>
            <w:vAlign w:val="bottom"/>
          </w:tcPr>
          <w:p w14:paraId="71F3F90E"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F90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42,951</w:t>
            </w:r>
          </w:p>
        </w:tc>
        <w:tc>
          <w:tcPr>
            <w:tcW w:w="180" w:type="dxa"/>
            <w:tcBorders>
              <w:top w:val="nil"/>
              <w:left w:val="nil"/>
              <w:bottom w:val="nil"/>
              <w:right w:val="nil"/>
              <w:tl2br w:val="nil"/>
              <w:tr2bl w:val="nil"/>
            </w:tcBorders>
            <w:tcMar>
              <w:left w:w="0" w:type="dxa"/>
              <w:right w:w="0" w:type="dxa"/>
            </w:tcMar>
            <w:vAlign w:val="bottom"/>
          </w:tcPr>
          <w:p w14:paraId="71F3F910"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F91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47,468</w:t>
            </w:r>
          </w:p>
        </w:tc>
        <w:tc>
          <w:tcPr>
            <w:tcW w:w="180" w:type="dxa"/>
            <w:tcBorders>
              <w:top w:val="nil"/>
              <w:left w:val="nil"/>
              <w:bottom w:val="nil"/>
              <w:right w:val="nil"/>
              <w:tl2br w:val="nil"/>
              <w:tr2bl w:val="nil"/>
            </w:tcBorders>
            <w:tcMar>
              <w:left w:w="0" w:type="dxa"/>
              <w:right w:w="0" w:type="dxa"/>
            </w:tcMar>
            <w:vAlign w:val="bottom"/>
          </w:tcPr>
          <w:p w14:paraId="71F3F912" w14:textId="77777777" w:rsidR="00510CAA" w:rsidRDefault="003A4815">
            <w:pPr>
              <w:keepNex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tcMar>
              <w:left w:w="0" w:type="dxa"/>
              <w:right w:w="60" w:type="dxa"/>
            </w:tcMar>
            <w:vAlign w:val="bottom"/>
          </w:tcPr>
          <w:p w14:paraId="71F3F91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49,331</w:t>
            </w:r>
          </w:p>
        </w:tc>
      </w:tr>
    </w:tbl>
    <w:p w14:paraId="71F3F915"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916" w14:textId="77777777" w:rsidR="00436DDA" w:rsidRPr="00894EED" w:rsidRDefault="003A4815" w:rsidP="0007253D">
      <w:pPr>
        <w:pStyle w:val="Header1notes"/>
        <w:keepLines/>
        <w:pBdr>
          <w:top w:val="nil"/>
          <w:left w:val="nil"/>
          <w:bottom w:val="nil"/>
          <w:right w:val="nil"/>
          <w:between w:val="nil"/>
          <w:bar w:val="nil"/>
        </w:pBdr>
        <w:spacing w:before="0" w:after="0"/>
        <w:ind w:left="567" w:hanging="567"/>
        <w:rPr>
          <w:rFonts w:ascii="Arial" w:eastAsia="Arial" w:hAnsi="Arial" w:cs="Arial"/>
          <w:sz w:val="24"/>
          <w:bdr w:val="nil"/>
        </w:rPr>
      </w:pPr>
      <w:bookmarkStart w:id="861" w:name="RG_MARKER_23106"/>
      <w:bookmarkStart w:id="862" w:name="RG_MARKER_23105"/>
      <w:bookmarkStart w:id="863" w:name="_Ref220145177"/>
      <w:bookmarkStart w:id="864" w:name="XBRL_TS_8e685da7710d4485980c2646e04c73d9"/>
      <w:r w:rsidRPr="00894EED">
        <w:rPr>
          <w:rFonts w:ascii="Arial" w:eastAsia="Arial" w:hAnsi="Arial" w:cs="Arial"/>
          <w:sz w:val="24"/>
        </w:rPr>
        <w:t>13.</w:t>
      </w:r>
      <w:bookmarkEnd w:id="861"/>
      <w:bookmarkEnd w:id="862"/>
      <w:r w:rsidRPr="00894EED">
        <w:rPr>
          <w:rFonts w:ascii="Arial" w:eastAsia="Arial" w:hAnsi="Arial" w:cs="Arial"/>
          <w:sz w:val="24"/>
        </w:rPr>
        <w:tab/>
        <w:t>Earnings</w:t>
      </w:r>
      <w:r>
        <w:rPr>
          <w:rFonts w:ascii="Arial" w:eastAsia="Arial" w:hAnsi="Arial" w:cs="Arial"/>
          <w:sz w:val="24"/>
        </w:rPr>
        <w:t xml:space="preserve">/(loss) </w:t>
      </w:r>
      <w:r w:rsidRPr="00894EED">
        <w:rPr>
          <w:rFonts w:ascii="Arial" w:eastAsia="Arial" w:hAnsi="Arial" w:cs="Arial"/>
          <w:sz w:val="24"/>
        </w:rPr>
        <w:t>per Share</w:t>
      </w:r>
      <w:bookmarkEnd w:id="863"/>
    </w:p>
    <w:p w14:paraId="71F3F917" w14:textId="77777777" w:rsidR="008568AF" w:rsidRPr="00894EED" w:rsidRDefault="008568AF" w:rsidP="008568AF">
      <w:pPr>
        <w:keepNext/>
        <w:keepLines/>
        <w:pBdr>
          <w:top w:val="nil"/>
          <w:left w:val="nil"/>
          <w:bottom w:val="nil"/>
          <w:right w:val="nil"/>
          <w:between w:val="nil"/>
          <w:bar w:val="nil"/>
        </w:pBdr>
        <w:jc w:val="both"/>
        <w:rPr>
          <w:rFonts w:ascii="Arial" w:eastAsia="Arial" w:hAnsi="Arial" w:cs="Arial"/>
          <w:bdr w:val="nil"/>
          <w:lang w:val="en-US"/>
        </w:rPr>
      </w:pPr>
    </w:p>
    <w:p w14:paraId="71F3F918" w14:textId="77777777" w:rsidR="007319B4" w:rsidRDefault="003A4815" w:rsidP="002E18D5">
      <w:pPr>
        <w:pBdr>
          <w:top w:val="nil"/>
          <w:left w:val="nil"/>
          <w:bottom w:val="nil"/>
          <w:right w:val="nil"/>
          <w:between w:val="nil"/>
          <w:bar w:val="nil"/>
        </w:pBdr>
        <w:jc w:val="both"/>
        <w:rPr>
          <w:rFonts w:ascii="Arial" w:eastAsia="Arial" w:hAnsi="Arial" w:cs="Arial"/>
          <w:bdr w:val="nil"/>
          <w:lang w:val="en-US"/>
        </w:rPr>
      </w:pPr>
      <w:r w:rsidRPr="00BB40CB">
        <w:rPr>
          <w:rFonts w:ascii="Arial" w:eastAsia="Arial" w:hAnsi="Arial" w:cs="Arial"/>
          <w:szCs w:val="24"/>
          <w:lang w:val="en-US" w:bidi="en-US"/>
        </w:rPr>
        <w:t xml:space="preserve">All common shares issued (including the restricted shares issued under the Company’s incentive plans are the Company’s common stock and have equal rights to vote and participate in dividends. The calculation of basic earnings per share does not treat the non-vested shares (not considered participating securities) as outstanding until the time/service-based vesting restriction has lapsed. The dilutive effect on unexercised warrants that are in-the-money, is computed using the treasury stock method which assumes that the proceeds upon exercise of these warrants are used to purchase common shares at the average market price for the period. Incremental shares are </w:t>
      </w:r>
      <w:r w:rsidRPr="00BB40CB">
        <w:rPr>
          <w:rFonts w:ascii="Arial" w:eastAsia="Arial" w:hAnsi="Arial" w:cs="Arial"/>
          <w:szCs w:val="24"/>
          <w:lang w:val="en-GB" w:bidi="en-US"/>
        </w:rPr>
        <w:t>the</w:t>
      </w:r>
      <w:r w:rsidRPr="00BB40CB">
        <w:rPr>
          <w:rFonts w:ascii="Arial" w:eastAsia="Arial" w:hAnsi="Arial" w:cs="Arial"/>
          <w:szCs w:val="24"/>
          <w:lang w:val="en-US" w:bidi="en-US"/>
        </w:rPr>
        <w:t xml:space="preserve"> number of shares assumed issued under the treasury stock method weighted for the periods the non-vested shares were outstanding.</w:t>
      </w:r>
    </w:p>
    <w:p w14:paraId="71F3F919" w14:textId="77777777" w:rsidR="00BB40CB" w:rsidRDefault="00BB40CB" w:rsidP="002E18D5">
      <w:pPr>
        <w:pBdr>
          <w:top w:val="nil"/>
          <w:left w:val="nil"/>
          <w:bottom w:val="nil"/>
          <w:right w:val="nil"/>
          <w:between w:val="nil"/>
          <w:bar w:val="nil"/>
        </w:pBdr>
        <w:jc w:val="both"/>
        <w:rPr>
          <w:rFonts w:ascii="Arial" w:eastAsia="Arial" w:hAnsi="Arial" w:cs="Arial"/>
          <w:bdr w:val="nil"/>
          <w:lang w:val="en-US"/>
        </w:rPr>
      </w:pPr>
    </w:p>
    <w:p w14:paraId="71F3F91A" w14:textId="77777777" w:rsidR="00F429F1" w:rsidRDefault="003A4815" w:rsidP="002E18D5">
      <w:p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szCs w:val="24"/>
          <w:lang w:val="en-US" w:bidi="en-US"/>
        </w:rPr>
        <w:t>In</w:t>
      </w:r>
      <w:r w:rsidR="00616E49">
        <w:rPr>
          <w:rFonts w:ascii="Arial" w:eastAsia="Arial" w:hAnsi="Arial" w:cs="Arial"/>
          <w:szCs w:val="24"/>
          <w:lang w:val="en-US" w:bidi="en-US"/>
        </w:rPr>
        <w:t xml:space="preserve"> </w:t>
      </w:r>
      <w:r w:rsidR="00616E49" w:rsidRPr="007C48E2">
        <w:rPr>
          <w:rFonts w:ascii="Arial" w:eastAsia="Arial" w:hAnsi="Arial" w:cs="Arial"/>
          <w:szCs w:val="24"/>
          <w:lang w:val="en-US" w:bidi="en-US"/>
        </w:rPr>
        <w:t>2025</w:t>
      </w:r>
      <w:r>
        <w:rPr>
          <w:rFonts w:ascii="Arial" w:eastAsia="Arial" w:hAnsi="Arial" w:cs="Arial"/>
          <w:szCs w:val="24"/>
          <w:lang w:val="en-US" w:bidi="en-US"/>
        </w:rPr>
        <w:t>,</w:t>
      </w:r>
      <w:r w:rsidR="00616E49" w:rsidRPr="007C48E2">
        <w:rPr>
          <w:rFonts w:ascii="Arial" w:eastAsia="Arial" w:hAnsi="Arial" w:cs="Arial"/>
          <w:szCs w:val="24"/>
          <w:lang w:val="en-US" w:bidi="en-US"/>
        </w:rPr>
        <w:t xml:space="preserve"> 2024</w:t>
      </w:r>
      <w:r>
        <w:rPr>
          <w:rFonts w:ascii="Arial" w:eastAsia="Arial" w:hAnsi="Arial" w:cs="Arial"/>
          <w:szCs w:val="24"/>
          <w:lang w:val="en-US" w:bidi="en-US"/>
        </w:rPr>
        <w:t xml:space="preserve"> and </w:t>
      </w:r>
      <w:r w:rsidRPr="007C48E2">
        <w:rPr>
          <w:rFonts w:ascii="Arial" w:eastAsia="Arial" w:hAnsi="Arial" w:cs="Arial"/>
          <w:szCs w:val="24"/>
          <w:lang w:val="en-US" w:bidi="en-US"/>
        </w:rPr>
        <w:t>2023</w:t>
      </w:r>
      <w:r w:rsidR="00616E49" w:rsidRPr="00F3741E">
        <w:rPr>
          <w:rFonts w:ascii="Arial" w:eastAsia="Arial" w:hAnsi="Arial" w:cs="Arial"/>
          <w:szCs w:val="24"/>
          <w:lang w:val="en-US" w:bidi="en-US"/>
        </w:rPr>
        <w:t>, there were</w:t>
      </w:r>
      <w:r>
        <w:rPr>
          <w:rFonts w:ascii="Arial" w:eastAsia="Arial" w:hAnsi="Arial" w:cs="Arial"/>
          <w:szCs w:val="24"/>
          <w:lang w:val="en-US" w:bidi="en-US"/>
        </w:rPr>
        <w:t xml:space="preserve"> </w:t>
      </w:r>
      <w:bookmarkStart w:id="865" w:name="XBRL_CS_eec4489203824950b4466e73a7cc326c"/>
      <w:r>
        <w:rPr>
          <w:rFonts w:ascii="Arial" w:eastAsia="Arial" w:hAnsi="Arial" w:cs="Arial"/>
          <w:szCs w:val="24"/>
          <w:lang w:val="en-US" w:bidi="en-US"/>
        </w:rPr>
        <w:t>38,544</w:t>
      </w:r>
      <w:bookmarkEnd w:id="865"/>
      <w:r>
        <w:rPr>
          <w:rFonts w:ascii="Arial" w:eastAsia="Arial" w:hAnsi="Arial" w:cs="Arial"/>
          <w:szCs w:val="24"/>
          <w:lang w:val="en-US" w:bidi="en-US"/>
        </w:rPr>
        <w:t xml:space="preserve">, </w:t>
      </w:r>
      <w:bookmarkStart w:id="866" w:name="XBRL_CS_c6a92475689a4ea9af70646f1d222bf0"/>
      <w:r>
        <w:rPr>
          <w:rFonts w:ascii="Arial" w:eastAsia="Arial" w:hAnsi="Arial" w:cs="Arial"/>
          <w:szCs w:val="24"/>
          <w:lang w:val="en-US" w:bidi="en-US"/>
        </w:rPr>
        <w:t>2,698,994</w:t>
      </w:r>
      <w:bookmarkEnd w:id="866"/>
      <w:r>
        <w:rPr>
          <w:rFonts w:ascii="Arial" w:eastAsia="Arial" w:hAnsi="Arial" w:cs="Arial"/>
          <w:szCs w:val="24"/>
          <w:lang w:val="en-US" w:bidi="en-US"/>
        </w:rPr>
        <w:t xml:space="preserve"> and </w:t>
      </w:r>
      <w:bookmarkStart w:id="867" w:name="XBRL_CS_080042e689c142da8a6f5126e6ee2d9f"/>
      <w:r>
        <w:rPr>
          <w:rFonts w:ascii="Arial" w:eastAsia="Arial" w:hAnsi="Arial" w:cs="Arial"/>
          <w:szCs w:val="24"/>
          <w:lang w:val="en-US" w:bidi="en-US"/>
        </w:rPr>
        <w:t>1,710,513</w:t>
      </w:r>
      <w:bookmarkEnd w:id="867"/>
      <w:r w:rsidR="00616E49" w:rsidRPr="00F3741E">
        <w:rPr>
          <w:rFonts w:ascii="Arial" w:eastAsia="Arial" w:hAnsi="Arial" w:cs="Arial"/>
          <w:szCs w:val="24"/>
          <w:lang w:val="en-US" w:bidi="en-US"/>
        </w:rPr>
        <w:t xml:space="preserve"> included in the denominator of the diluted earnings per share calculation.</w:t>
      </w:r>
      <w:r w:rsidR="00616E49">
        <w:rPr>
          <w:rFonts w:ascii="Arial" w:eastAsia="Arial" w:hAnsi="Arial" w:cs="Arial"/>
          <w:szCs w:val="24"/>
          <w:lang w:val="en-US" w:bidi="en-US"/>
        </w:rPr>
        <w:t xml:space="preserve"> </w:t>
      </w:r>
      <w:r w:rsidR="00616E49" w:rsidRPr="00054F05">
        <w:rPr>
          <w:rFonts w:ascii="Arial" w:eastAsia="Arial" w:hAnsi="Arial" w:cs="Arial"/>
          <w:szCs w:val="24"/>
          <w:lang w:val="en-US" w:bidi="en-US"/>
        </w:rPr>
        <w:t xml:space="preserve">Securities that could potentially dilute basic earnings per share in the future but were not included in the computation of diluted earnings per share—because their inclusion would have been anti-dilutive—consist of any incremental shares from unexercised warrants that were out of the money during the reporting period and any incremental </w:t>
      </w:r>
      <w:r w:rsidR="00616E49" w:rsidRPr="007E2C0B">
        <w:rPr>
          <w:rFonts w:ascii="Arial" w:eastAsia="Arial" w:hAnsi="Arial" w:cs="Arial"/>
          <w:szCs w:val="24"/>
          <w:lang w:val="en-US" w:bidi="en-US"/>
        </w:rPr>
        <w:t>shares resulting from the non-vested restricted share awards.</w:t>
      </w:r>
      <w:r w:rsidR="00616E49" w:rsidRPr="00894EED">
        <w:rPr>
          <w:rFonts w:ascii="Arial" w:eastAsia="Arial" w:hAnsi="Arial" w:cs="Arial"/>
          <w:szCs w:val="24"/>
          <w:lang w:val="en-US" w:bidi="en-US"/>
        </w:rPr>
        <w:t> </w:t>
      </w:r>
    </w:p>
    <w:p w14:paraId="71F3F91B" w14:textId="77777777" w:rsidR="00D80923" w:rsidRDefault="00D80923" w:rsidP="002E18D5">
      <w:pPr>
        <w:pBdr>
          <w:top w:val="nil"/>
          <w:left w:val="nil"/>
          <w:bottom w:val="nil"/>
          <w:right w:val="nil"/>
          <w:between w:val="nil"/>
          <w:bar w:val="nil"/>
        </w:pBdr>
        <w:jc w:val="both"/>
        <w:rPr>
          <w:rFonts w:ascii="Arial" w:eastAsia="Arial" w:hAnsi="Arial" w:cs="Arial"/>
          <w:bdr w:val="nil"/>
          <w:lang w:val="en-US"/>
        </w:rPr>
      </w:pPr>
    </w:p>
    <w:p w14:paraId="71F3F91C" w14:textId="77777777" w:rsidR="00D80923" w:rsidRPr="00D80923" w:rsidRDefault="003A4815" w:rsidP="00D80923">
      <w:pPr>
        <w:pBdr>
          <w:top w:val="nil"/>
          <w:left w:val="nil"/>
          <w:bottom w:val="nil"/>
          <w:right w:val="nil"/>
          <w:between w:val="nil"/>
          <w:bar w:val="nil"/>
        </w:pBdr>
        <w:jc w:val="both"/>
        <w:rPr>
          <w:rFonts w:ascii="Arial" w:eastAsia="Arial" w:hAnsi="Arial" w:cs="Arial"/>
          <w:bdr w:val="nil"/>
          <w:lang w:val="en-US"/>
        </w:rPr>
      </w:pPr>
      <w:r w:rsidRPr="00D80923">
        <w:rPr>
          <w:rFonts w:ascii="Arial" w:eastAsia="Arial" w:hAnsi="Arial" w:cs="Arial"/>
          <w:szCs w:val="24"/>
          <w:lang w:val="en-US" w:bidi="en-US"/>
        </w:rPr>
        <w:t>Net income attributable to common stockholders is adjusted by the dividends on Series B Preferred Stock and the gain on warrants</w:t>
      </w:r>
      <w:r w:rsidR="004E2CA4">
        <w:rPr>
          <w:rFonts w:ascii="Arial" w:eastAsia="Arial" w:hAnsi="Arial" w:cs="Arial"/>
          <w:szCs w:val="24"/>
          <w:lang w:val="en-US" w:bidi="en-US"/>
        </w:rPr>
        <w:t xml:space="preserve"> with dilutive effect</w:t>
      </w:r>
      <w:r w:rsidRPr="00D80923">
        <w:rPr>
          <w:rFonts w:ascii="Arial" w:eastAsia="Arial" w:hAnsi="Arial" w:cs="Arial"/>
          <w:szCs w:val="24"/>
          <w:lang w:val="en-US" w:bidi="en-US"/>
        </w:rPr>
        <w:t xml:space="preserve"> to calculate the diluted earnings per share.</w:t>
      </w:r>
    </w:p>
    <w:bookmarkEnd w:id="864"/>
    <w:p w14:paraId="71F3F91D" w14:textId="77777777" w:rsidR="00D80923" w:rsidRPr="00894EED" w:rsidRDefault="00D80923" w:rsidP="002E18D5">
      <w:pPr>
        <w:pBdr>
          <w:top w:val="nil"/>
          <w:left w:val="nil"/>
          <w:bottom w:val="nil"/>
          <w:right w:val="nil"/>
          <w:between w:val="nil"/>
          <w:bar w:val="nil"/>
        </w:pBdr>
        <w:jc w:val="both"/>
        <w:rPr>
          <w:rFonts w:ascii="Arial" w:eastAsia="Arial" w:hAnsi="Arial" w:cs="Arial"/>
          <w:bdr w:val="nil"/>
          <w:lang w:val="en-US"/>
        </w:rPr>
      </w:pPr>
    </w:p>
    <w:tbl>
      <w:tblPr>
        <w:tblStyle w:val="CDMRange1"/>
        <w:tblW w:w="10005" w:type="dxa"/>
        <w:tblLayout w:type="fixed"/>
        <w:tblLook w:val="0600" w:firstRow="0" w:lastRow="0" w:firstColumn="0" w:lastColumn="0" w:noHBand="1" w:noVBand="1"/>
      </w:tblPr>
      <w:tblGrid>
        <w:gridCol w:w="5115"/>
        <w:gridCol w:w="180"/>
        <w:gridCol w:w="1440"/>
        <w:gridCol w:w="180"/>
        <w:gridCol w:w="1440"/>
        <w:gridCol w:w="210"/>
        <w:gridCol w:w="1440"/>
      </w:tblGrid>
      <w:tr w:rsidR="00510CAA" w14:paraId="71F3F925" w14:textId="77777777">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1E" w14:textId="77777777" w:rsidR="00510CAA" w:rsidRDefault="003A4815">
            <w:pPr>
              <w:keepNext/>
              <w:rPr>
                <w:rFonts w:ascii="Arial" w:eastAsia="Arial" w:hAnsi="Arial" w:cs="Arial"/>
                <w:b/>
                <w:color w:val="000000"/>
                <w:sz w:val="20"/>
              </w:rPr>
            </w:pPr>
            <w:bookmarkStart w:id="868" w:name="RG_MARKER_23107"/>
            <w:r>
              <w:rPr>
                <w:rFonts w:ascii="Arial" w:eastAsia="Arial" w:hAnsi="Arial" w:cs="Arial"/>
                <w:b/>
                <w:color w:val="000000"/>
                <w:sz w:val="20"/>
              </w:rPr>
              <w:t xml:space="preserve">Basic Earnings / (Loss) per Share </w:t>
            </w:r>
            <w:bookmarkEnd w:id="868"/>
          </w:p>
        </w:tc>
        <w:tc>
          <w:tcPr>
            <w:tcW w:w="180" w:type="dxa"/>
            <w:tcBorders>
              <w:top w:val="nil"/>
              <w:left w:val="nil"/>
              <w:bottom w:val="nil"/>
              <w:right w:val="nil"/>
              <w:tl2br w:val="nil"/>
              <w:tr2bl w:val="nil"/>
            </w:tcBorders>
            <w:noWrap/>
            <w:tcMar>
              <w:left w:w="0" w:type="dxa"/>
              <w:right w:w="0" w:type="dxa"/>
            </w:tcMar>
            <w:vAlign w:val="bottom"/>
          </w:tcPr>
          <w:p w14:paraId="71F3F91F"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20" w14:textId="77777777" w:rsidR="00510CAA" w:rsidRDefault="00510CAA">
            <w:pPr>
              <w:keepNext/>
              <w:jc w:val="center"/>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21" w14:textId="77777777" w:rsidR="00510CAA" w:rsidRDefault="00510CAA">
            <w:pPr>
              <w:keepNext/>
              <w:jc w:val="center"/>
              <w:rPr>
                <w:rFonts w:ascii="Arial" w:eastAsia="Arial" w:hAnsi="Arial" w:cs="Arial"/>
                <w:b/>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22" w14:textId="77777777" w:rsidR="00510CAA" w:rsidRDefault="00510CAA">
            <w:pPr>
              <w:keepNext/>
              <w:jc w:val="center"/>
              <w:rPr>
                <w:rFonts w:ascii="Arial" w:eastAsia="Arial" w:hAnsi="Arial" w:cs="Arial"/>
                <w:b/>
                <w:color w:val="000000"/>
                <w:sz w:val="20"/>
              </w:rPr>
            </w:pPr>
          </w:p>
        </w:tc>
        <w:tc>
          <w:tcPr>
            <w:tcW w:w="210" w:type="dxa"/>
            <w:tcBorders>
              <w:top w:val="nil"/>
              <w:left w:val="nil"/>
              <w:bottom w:val="nil"/>
              <w:right w:val="nil"/>
              <w:tl2br w:val="nil"/>
              <w:tr2bl w:val="nil"/>
            </w:tcBorders>
            <w:noWrap/>
            <w:tcMar>
              <w:left w:w="0" w:type="dxa"/>
              <w:right w:w="0" w:type="dxa"/>
            </w:tcMar>
            <w:vAlign w:val="bottom"/>
          </w:tcPr>
          <w:p w14:paraId="71F3F923" w14:textId="77777777" w:rsidR="00510CAA" w:rsidRDefault="00510CAA">
            <w:pPr>
              <w:keepNext/>
              <w:jc w:val="center"/>
              <w:rPr>
                <w:rFonts w:ascii="Arial" w:eastAsia="Arial" w:hAnsi="Arial" w:cs="Arial"/>
                <w:b/>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24" w14:textId="77777777" w:rsidR="00510CAA" w:rsidRDefault="00510CAA">
            <w:pPr>
              <w:keepNext/>
              <w:jc w:val="center"/>
              <w:rPr>
                <w:rFonts w:ascii="Arial" w:eastAsia="Arial" w:hAnsi="Arial" w:cs="Arial"/>
                <w:b/>
                <w:color w:val="000000"/>
                <w:sz w:val="20"/>
              </w:rPr>
            </w:pPr>
          </w:p>
        </w:tc>
      </w:tr>
      <w:tr w:rsidR="00510CAA" w14:paraId="71F3F92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26"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27"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28"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noWrap/>
            <w:tcMar>
              <w:left w:w="0" w:type="dxa"/>
              <w:right w:w="0" w:type="dxa"/>
            </w:tcMar>
            <w:vAlign w:val="bottom"/>
          </w:tcPr>
          <w:p w14:paraId="71F3F929"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2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210" w:type="dxa"/>
            <w:tcBorders>
              <w:top w:val="nil"/>
              <w:left w:val="nil"/>
              <w:bottom w:val="nil"/>
              <w:right w:val="nil"/>
              <w:tl2br w:val="nil"/>
              <w:tr2bl w:val="nil"/>
            </w:tcBorders>
            <w:noWrap/>
            <w:tcMar>
              <w:left w:w="0" w:type="dxa"/>
              <w:right w:w="0" w:type="dxa"/>
            </w:tcMar>
            <w:vAlign w:val="bottom"/>
          </w:tcPr>
          <w:p w14:paraId="71F3F92B"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2C"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F93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5"/>
        </w:trPr>
        <w:tc>
          <w:tcPr>
            <w:tcW w:w="5115" w:type="dxa"/>
            <w:tcBorders>
              <w:top w:val="nil"/>
              <w:left w:val="nil"/>
              <w:bottom w:val="nil"/>
              <w:right w:val="nil"/>
              <w:tl2br w:val="nil"/>
              <w:tr2bl w:val="nil"/>
            </w:tcBorders>
            <w:noWrap/>
            <w:tcMar>
              <w:left w:w="0" w:type="dxa"/>
              <w:right w:w="0" w:type="dxa"/>
            </w:tcMar>
            <w:vAlign w:val="bottom"/>
          </w:tcPr>
          <w:p w14:paraId="71F3F92E"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F92F" w14:textId="77777777" w:rsidR="00510CAA" w:rsidRDefault="00510CAA">
            <w:pPr>
              <w:keepNex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930" w14:textId="77777777" w:rsidR="00510CAA" w:rsidRDefault="00510CAA">
            <w:pPr>
              <w:keepNext/>
              <w:jc w:val="center"/>
              <w:rPr>
                <w:rFonts w:ascii="Arial" w:eastAsia="Arial" w:hAnsi="Arial" w:cs="Arial"/>
                <w:b/>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F931" w14:textId="77777777" w:rsidR="00510CAA" w:rsidRDefault="00510CAA">
            <w:pPr>
              <w:keepNex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932" w14:textId="77777777" w:rsidR="00510CAA" w:rsidRDefault="00510CAA">
            <w:pPr>
              <w:keepNext/>
              <w:jc w:val="center"/>
              <w:rPr>
                <w:rFonts w:ascii="Arial" w:eastAsia="Arial" w:hAnsi="Arial" w:cs="Arial"/>
                <w:b/>
                <w:color w:val="000000"/>
                <w:sz w:val="20"/>
              </w:rPr>
            </w:pPr>
          </w:p>
        </w:tc>
        <w:tc>
          <w:tcPr>
            <w:tcW w:w="210" w:type="dxa"/>
            <w:tcBorders>
              <w:top w:val="nil"/>
              <w:left w:val="nil"/>
              <w:bottom w:val="nil"/>
              <w:right w:val="nil"/>
              <w:tl2br w:val="nil"/>
              <w:tr2bl w:val="nil"/>
            </w:tcBorders>
            <w:tcMar>
              <w:left w:w="0" w:type="dxa"/>
              <w:right w:w="0" w:type="dxa"/>
            </w:tcMar>
            <w:vAlign w:val="bottom"/>
          </w:tcPr>
          <w:p w14:paraId="71F3F933" w14:textId="77777777" w:rsidR="00510CAA" w:rsidRDefault="00510CAA">
            <w:pPr>
              <w:keepNex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0" w:type="dxa"/>
              <w:right w:w="0" w:type="dxa"/>
            </w:tcMar>
            <w:vAlign w:val="bottom"/>
          </w:tcPr>
          <w:p w14:paraId="71F3F934" w14:textId="77777777" w:rsidR="00510CAA" w:rsidRDefault="00510CAA">
            <w:pPr>
              <w:keepNext/>
              <w:jc w:val="center"/>
              <w:rPr>
                <w:rFonts w:ascii="Arial" w:eastAsia="Arial" w:hAnsi="Arial" w:cs="Arial"/>
                <w:b/>
                <w:color w:val="000000"/>
                <w:sz w:val="20"/>
              </w:rPr>
            </w:pPr>
          </w:p>
        </w:tc>
      </w:tr>
      <w:tr w:rsidR="00510CAA" w14:paraId="71F3F93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36" w14:textId="77777777" w:rsidR="00510CAA" w:rsidRDefault="003A4815">
            <w:pPr>
              <w:keepNext/>
              <w:rPr>
                <w:rFonts w:ascii="Arial" w:eastAsia="Arial" w:hAnsi="Arial" w:cs="Arial"/>
                <w:color w:val="000000"/>
                <w:sz w:val="20"/>
              </w:rPr>
            </w:pPr>
            <w:r>
              <w:rPr>
                <w:rFonts w:ascii="Arial" w:eastAsia="Arial" w:hAnsi="Arial" w:cs="Arial"/>
                <w:color w:val="000000"/>
                <w:sz w:val="20"/>
              </w:rPr>
              <w:t>Net income</w:t>
            </w:r>
          </w:p>
        </w:tc>
        <w:tc>
          <w:tcPr>
            <w:tcW w:w="180" w:type="dxa"/>
            <w:tcBorders>
              <w:top w:val="nil"/>
              <w:left w:val="nil"/>
              <w:bottom w:val="nil"/>
              <w:right w:val="nil"/>
              <w:tl2br w:val="nil"/>
              <w:tr2bl w:val="nil"/>
            </w:tcBorders>
            <w:noWrap/>
            <w:tcMar>
              <w:left w:w="0" w:type="dxa"/>
              <w:right w:w="0" w:type="dxa"/>
            </w:tcMar>
            <w:vAlign w:val="bottom"/>
          </w:tcPr>
          <w:p w14:paraId="71F3F93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F93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17,827</w:t>
            </w:r>
          </w:p>
        </w:tc>
        <w:tc>
          <w:tcPr>
            <w:tcW w:w="180" w:type="dxa"/>
            <w:tcBorders>
              <w:top w:val="nil"/>
              <w:left w:val="nil"/>
              <w:bottom w:val="nil"/>
              <w:right w:val="nil"/>
              <w:tl2br w:val="nil"/>
              <w:tr2bl w:val="nil"/>
            </w:tcBorders>
            <w:noWrap/>
            <w:tcMar>
              <w:left w:w="0" w:type="dxa"/>
              <w:right w:w="60" w:type="dxa"/>
            </w:tcMar>
            <w:vAlign w:val="bottom"/>
          </w:tcPr>
          <w:p w14:paraId="71F3F93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F93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12,746</w:t>
            </w:r>
          </w:p>
        </w:tc>
        <w:tc>
          <w:tcPr>
            <w:tcW w:w="210" w:type="dxa"/>
            <w:tcBorders>
              <w:top w:val="nil"/>
              <w:left w:val="nil"/>
              <w:bottom w:val="nil"/>
              <w:right w:val="nil"/>
              <w:tl2br w:val="nil"/>
              <w:tr2bl w:val="nil"/>
            </w:tcBorders>
            <w:noWrap/>
            <w:tcMar>
              <w:left w:w="0" w:type="dxa"/>
              <w:right w:w="60" w:type="dxa"/>
            </w:tcMar>
            <w:vAlign w:val="bottom"/>
          </w:tcPr>
          <w:p w14:paraId="71F3F93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nil"/>
              <w:left w:val="nil"/>
              <w:bottom w:val="nil"/>
              <w:right w:val="nil"/>
              <w:tl2br w:val="nil"/>
              <w:tr2bl w:val="nil"/>
            </w:tcBorders>
            <w:noWrap/>
            <w:tcMar>
              <w:left w:w="0" w:type="dxa"/>
              <w:right w:w="60" w:type="dxa"/>
            </w:tcMar>
            <w:vAlign w:val="bottom"/>
          </w:tcPr>
          <w:p w14:paraId="71F3F93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49,844</w:t>
            </w:r>
          </w:p>
        </w:tc>
      </w:tr>
      <w:tr w:rsidR="00510CAA" w14:paraId="71F3F94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3E" w14:textId="77777777" w:rsidR="00510CAA" w:rsidRDefault="003A4815">
            <w:pPr>
              <w:keepNext/>
              <w:rPr>
                <w:rFonts w:ascii="Arial" w:eastAsia="Arial" w:hAnsi="Arial" w:cs="Arial"/>
                <w:color w:val="000000"/>
                <w:sz w:val="20"/>
              </w:rPr>
            </w:pPr>
            <w:r>
              <w:rPr>
                <w:rFonts w:ascii="Arial" w:eastAsia="Arial" w:hAnsi="Arial" w:cs="Arial"/>
                <w:color w:val="000000"/>
                <w:sz w:val="20"/>
              </w:rPr>
              <w:t>Dividends on series B preferred shares</w:t>
            </w:r>
          </w:p>
        </w:tc>
        <w:tc>
          <w:tcPr>
            <w:tcW w:w="180" w:type="dxa"/>
            <w:tcBorders>
              <w:top w:val="nil"/>
              <w:left w:val="nil"/>
              <w:bottom w:val="nil"/>
              <w:right w:val="nil"/>
              <w:tl2br w:val="nil"/>
              <w:tr2bl w:val="nil"/>
            </w:tcBorders>
            <w:noWrap/>
            <w:tcMar>
              <w:left w:w="0" w:type="dxa"/>
              <w:right w:w="0" w:type="dxa"/>
            </w:tcMar>
            <w:vAlign w:val="bottom"/>
          </w:tcPr>
          <w:p w14:paraId="71F3F93F"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4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c>
          <w:tcPr>
            <w:tcW w:w="180" w:type="dxa"/>
            <w:tcBorders>
              <w:top w:val="nil"/>
              <w:left w:val="nil"/>
              <w:bottom w:val="nil"/>
              <w:right w:val="nil"/>
              <w:tl2br w:val="nil"/>
              <w:tr2bl w:val="nil"/>
            </w:tcBorders>
            <w:noWrap/>
            <w:tcMar>
              <w:left w:w="0" w:type="dxa"/>
              <w:right w:w="0" w:type="dxa"/>
            </w:tcMar>
            <w:vAlign w:val="bottom"/>
          </w:tcPr>
          <w:p w14:paraId="71F3F941"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4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c>
          <w:tcPr>
            <w:tcW w:w="210" w:type="dxa"/>
            <w:tcBorders>
              <w:top w:val="nil"/>
              <w:left w:val="nil"/>
              <w:bottom w:val="nil"/>
              <w:right w:val="nil"/>
              <w:tl2br w:val="nil"/>
              <w:tr2bl w:val="nil"/>
            </w:tcBorders>
            <w:noWrap/>
            <w:tcMar>
              <w:left w:w="0" w:type="dxa"/>
              <w:right w:w="0" w:type="dxa"/>
            </w:tcMar>
            <w:vAlign w:val="bottom"/>
          </w:tcPr>
          <w:p w14:paraId="71F3F943"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4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r>
      <w:tr w:rsidR="00510CAA" w14:paraId="71F3F94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115" w:type="dxa"/>
            <w:tcBorders>
              <w:top w:val="nil"/>
              <w:left w:val="nil"/>
              <w:bottom w:val="nil"/>
              <w:right w:val="nil"/>
              <w:tl2br w:val="nil"/>
              <w:tr2bl w:val="nil"/>
            </w:tcBorders>
            <w:tcMar>
              <w:left w:w="0" w:type="dxa"/>
              <w:right w:w="0" w:type="dxa"/>
            </w:tcMar>
            <w:vAlign w:val="bottom"/>
          </w:tcPr>
          <w:p w14:paraId="71F3F946" w14:textId="77777777" w:rsidR="00510CAA" w:rsidRDefault="003A4815">
            <w:pPr>
              <w:keepNext/>
              <w:rPr>
                <w:rFonts w:ascii="Arial" w:eastAsia="Arial" w:hAnsi="Arial" w:cs="Arial"/>
                <w:b/>
                <w:color w:val="000000"/>
                <w:sz w:val="20"/>
              </w:rPr>
            </w:pPr>
            <w:r>
              <w:rPr>
                <w:rFonts w:ascii="Arial" w:eastAsia="Arial" w:hAnsi="Arial" w:cs="Arial"/>
                <w:b/>
                <w:color w:val="000000"/>
                <w:sz w:val="20"/>
              </w:rPr>
              <w:t>Net income attributable to common stockholders</w:t>
            </w:r>
          </w:p>
        </w:tc>
        <w:tc>
          <w:tcPr>
            <w:tcW w:w="180" w:type="dxa"/>
            <w:tcBorders>
              <w:top w:val="nil"/>
              <w:left w:val="nil"/>
              <w:bottom w:val="nil"/>
              <w:right w:val="nil"/>
              <w:tl2br w:val="nil"/>
              <w:tr2bl w:val="nil"/>
            </w:tcBorders>
            <w:noWrap/>
            <w:tcMar>
              <w:left w:w="0" w:type="dxa"/>
              <w:right w:w="0" w:type="dxa"/>
            </w:tcMar>
            <w:vAlign w:val="bottom"/>
          </w:tcPr>
          <w:p w14:paraId="71F3F94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48"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12,058</w:t>
            </w:r>
          </w:p>
        </w:tc>
        <w:tc>
          <w:tcPr>
            <w:tcW w:w="180" w:type="dxa"/>
            <w:tcBorders>
              <w:top w:val="nil"/>
              <w:left w:val="nil"/>
              <w:bottom w:val="nil"/>
              <w:right w:val="nil"/>
              <w:tl2br w:val="nil"/>
              <w:tr2bl w:val="nil"/>
            </w:tcBorders>
            <w:noWrap/>
            <w:tcMar>
              <w:left w:w="0" w:type="dxa"/>
              <w:right w:w="60" w:type="dxa"/>
            </w:tcMar>
            <w:vAlign w:val="bottom"/>
          </w:tcPr>
          <w:p w14:paraId="71F3F949"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4A"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6,977</w:t>
            </w:r>
          </w:p>
        </w:tc>
        <w:tc>
          <w:tcPr>
            <w:tcW w:w="210" w:type="dxa"/>
            <w:tcBorders>
              <w:top w:val="nil"/>
              <w:left w:val="nil"/>
              <w:bottom w:val="nil"/>
              <w:right w:val="nil"/>
              <w:tl2br w:val="nil"/>
              <w:tr2bl w:val="nil"/>
            </w:tcBorders>
            <w:noWrap/>
            <w:tcMar>
              <w:left w:w="0" w:type="dxa"/>
              <w:right w:w="60" w:type="dxa"/>
            </w:tcMar>
            <w:vAlign w:val="bottom"/>
          </w:tcPr>
          <w:p w14:paraId="71F3F94B"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4C"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44,075</w:t>
            </w:r>
          </w:p>
        </w:tc>
      </w:tr>
      <w:tr w:rsidR="00510CAA" w14:paraId="71F3F95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5"/>
        </w:trPr>
        <w:tc>
          <w:tcPr>
            <w:tcW w:w="5115" w:type="dxa"/>
            <w:tcBorders>
              <w:top w:val="nil"/>
              <w:left w:val="nil"/>
              <w:bottom w:val="nil"/>
              <w:right w:val="nil"/>
              <w:tl2br w:val="nil"/>
              <w:tr2bl w:val="nil"/>
            </w:tcBorders>
            <w:noWrap/>
            <w:tcMar>
              <w:left w:w="0" w:type="dxa"/>
              <w:right w:w="0" w:type="dxa"/>
            </w:tcMar>
            <w:vAlign w:val="bottom"/>
          </w:tcPr>
          <w:p w14:paraId="71F3F94E"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4F"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50"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51"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52" w14:textId="77777777" w:rsidR="00510CAA" w:rsidRDefault="00510CAA">
            <w:pPr>
              <w:keepNext/>
              <w:jc w:val="right"/>
              <w:rPr>
                <w:rFonts w:ascii="Arial" w:eastAsia="Arial" w:hAnsi="Arial" w:cs="Arial"/>
                <w:color w:val="000000"/>
                <w:sz w:val="20"/>
              </w:rPr>
            </w:pPr>
          </w:p>
        </w:tc>
        <w:tc>
          <w:tcPr>
            <w:tcW w:w="210" w:type="dxa"/>
            <w:tcBorders>
              <w:top w:val="nil"/>
              <w:left w:val="nil"/>
              <w:bottom w:val="nil"/>
              <w:right w:val="nil"/>
              <w:tl2br w:val="nil"/>
              <w:tr2bl w:val="nil"/>
            </w:tcBorders>
            <w:noWrap/>
            <w:tcMar>
              <w:left w:w="0" w:type="dxa"/>
              <w:right w:w="0" w:type="dxa"/>
            </w:tcMar>
            <w:vAlign w:val="bottom"/>
          </w:tcPr>
          <w:p w14:paraId="71F3F953"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54" w14:textId="77777777" w:rsidR="00510CAA" w:rsidRDefault="00510CAA">
            <w:pPr>
              <w:keepNext/>
              <w:jc w:val="right"/>
              <w:rPr>
                <w:rFonts w:ascii="Arial" w:eastAsia="Arial" w:hAnsi="Arial" w:cs="Arial"/>
                <w:color w:val="000000"/>
                <w:sz w:val="20"/>
              </w:rPr>
            </w:pPr>
          </w:p>
        </w:tc>
      </w:tr>
      <w:tr w:rsidR="00510CAA" w14:paraId="71F3F95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115" w:type="dxa"/>
            <w:tcBorders>
              <w:top w:val="nil"/>
              <w:left w:val="nil"/>
              <w:bottom w:val="nil"/>
              <w:right w:val="nil"/>
              <w:tl2br w:val="nil"/>
              <w:tr2bl w:val="nil"/>
            </w:tcBorders>
            <w:tcMar>
              <w:left w:w="0" w:type="dxa"/>
              <w:right w:w="0" w:type="dxa"/>
            </w:tcMar>
            <w:vAlign w:val="bottom"/>
          </w:tcPr>
          <w:p w14:paraId="71F3F956" w14:textId="77777777" w:rsidR="00510CAA" w:rsidRDefault="003A4815">
            <w:pPr>
              <w:keepNext/>
              <w:rPr>
                <w:rFonts w:ascii="Arial" w:eastAsia="Arial" w:hAnsi="Arial" w:cs="Arial"/>
                <w:color w:val="000000"/>
                <w:sz w:val="20"/>
              </w:rPr>
            </w:pPr>
            <w:r>
              <w:rPr>
                <w:rFonts w:ascii="Arial" w:eastAsia="Arial" w:hAnsi="Arial" w:cs="Arial"/>
                <w:color w:val="000000"/>
                <w:sz w:val="20"/>
              </w:rPr>
              <w:t>Weighted average number of common shares, basic</w:t>
            </w:r>
          </w:p>
        </w:tc>
        <w:tc>
          <w:tcPr>
            <w:tcW w:w="180" w:type="dxa"/>
            <w:tcBorders>
              <w:top w:val="nil"/>
              <w:left w:val="nil"/>
              <w:bottom w:val="nil"/>
              <w:right w:val="nil"/>
              <w:tl2br w:val="nil"/>
              <w:tr2bl w:val="nil"/>
            </w:tcBorders>
            <w:noWrap/>
            <w:tcMar>
              <w:left w:w="0" w:type="dxa"/>
              <w:right w:w="0" w:type="dxa"/>
            </w:tcMar>
            <w:vAlign w:val="bottom"/>
          </w:tcPr>
          <w:p w14:paraId="71F3F957" w14:textId="77777777" w:rsidR="00510CAA" w:rsidRDefault="00510CAA">
            <w:pPr>
              <w:keepNext/>
              <w:jc w:val="right"/>
              <w:rPr>
                <w:rFonts w:ascii="Arial" w:eastAsia="Arial" w:hAnsi="Arial" w:cs="Arial"/>
                <w:color w:val="000000"/>
                <w:sz w:val="20"/>
              </w:rPr>
            </w:pP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95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110,459,096</w:t>
            </w:r>
          </w:p>
        </w:tc>
        <w:tc>
          <w:tcPr>
            <w:tcW w:w="180" w:type="dxa"/>
            <w:tcBorders>
              <w:top w:val="nil"/>
              <w:left w:val="nil"/>
              <w:bottom w:val="nil"/>
              <w:right w:val="nil"/>
              <w:tl2br w:val="nil"/>
              <w:tr2bl w:val="nil"/>
            </w:tcBorders>
            <w:noWrap/>
            <w:tcMar>
              <w:left w:w="0" w:type="dxa"/>
              <w:right w:w="0" w:type="dxa"/>
            </w:tcMar>
            <w:vAlign w:val="bottom"/>
          </w:tcPr>
          <w:p w14:paraId="71F3F959" w14:textId="77777777" w:rsidR="00510CAA" w:rsidRDefault="00510CAA">
            <w:pPr>
              <w:keepNext/>
              <w:jc w:val="right"/>
              <w:rPr>
                <w:rFonts w:ascii="Arial" w:eastAsia="Arial" w:hAnsi="Arial" w:cs="Arial"/>
                <w:color w:val="000000"/>
                <w:sz w:val="20"/>
              </w:rPr>
            </w:pP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95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115,956,249</w:t>
            </w:r>
          </w:p>
        </w:tc>
        <w:tc>
          <w:tcPr>
            <w:tcW w:w="210" w:type="dxa"/>
            <w:tcBorders>
              <w:top w:val="nil"/>
              <w:left w:val="nil"/>
              <w:bottom w:val="nil"/>
              <w:right w:val="nil"/>
              <w:tl2br w:val="nil"/>
              <w:tr2bl w:val="nil"/>
            </w:tcBorders>
            <w:noWrap/>
            <w:tcMar>
              <w:left w:w="0" w:type="dxa"/>
              <w:right w:w="0" w:type="dxa"/>
            </w:tcMar>
            <w:vAlign w:val="bottom"/>
          </w:tcPr>
          <w:p w14:paraId="71F3F95B" w14:textId="77777777" w:rsidR="00510CAA" w:rsidRDefault="00510CAA">
            <w:pPr>
              <w:keepNext/>
              <w:jc w:val="right"/>
              <w:rPr>
                <w:rFonts w:ascii="Arial" w:eastAsia="Arial" w:hAnsi="Arial" w:cs="Arial"/>
                <w:color w:val="000000"/>
                <w:sz w:val="20"/>
              </w:rPr>
            </w:pPr>
          </w:p>
        </w:tc>
        <w:tc>
          <w:tcPr>
            <w:tcW w:w="1440" w:type="dxa"/>
            <w:tcBorders>
              <w:top w:val="nil"/>
              <w:left w:val="nil"/>
              <w:bottom w:val="double" w:sz="6" w:space="0" w:color="000000"/>
              <w:right w:val="nil"/>
              <w:tl2br w:val="nil"/>
              <w:tr2bl w:val="nil"/>
            </w:tcBorders>
            <w:noWrap/>
            <w:tcMar>
              <w:left w:w="0" w:type="dxa"/>
              <w:right w:w="60" w:type="dxa"/>
            </w:tcMar>
            <w:vAlign w:val="bottom"/>
          </w:tcPr>
          <w:p w14:paraId="71F3F95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100,166,629</w:t>
            </w:r>
          </w:p>
        </w:tc>
      </w:tr>
      <w:tr w:rsidR="00510CAA" w14:paraId="71F3F96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115" w:type="dxa"/>
            <w:tcBorders>
              <w:top w:val="nil"/>
              <w:left w:val="nil"/>
              <w:bottom w:val="nil"/>
              <w:right w:val="nil"/>
              <w:tl2br w:val="nil"/>
              <w:tr2bl w:val="nil"/>
            </w:tcBorders>
            <w:noWrap/>
            <w:tcMar>
              <w:left w:w="0" w:type="dxa"/>
              <w:right w:w="0" w:type="dxa"/>
            </w:tcMar>
            <w:vAlign w:val="bottom"/>
          </w:tcPr>
          <w:p w14:paraId="71F3F95E" w14:textId="77777777" w:rsidR="00510CAA" w:rsidRDefault="003A4815">
            <w:pPr>
              <w:keepNext/>
              <w:rPr>
                <w:rFonts w:ascii="Arial" w:eastAsia="Arial" w:hAnsi="Arial" w:cs="Arial"/>
                <w:b/>
                <w:color w:val="000000"/>
                <w:sz w:val="20"/>
              </w:rPr>
            </w:pPr>
            <w:r>
              <w:rPr>
                <w:rFonts w:ascii="Arial" w:eastAsia="Arial" w:hAnsi="Arial" w:cs="Arial"/>
                <w:b/>
                <w:color w:val="000000"/>
                <w:sz w:val="20"/>
              </w:rPr>
              <w:t xml:space="preserve">Earnings per common share, basic </w:t>
            </w:r>
          </w:p>
        </w:tc>
        <w:tc>
          <w:tcPr>
            <w:tcW w:w="180" w:type="dxa"/>
            <w:tcBorders>
              <w:top w:val="nil"/>
              <w:left w:val="nil"/>
              <w:bottom w:val="nil"/>
              <w:right w:val="nil"/>
              <w:tl2br w:val="nil"/>
              <w:tr2bl w:val="nil"/>
            </w:tcBorders>
            <w:noWrap/>
            <w:tcMar>
              <w:left w:w="0" w:type="dxa"/>
              <w:right w:w="0" w:type="dxa"/>
            </w:tcMar>
            <w:vAlign w:val="bottom"/>
          </w:tcPr>
          <w:p w14:paraId="71F3F95F"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60"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0.11</w:t>
            </w:r>
          </w:p>
        </w:tc>
        <w:tc>
          <w:tcPr>
            <w:tcW w:w="180" w:type="dxa"/>
            <w:tcBorders>
              <w:top w:val="nil"/>
              <w:left w:val="nil"/>
              <w:bottom w:val="nil"/>
              <w:right w:val="nil"/>
              <w:tl2br w:val="nil"/>
              <w:tr2bl w:val="nil"/>
            </w:tcBorders>
            <w:noWrap/>
            <w:tcMar>
              <w:left w:w="0" w:type="dxa"/>
              <w:right w:w="60" w:type="dxa"/>
            </w:tcMar>
            <w:vAlign w:val="bottom"/>
          </w:tcPr>
          <w:p w14:paraId="71F3F961"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62"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0.06</w:t>
            </w:r>
          </w:p>
        </w:tc>
        <w:tc>
          <w:tcPr>
            <w:tcW w:w="210" w:type="dxa"/>
            <w:tcBorders>
              <w:top w:val="nil"/>
              <w:left w:val="nil"/>
              <w:bottom w:val="nil"/>
              <w:right w:val="nil"/>
              <w:tl2br w:val="nil"/>
              <w:tr2bl w:val="nil"/>
            </w:tcBorders>
            <w:noWrap/>
            <w:tcMar>
              <w:left w:w="0" w:type="dxa"/>
              <w:right w:w="60" w:type="dxa"/>
            </w:tcMar>
            <w:vAlign w:val="bottom"/>
          </w:tcPr>
          <w:p w14:paraId="71F3F963"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64"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0.44</w:t>
            </w:r>
          </w:p>
        </w:tc>
      </w:tr>
      <w:tr w:rsidR="00510CAA" w14:paraId="71F3F96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115" w:type="dxa"/>
            <w:tcBorders>
              <w:top w:val="nil"/>
              <w:left w:val="nil"/>
              <w:bottom w:val="nil"/>
              <w:right w:val="nil"/>
              <w:tl2br w:val="nil"/>
              <w:tr2bl w:val="nil"/>
            </w:tcBorders>
            <w:tcMar>
              <w:left w:w="0" w:type="dxa"/>
              <w:right w:w="0" w:type="dxa"/>
            </w:tcMar>
            <w:vAlign w:val="bottom"/>
          </w:tcPr>
          <w:p w14:paraId="71F3F966"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67"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68"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69"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6A" w14:textId="77777777" w:rsidR="00510CAA" w:rsidRDefault="00510CAA">
            <w:pPr>
              <w:keepNext/>
              <w:jc w:val="right"/>
              <w:rPr>
                <w:rFonts w:ascii="Arial" w:eastAsia="Arial" w:hAnsi="Arial" w:cs="Arial"/>
                <w:color w:val="000000"/>
                <w:sz w:val="20"/>
              </w:rPr>
            </w:pPr>
          </w:p>
        </w:tc>
        <w:tc>
          <w:tcPr>
            <w:tcW w:w="210" w:type="dxa"/>
            <w:tcBorders>
              <w:top w:val="nil"/>
              <w:left w:val="nil"/>
              <w:bottom w:val="nil"/>
              <w:right w:val="nil"/>
              <w:tl2br w:val="nil"/>
              <w:tr2bl w:val="nil"/>
            </w:tcBorders>
            <w:noWrap/>
            <w:tcMar>
              <w:left w:w="0" w:type="dxa"/>
              <w:right w:w="0" w:type="dxa"/>
            </w:tcMar>
            <w:vAlign w:val="bottom"/>
          </w:tcPr>
          <w:p w14:paraId="71F3F96B"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6C" w14:textId="77777777" w:rsidR="00510CAA" w:rsidRDefault="00510CAA">
            <w:pPr>
              <w:keepNext/>
              <w:jc w:val="right"/>
              <w:rPr>
                <w:rFonts w:ascii="Arial" w:eastAsia="Arial" w:hAnsi="Arial" w:cs="Arial"/>
                <w:color w:val="000000"/>
                <w:sz w:val="20"/>
              </w:rPr>
            </w:pPr>
          </w:p>
        </w:tc>
      </w:tr>
      <w:tr w:rsidR="00510CAA" w14:paraId="71F3F97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6E" w14:textId="77777777" w:rsidR="00510CAA" w:rsidRDefault="003A4815">
            <w:pPr>
              <w:keepNext/>
              <w:rPr>
                <w:rFonts w:ascii="Arial" w:eastAsia="Arial" w:hAnsi="Arial" w:cs="Arial"/>
                <w:b/>
                <w:color w:val="000000"/>
                <w:sz w:val="20"/>
              </w:rPr>
            </w:pPr>
            <w:r>
              <w:rPr>
                <w:rFonts w:ascii="Arial" w:eastAsia="Arial" w:hAnsi="Arial" w:cs="Arial"/>
                <w:b/>
                <w:color w:val="000000"/>
                <w:sz w:val="20"/>
              </w:rPr>
              <w:t>Diluted Earnings / (Loss) per Share</w:t>
            </w:r>
          </w:p>
        </w:tc>
        <w:tc>
          <w:tcPr>
            <w:tcW w:w="180" w:type="dxa"/>
            <w:tcBorders>
              <w:top w:val="nil"/>
              <w:left w:val="nil"/>
              <w:bottom w:val="nil"/>
              <w:right w:val="nil"/>
              <w:tl2br w:val="nil"/>
              <w:tr2bl w:val="nil"/>
            </w:tcBorders>
            <w:noWrap/>
            <w:tcMar>
              <w:left w:w="0" w:type="dxa"/>
              <w:right w:w="0" w:type="dxa"/>
            </w:tcMar>
            <w:vAlign w:val="bottom"/>
          </w:tcPr>
          <w:p w14:paraId="71F3F96F"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70"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71"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72" w14:textId="77777777" w:rsidR="00510CAA" w:rsidRDefault="00510CAA">
            <w:pPr>
              <w:keepNext/>
              <w:jc w:val="right"/>
              <w:rPr>
                <w:rFonts w:ascii="Arial" w:eastAsia="Arial" w:hAnsi="Arial" w:cs="Arial"/>
                <w:color w:val="000000"/>
                <w:sz w:val="20"/>
              </w:rPr>
            </w:pPr>
          </w:p>
        </w:tc>
        <w:tc>
          <w:tcPr>
            <w:tcW w:w="210" w:type="dxa"/>
            <w:tcBorders>
              <w:top w:val="nil"/>
              <w:left w:val="nil"/>
              <w:bottom w:val="nil"/>
              <w:right w:val="nil"/>
              <w:tl2br w:val="nil"/>
              <w:tr2bl w:val="nil"/>
            </w:tcBorders>
            <w:noWrap/>
            <w:tcMar>
              <w:left w:w="0" w:type="dxa"/>
              <w:right w:w="0" w:type="dxa"/>
            </w:tcMar>
            <w:vAlign w:val="bottom"/>
          </w:tcPr>
          <w:p w14:paraId="71F3F973"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74" w14:textId="77777777" w:rsidR="00510CAA" w:rsidRDefault="00510CAA">
            <w:pPr>
              <w:keepNext/>
              <w:jc w:val="right"/>
              <w:rPr>
                <w:rFonts w:ascii="Arial" w:eastAsia="Arial" w:hAnsi="Arial" w:cs="Arial"/>
                <w:color w:val="000000"/>
                <w:sz w:val="20"/>
              </w:rPr>
            </w:pPr>
          </w:p>
        </w:tc>
      </w:tr>
      <w:tr w:rsidR="00510CAA" w14:paraId="71F3F97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76"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77"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78"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noWrap/>
            <w:tcMar>
              <w:left w:w="0" w:type="dxa"/>
              <w:right w:w="0" w:type="dxa"/>
            </w:tcMar>
            <w:vAlign w:val="bottom"/>
          </w:tcPr>
          <w:p w14:paraId="71F3F979"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7A"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210" w:type="dxa"/>
            <w:tcBorders>
              <w:top w:val="nil"/>
              <w:left w:val="nil"/>
              <w:bottom w:val="nil"/>
              <w:right w:val="nil"/>
              <w:tl2br w:val="nil"/>
              <w:tr2bl w:val="nil"/>
            </w:tcBorders>
            <w:noWrap/>
            <w:tcMar>
              <w:left w:w="0" w:type="dxa"/>
              <w:right w:w="0" w:type="dxa"/>
            </w:tcMar>
            <w:vAlign w:val="bottom"/>
          </w:tcPr>
          <w:p w14:paraId="71F3F97B"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7C"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F98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7E" w14:textId="77777777" w:rsidR="00510CAA" w:rsidRDefault="003A4815">
            <w:pPr>
              <w:keepNext/>
              <w:rPr>
                <w:rFonts w:ascii="Arial" w:eastAsia="Arial" w:hAnsi="Arial" w:cs="Arial"/>
                <w:color w:val="000000"/>
                <w:sz w:val="20"/>
              </w:rPr>
            </w:pPr>
            <w:r>
              <w:rPr>
                <w:rFonts w:ascii="Arial" w:eastAsia="Arial" w:hAnsi="Arial" w:cs="Arial"/>
                <w:color w:val="000000"/>
                <w:sz w:val="20"/>
              </w:rPr>
              <w:t>Net income</w:t>
            </w:r>
          </w:p>
        </w:tc>
        <w:tc>
          <w:tcPr>
            <w:tcW w:w="180" w:type="dxa"/>
            <w:tcBorders>
              <w:top w:val="nil"/>
              <w:left w:val="nil"/>
              <w:bottom w:val="nil"/>
              <w:right w:val="nil"/>
              <w:tl2br w:val="nil"/>
              <w:tr2bl w:val="nil"/>
            </w:tcBorders>
            <w:noWrap/>
            <w:tcMar>
              <w:left w:w="0" w:type="dxa"/>
              <w:right w:w="0" w:type="dxa"/>
            </w:tcMar>
            <w:vAlign w:val="bottom"/>
          </w:tcPr>
          <w:p w14:paraId="71F3F97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noWrap/>
            <w:tcMar>
              <w:left w:w="0" w:type="dxa"/>
              <w:right w:w="60" w:type="dxa"/>
            </w:tcMar>
            <w:vAlign w:val="bottom"/>
          </w:tcPr>
          <w:p w14:paraId="71F3F98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17,827</w:t>
            </w:r>
          </w:p>
        </w:tc>
        <w:tc>
          <w:tcPr>
            <w:tcW w:w="180" w:type="dxa"/>
            <w:tcBorders>
              <w:top w:val="nil"/>
              <w:left w:val="nil"/>
              <w:bottom w:val="nil"/>
              <w:right w:val="nil"/>
              <w:tl2br w:val="nil"/>
              <w:tr2bl w:val="nil"/>
            </w:tcBorders>
            <w:noWrap/>
            <w:tcMar>
              <w:left w:w="0" w:type="dxa"/>
              <w:right w:w="60" w:type="dxa"/>
            </w:tcMar>
            <w:vAlign w:val="bottom"/>
          </w:tcPr>
          <w:p w14:paraId="71F3F98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noWrap/>
            <w:tcMar>
              <w:left w:w="0" w:type="dxa"/>
              <w:right w:w="60" w:type="dxa"/>
            </w:tcMar>
            <w:vAlign w:val="bottom"/>
          </w:tcPr>
          <w:p w14:paraId="71F3F98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12,746</w:t>
            </w:r>
          </w:p>
        </w:tc>
        <w:tc>
          <w:tcPr>
            <w:tcW w:w="210" w:type="dxa"/>
            <w:tcBorders>
              <w:top w:val="nil"/>
              <w:left w:val="nil"/>
              <w:bottom w:val="nil"/>
              <w:right w:val="nil"/>
              <w:tl2br w:val="nil"/>
              <w:tr2bl w:val="nil"/>
            </w:tcBorders>
            <w:noWrap/>
            <w:tcMar>
              <w:left w:w="0" w:type="dxa"/>
              <w:right w:w="60" w:type="dxa"/>
            </w:tcMar>
            <w:vAlign w:val="bottom"/>
          </w:tcPr>
          <w:p w14:paraId="71F3F98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nil"/>
              <w:right w:val="nil"/>
              <w:tl2br w:val="nil"/>
              <w:tr2bl w:val="nil"/>
            </w:tcBorders>
            <w:noWrap/>
            <w:tcMar>
              <w:left w:w="0" w:type="dxa"/>
              <w:right w:w="60" w:type="dxa"/>
            </w:tcMar>
            <w:vAlign w:val="bottom"/>
          </w:tcPr>
          <w:p w14:paraId="71F3F98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49,844</w:t>
            </w:r>
          </w:p>
        </w:tc>
      </w:tr>
      <w:tr w:rsidR="00510CAA" w14:paraId="71F3F98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86" w14:textId="77777777" w:rsidR="00510CAA" w:rsidRDefault="003A4815">
            <w:pPr>
              <w:keepNext/>
              <w:rPr>
                <w:rFonts w:ascii="Arial" w:eastAsia="Arial" w:hAnsi="Arial" w:cs="Arial"/>
                <w:color w:val="000000"/>
                <w:sz w:val="20"/>
              </w:rPr>
            </w:pPr>
            <w:r>
              <w:rPr>
                <w:rFonts w:ascii="Arial" w:eastAsia="Arial" w:hAnsi="Arial" w:cs="Arial"/>
                <w:color w:val="000000"/>
                <w:sz w:val="20"/>
              </w:rPr>
              <w:t>Dividends on series B preferred shares</w:t>
            </w:r>
          </w:p>
        </w:tc>
        <w:tc>
          <w:tcPr>
            <w:tcW w:w="180" w:type="dxa"/>
            <w:tcBorders>
              <w:top w:val="nil"/>
              <w:left w:val="nil"/>
              <w:bottom w:val="nil"/>
              <w:right w:val="nil"/>
              <w:tl2br w:val="nil"/>
              <w:tr2bl w:val="nil"/>
            </w:tcBorders>
            <w:noWrap/>
            <w:tcMar>
              <w:left w:w="0" w:type="dxa"/>
              <w:right w:w="0" w:type="dxa"/>
            </w:tcMar>
            <w:vAlign w:val="bottom"/>
          </w:tcPr>
          <w:p w14:paraId="71F3F987"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8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c>
          <w:tcPr>
            <w:tcW w:w="180" w:type="dxa"/>
            <w:tcBorders>
              <w:top w:val="nil"/>
              <w:left w:val="nil"/>
              <w:bottom w:val="nil"/>
              <w:right w:val="nil"/>
              <w:tl2br w:val="nil"/>
              <w:tr2bl w:val="nil"/>
            </w:tcBorders>
            <w:noWrap/>
            <w:tcMar>
              <w:left w:w="0" w:type="dxa"/>
              <w:right w:w="0" w:type="dxa"/>
            </w:tcMar>
            <w:vAlign w:val="bottom"/>
          </w:tcPr>
          <w:p w14:paraId="71F3F989"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8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c>
          <w:tcPr>
            <w:tcW w:w="210" w:type="dxa"/>
            <w:tcBorders>
              <w:top w:val="nil"/>
              <w:left w:val="nil"/>
              <w:bottom w:val="nil"/>
              <w:right w:val="nil"/>
              <w:tl2br w:val="nil"/>
              <w:tr2bl w:val="nil"/>
            </w:tcBorders>
            <w:noWrap/>
            <w:tcMar>
              <w:left w:w="0" w:type="dxa"/>
              <w:right w:w="0" w:type="dxa"/>
            </w:tcMar>
            <w:vAlign w:val="bottom"/>
          </w:tcPr>
          <w:p w14:paraId="71F3F98B"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8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(5,769)</w:t>
            </w:r>
          </w:p>
        </w:tc>
      </w:tr>
      <w:tr w:rsidR="00510CAA" w14:paraId="71F3F99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tcMar>
              <w:left w:w="0" w:type="dxa"/>
              <w:right w:w="0" w:type="dxa"/>
            </w:tcMar>
            <w:vAlign w:val="bottom"/>
          </w:tcPr>
          <w:p w14:paraId="71F3F98E" w14:textId="77777777" w:rsidR="00510CAA" w:rsidRDefault="003A4815">
            <w:pPr>
              <w:keepNext/>
              <w:rPr>
                <w:rFonts w:ascii="Arial" w:eastAsia="Arial" w:hAnsi="Arial" w:cs="Arial"/>
                <w:color w:val="000000"/>
                <w:sz w:val="20"/>
              </w:rPr>
            </w:pPr>
            <w:r>
              <w:rPr>
                <w:rFonts w:ascii="Arial" w:eastAsia="Arial" w:hAnsi="Arial" w:cs="Arial"/>
                <w:color w:val="000000"/>
                <w:sz w:val="20"/>
              </w:rPr>
              <w:t>Adjustments for fair value gain on warrants</w:t>
            </w:r>
          </w:p>
        </w:tc>
        <w:tc>
          <w:tcPr>
            <w:tcW w:w="180" w:type="dxa"/>
            <w:tcBorders>
              <w:top w:val="nil"/>
              <w:left w:val="nil"/>
              <w:bottom w:val="nil"/>
              <w:right w:val="nil"/>
              <w:tl2br w:val="nil"/>
              <w:tr2bl w:val="nil"/>
            </w:tcBorders>
            <w:noWrap/>
            <w:tcMar>
              <w:left w:w="0" w:type="dxa"/>
              <w:right w:w="0" w:type="dxa"/>
            </w:tcMar>
            <w:vAlign w:val="bottom"/>
          </w:tcPr>
          <w:p w14:paraId="71F3F98F"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99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noWrap/>
            <w:tcMar>
              <w:left w:w="0" w:type="dxa"/>
              <w:right w:w="0" w:type="dxa"/>
            </w:tcMar>
            <w:vAlign w:val="bottom"/>
          </w:tcPr>
          <w:p w14:paraId="71F3F991"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9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(719)</w:t>
            </w:r>
          </w:p>
        </w:tc>
        <w:tc>
          <w:tcPr>
            <w:tcW w:w="210" w:type="dxa"/>
            <w:tcBorders>
              <w:top w:val="nil"/>
              <w:left w:val="nil"/>
              <w:bottom w:val="nil"/>
              <w:right w:val="nil"/>
              <w:tl2br w:val="nil"/>
              <w:tr2bl w:val="nil"/>
            </w:tcBorders>
            <w:noWrap/>
            <w:tcMar>
              <w:left w:w="0" w:type="dxa"/>
              <w:right w:w="0" w:type="dxa"/>
            </w:tcMar>
            <w:vAlign w:val="bottom"/>
          </w:tcPr>
          <w:p w14:paraId="71F3F993"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0" w:type="dxa"/>
            </w:tcMar>
            <w:vAlign w:val="bottom"/>
          </w:tcPr>
          <w:p w14:paraId="71F3F99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(1,583)</w:t>
            </w:r>
          </w:p>
        </w:tc>
      </w:tr>
      <w:tr w:rsidR="00510CAA" w14:paraId="71F3F99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465"/>
        </w:trPr>
        <w:tc>
          <w:tcPr>
            <w:tcW w:w="5115" w:type="dxa"/>
            <w:tcBorders>
              <w:top w:val="nil"/>
              <w:left w:val="nil"/>
              <w:bottom w:val="nil"/>
              <w:right w:val="nil"/>
              <w:tl2br w:val="nil"/>
              <w:tr2bl w:val="nil"/>
            </w:tcBorders>
            <w:tcMar>
              <w:left w:w="0" w:type="dxa"/>
              <w:right w:w="0" w:type="dxa"/>
            </w:tcMar>
            <w:vAlign w:val="bottom"/>
          </w:tcPr>
          <w:p w14:paraId="71F3F996" w14:textId="77777777" w:rsidR="00510CAA" w:rsidRDefault="003A4815">
            <w:pPr>
              <w:keepNext/>
              <w:rPr>
                <w:rFonts w:ascii="Arial" w:eastAsia="Arial" w:hAnsi="Arial" w:cs="Arial"/>
                <w:b/>
                <w:color w:val="000000"/>
                <w:sz w:val="20"/>
              </w:rPr>
            </w:pPr>
            <w:r>
              <w:rPr>
                <w:rFonts w:ascii="Arial" w:eastAsia="Arial" w:hAnsi="Arial" w:cs="Arial"/>
                <w:b/>
                <w:color w:val="000000"/>
                <w:sz w:val="20"/>
              </w:rPr>
              <w:t>Adjusted net income attributable to common stockholders</w:t>
            </w:r>
          </w:p>
        </w:tc>
        <w:tc>
          <w:tcPr>
            <w:tcW w:w="180" w:type="dxa"/>
            <w:tcBorders>
              <w:top w:val="nil"/>
              <w:left w:val="nil"/>
              <w:bottom w:val="nil"/>
              <w:right w:val="nil"/>
              <w:tl2br w:val="nil"/>
              <w:tr2bl w:val="nil"/>
            </w:tcBorders>
            <w:noWrap/>
            <w:tcMar>
              <w:left w:w="0" w:type="dxa"/>
              <w:right w:w="0" w:type="dxa"/>
            </w:tcMar>
            <w:vAlign w:val="bottom"/>
          </w:tcPr>
          <w:p w14:paraId="71F3F99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98"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12,058</w:t>
            </w:r>
          </w:p>
        </w:tc>
        <w:tc>
          <w:tcPr>
            <w:tcW w:w="180" w:type="dxa"/>
            <w:tcBorders>
              <w:top w:val="nil"/>
              <w:left w:val="nil"/>
              <w:bottom w:val="nil"/>
              <w:right w:val="nil"/>
              <w:tl2br w:val="nil"/>
              <w:tr2bl w:val="nil"/>
            </w:tcBorders>
            <w:noWrap/>
            <w:tcMar>
              <w:left w:w="0" w:type="dxa"/>
              <w:right w:w="60" w:type="dxa"/>
            </w:tcMar>
            <w:vAlign w:val="bottom"/>
          </w:tcPr>
          <w:p w14:paraId="71F3F999"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9A"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6,258</w:t>
            </w:r>
          </w:p>
        </w:tc>
        <w:tc>
          <w:tcPr>
            <w:tcW w:w="210" w:type="dxa"/>
            <w:tcBorders>
              <w:top w:val="nil"/>
              <w:left w:val="nil"/>
              <w:bottom w:val="nil"/>
              <w:right w:val="nil"/>
              <w:tl2br w:val="nil"/>
              <w:tr2bl w:val="nil"/>
            </w:tcBorders>
            <w:noWrap/>
            <w:tcMar>
              <w:left w:w="0" w:type="dxa"/>
              <w:right w:w="60" w:type="dxa"/>
            </w:tcMar>
            <w:vAlign w:val="bottom"/>
          </w:tcPr>
          <w:p w14:paraId="71F3F99B"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9C"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42,492</w:t>
            </w:r>
          </w:p>
        </w:tc>
      </w:tr>
      <w:tr w:rsidR="00510CAA" w14:paraId="71F3F9A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50"/>
        </w:trPr>
        <w:tc>
          <w:tcPr>
            <w:tcW w:w="5115" w:type="dxa"/>
            <w:tcBorders>
              <w:top w:val="nil"/>
              <w:left w:val="nil"/>
              <w:bottom w:val="nil"/>
              <w:right w:val="nil"/>
              <w:tl2br w:val="nil"/>
              <w:tr2bl w:val="nil"/>
            </w:tcBorders>
            <w:tcMar>
              <w:left w:w="0" w:type="dxa"/>
              <w:right w:w="0" w:type="dxa"/>
            </w:tcMar>
            <w:vAlign w:val="bottom"/>
          </w:tcPr>
          <w:p w14:paraId="71F3F99E" w14:textId="77777777" w:rsidR="00510CAA" w:rsidRDefault="00510CAA">
            <w:pPr>
              <w:keepNext/>
              <w:rPr>
                <w:rFonts w:ascii="Arial" w:eastAsia="Arial" w:hAnsi="Arial" w:cs="Arial"/>
                <w:b/>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9F"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A0"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A1"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A2" w14:textId="77777777" w:rsidR="00510CAA" w:rsidRDefault="00510CAA">
            <w:pPr>
              <w:keepNext/>
              <w:jc w:val="right"/>
              <w:rPr>
                <w:rFonts w:ascii="Arial" w:eastAsia="Arial" w:hAnsi="Arial" w:cs="Arial"/>
                <w:color w:val="000000"/>
                <w:sz w:val="20"/>
              </w:rPr>
            </w:pPr>
          </w:p>
        </w:tc>
        <w:tc>
          <w:tcPr>
            <w:tcW w:w="210" w:type="dxa"/>
            <w:tcBorders>
              <w:top w:val="nil"/>
              <w:left w:val="nil"/>
              <w:bottom w:val="nil"/>
              <w:right w:val="nil"/>
              <w:tl2br w:val="nil"/>
              <w:tr2bl w:val="nil"/>
            </w:tcBorders>
            <w:noWrap/>
            <w:tcMar>
              <w:left w:w="0" w:type="dxa"/>
              <w:right w:w="0" w:type="dxa"/>
            </w:tcMar>
            <w:vAlign w:val="bottom"/>
          </w:tcPr>
          <w:p w14:paraId="71F3F9A3" w14:textId="77777777" w:rsidR="00510CAA" w:rsidRDefault="00510CAA">
            <w:pPr>
              <w:keepNext/>
              <w:jc w:val="right"/>
              <w:rPr>
                <w:rFonts w:ascii="Arial" w:eastAsia="Arial" w:hAnsi="Arial" w:cs="Arial"/>
                <w:color w:val="000000"/>
                <w:sz w:val="20"/>
              </w:rPr>
            </w:pPr>
          </w:p>
        </w:tc>
        <w:tc>
          <w:tcPr>
            <w:tcW w:w="1440" w:type="dxa"/>
            <w:tcBorders>
              <w:top w:val="double" w:sz="6" w:space="0" w:color="000000"/>
              <w:left w:val="nil"/>
              <w:bottom w:val="nil"/>
              <w:right w:val="nil"/>
              <w:tl2br w:val="nil"/>
              <w:tr2bl w:val="nil"/>
            </w:tcBorders>
            <w:noWrap/>
            <w:tcMar>
              <w:left w:w="0" w:type="dxa"/>
              <w:right w:w="0" w:type="dxa"/>
            </w:tcMar>
            <w:vAlign w:val="bottom"/>
          </w:tcPr>
          <w:p w14:paraId="71F3F9A4" w14:textId="77777777" w:rsidR="00510CAA" w:rsidRDefault="00510CAA">
            <w:pPr>
              <w:keepNext/>
              <w:jc w:val="right"/>
              <w:rPr>
                <w:rFonts w:ascii="Arial" w:eastAsia="Arial" w:hAnsi="Arial" w:cs="Arial"/>
                <w:color w:val="000000"/>
                <w:sz w:val="20"/>
              </w:rPr>
            </w:pPr>
          </w:p>
        </w:tc>
      </w:tr>
      <w:tr w:rsidR="00510CAA" w14:paraId="71F3F9A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tcMar>
              <w:left w:w="0" w:type="dxa"/>
              <w:right w:w="0" w:type="dxa"/>
            </w:tcMar>
            <w:vAlign w:val="bottom"/>
          </w:tcPr>
          <w:p w14:paraId="71F3F9A6" w14:textId="77777777" w:rsidR="00510CAA" w:rsidRDefault="003A4815">
            <w:pPr>
              <w:keepNext/>
              <w:rPr>
                <w:rFonts w:ascii="Arial" w:eastAsia="Arial" w:hAnsi="Arial" w:cs="Arial"/>
                <w:color w:val="000000"/>
                <w:sz w:val="20"/>
              </w:rPr>
            </w:pPr>
            <w:r>
              <w:rPr>
                <w:rFonts w:ascii="Arial" w:eastAsia="Arial" w:hAnsi="Arial" w:cs="Arial"/>
                <w:color w:val="000000"/>
                <w:sz w:val="20"/>
              </w:rPr>
              <w:t>Weighted average number of common shares, basic</w:t>
            </w:r>
          </w:p>
        </w:tc>
        <w:tc>
          <w:tcPr>
            <w:tcW w:w="180" w:type="dxa"/>
            <w:tcBorders>
              <w:top w:val="nil"/>
              <w:left w:val="nil"/>
              <w:bottom w:val="nil"/>
              <w:right w:val="nil"/>
              <w:tl2br w:val="nil"/>
              <w:tr2bl w:val="nil"/>
            </w:tcBorders>
            <w:noWrap/>
            <w:tcMar>
              <w:left w:w="0" w:type="dxa"/>
              <w:right w:w="0" w:type="dxa"/>
            </w:tcMar>
            <w:vAlign w:val="bottom"/>
          </w:tcPr>
          <w:p w14:paraId="71F3F9A7"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F9A8"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110,459,096</w:t>
            </w:r>
          </w:p>
        </w:tc>
        <w:tc>
          <w:tcPr>
            <w:tcW w:w="180" w:type="dxa"/>
            <w:tcBorders>
              <w:top w:val="nil"/>
              <w:left w:val="nil"/>
              <w:bottom w:val="nil"/>
              <w:right w:val="nil"/>
              <w:tl2br w:val="nil"/>
              <w:tr2bl w:val="nil"/>
            </w:tcBorders>
            <w:noWrap/>
            <w:tcMar>
              <w:left w:w="0" w:type="dxa"/>
              <w:right w:w="0" w:type="dxa"/>
            </w:tcMar>
            <w:vAlign w:val="bottom"/>
          </w:tcPr>
          <w:p w14:paraId="71F3F9A9"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F9AA"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115,956,249</w:t>
            </w:r>
          </w:p>
        </w:tc>
        <w:tc>
          <w:tcPr>
            <w:tcW w:w="210" w:type="dxa"/>
            <w:tcBorders>
              <w:top w:val="nil"/>
              <w:left w:val="nil"/>
              <w:bottom w:val="nil"/>
              <w:right w:val="nil"/>
              <w:tl2br w:val="nil"/>
              <w:tr2bl w:val="nil"/>
            </w:tcBorders>
            <w:noWrap/>
            <w:tcMar>
              <w:left w:w="0" w:type="dxa"/>
              <w:right w:w="0" w:type="dxa"/>
            </w:tcMar>
            <w:vAlign w:val="bottom"/>
          </w:tcPr>
          <w:p w14:paraId="71F3F9AB"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60" w:type="dxa"/>
            </w:tcMar>
            <w:vAlign w:val="bottom"/>
          </w:tcPr>
          <w:p w14:paraId="71F3F9AC"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100,166,629</w:t>
            </w:r>
          </w:p>
        </w:tc>
      </w:tr>
      <w:tr w:rsidR="00510CAA" w14:paraId="71F3F9B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noWrap/>
            <w:tcMar>
              <w:left w:w="0" w:type="dxa"/>
              <w:right w:w="0" w:type="dxa"/>
            </w:tcMar>
            <w:vAlign w:val="bottom"/>
          </w:tcPr>
          <w:p w14:paraId="71F3F9AE" w14:textId="77777777" w:rsidR="00510CAA" w:rsidRDefault="003A4815">
            <w:pPr>
              <w:keepNext/>
              <w:rPr>
                <w:rFonts w:ascii="Arial" w:eastAsia="Arial" w:hAnsi="Arial" w:cs="Arial"/>
                <w:color w:val="000000"/>
                <w:sz w:val="20"/>
              </w:rPr>
            </w:pPr>
            <w:r>
              <w:rPr>
                <w:rFonts w:ascii="Arial" w:eastAsia="Arial" w:hAnsi="Arial" w:cs="Arial"/>
                <w:color w:val="000000"/>
                <w:sz w:val="20"/>
              </w:rPr>
              <w:t>Incremental shares from dilutive instruments</w:t>
            </w:r>
          </w:p>
        </w:tc>
        <w:tc>
          <w:tcPr>
            <w:tcW w:w="180" w:type="dxa"/>
            <w:tcBorders>
              <w:top w:val="nil"/>
              <w:left w:val="nil"/>
              <w:bottom w:val="nil"/>
              <w:right w:val="nil"/>
              <w:tl2br w:val="nil"/>
              <w:tr2bl w:val="nil"/>
            </w:tcBorders>
            <w:noWrap/>
            <w:tcMar>
              <w:left w:w="0" w:type="dxa"/>
              <w:right w:w="0" w:type="dxa"/>
            </w:tcMar>
            <w:vAlign w:val="bottom"/>
          </w:tcPr>
          <w:p w14:paraId="71F3F9AF"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9B0"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38,544</w:t>
            </w:r>
          </w:p>
        </w:tc>
        <w:tc>
          <w:tcPr>
            <w:tcW w:w="180" w:type="dxa"/>
            <w:tcBorders>
              <w:top w:val="nil"/>
              <w:left w:val="nil"/>
              <w:bottom w:val="nil"/>
              <w:right w:val="nil"/>
              <w:tl2br w:val="nil"/>
              <w:tr2bl w:val="nil"/>
            </w:tcBorders>
            <w:noWrap/>
            <w:tcMar>
              <w:left w:w="0" w:type="dxa"/>
              <w:right w:w="0" w:type="dxa"/>
            </w:tcMar>
            <w:vAlign w:val="bottom"/>
          </w:tcPr>
          <w:p w14:paraId="71F3F9B1"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9B2"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2,698,994</w:t>
            </w:r>
          </w:p>
        </w:tc>
        <w:tc>
          <w:tcPr>
            <w:tcW w:w="210" w:type="dxa"/>
            <w:tcBorders>
              <w:top w:val="nil"/>
              <w:left w:val="nil"/>
              <w:bottom w:val="nil"/>
              <w:right w:val="nil"/>
              <w:tl2br w:val="nil"/>
              <w:tr2bl w:val="nil"/>
            </w:tcBorders>
            <w:noWrap/>
            <w:tcMar>
              <w:left w:w="0" w:type="dxa"/>
              <w:right w:w="0" w:type="dxa"/>
            </w:tcMar>
            <w:vAlign w:val="bottom"/>
          </w:tcPr>
          <w:p w14:paraId="71F3F9B3" w14:textId="77777777" w:rsidR="00510CAA" w:rsidRDefault="00510CAA">
            <w:pPr>
              <w:keepNext/>
              <w:jc w:val="righ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0" w:type="dxa"/>
              <w:right w:w="60" w:type="dxa"/>
            </w:tcMar>
            <w:vAlign w:val="bottom"/>
          </w:tcPr>
          <w:p w14:paraId="71F3F9B4"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1,710,513</w:t>
            </w:r>
          </w:p>
        </w:tc>
      </w:tr>
      <w:tr w:rsidR="00510CAA" w14:paraId="71F3F9B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70"/>
        </w:trPr>
        <w:tc>
          <w:tcPr>
            <w:tcW w:w="5115" w:type="dxa"/>
            <w:tcBorders>
              <w:top w:val="nil"/>
              <w:left w:val="nil"/>
              <w:bottom w:val="nil"/>
              <w:right w:val="nil"/>
              <w:tl2br w:val="nil"/>
              <w:tr2bl w:val="nil"/>
            </w:tcBorders>
            <w:tcMar>
              <w:left w:w="0" w:type="dxa"/>
              <w:right w:w="0" w:type="dxa"/>
            </w:tcMar>
            <w:vAlign w:val="bottom"/>
          </w:tcPr>
          <w:p w14:paraId="71F3F9B6" w14:textId="77777777" w:rsidR="00510CAA" w:rsidRDefault="003A4815">
            <w:pPr>
              <w:keepNext/>
              <w:rPr>
                <w:rFonts w:ascii="Arial" w:eastAsia="Arial" w:hAnsi="Arial" w:cs="Arial"/>
                <w:b/>
                <w:color w:val="000000"/>
                <w:sz w:val="20"/>
              </w:rPr>
            </w:pPr>
            <w:r>
              <w:rPr>
                <w:rFonts w:ascii="Arial" w:eastAsia="Arial" w:hAnsi="Arial" w:cs="Arial"/>
                <w:b/>
                <w:color w:val="000000"/>
                <w:sz w:val="20"/>
              </w:rPr>
              <w:t xml:space="preserve">Weighted average number of common shares, diluted </w:t>
            </w:r>
          </w:p>
        </w:tc>
        <w:tc>
          <w:tcPr>
            <w:tcW w:w="180" w:type="dxa"/>
            <w:tcBorders>
              <w:top w:val="nil"/>
              <w:left w:val="nil"/>
              <w:bottom w:val="nil"/>
              <w:right w:val="nil"/>
              <w:tl2br w:val="nil"/>
              <w:tr2bl w:val="nil"/>
            </w:tcBorders>
            <w:noWrap/>
            <w:tcMar>
              <w:left w:w="0" w:type="dxa"/>
              <w:right w:w="0" w:type="dxa"/>
            </w:tcMar>
            <w:vAlign w:val="bottom"/>
          </w:tcPr>
          <w:p w14:paraId="71F3F9B7" w14:textId="77777777" w:rsidR="00510CAA" w:rsidRDefault="00510CAA">
            <w:pPr>
              <w:keepNext/>
              <w:jc w:val="right"/>
              <w:rPr>
                <w:rFonts w:ascii="Arial" w:eastAsia="Arial" w:hAnsi="Arial" w:cs="Arial"/>
                <w:b/>
                <w:color w:val="000000"/>
                <w:sz w:val="20"/>
              </w:rPr>
            </w:pP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B8"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110,497,640</w:t>
            </w:r>
          </w:p>
        </w:tc>
        <w:tc>
          <w:tcPr>
            <w:tcW w:w="180" w:type="dxa"/>
            <w:tcBorders>
              <w:top w:val="nil"/>
              <w:left w:val="nil"/>
              <w:bottom w:val="nil"/>
              <w:right w:val="nil"/>
              <w:tl2br w:val="nil"/>
              <w:tr2bl w:val="nil"/>
            </w:tcBorders>
            <w:noWrap/>
            <w:tcMar>
              <w:left w:w="0" w:type="dxa"/>
              <w:right w:w="0" w:type="dxa"/>
            </w:tcMar>
            <w:vAlign w:val="bottom"/>
          </w:tcPr>
          <w:p w14:paraId="71F3F9B9" w14:textId="77777777" w:rsidR="00510CAA" w:rsidRDefault="00510CAA">
            <w:pPr>
              <w:keepNext/>
              <w:jc w:val="right"/>
              <w:rPr>
                <w:rFonts w:ascii="Arial" w:eastAsia="Arial" w:hAnsi="Arial" w:cs="Arial"/>
                <w:b/>
                <w:color w:val="000000"/>
                <w:sz w:val="20"/>
              </w:rPr>
            </w:pP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BA"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118,655,243</w:t>
            </w:r>
          </w:p>
        </w:tc>
        <w:tc>
          <w:tcPr>
            <w:tcW w:w="210" w:type="dxa"/>
            <w:tcBorders>
              <w:top w:val="nil"/>
              <w:left w:val="nil"/>
              <w:bottom w:val="nil"/>
              <w:right w:val="nil"/>
              <w:tl2br w:val="nil"/>
              <w:tr2bl w:val="nil"/>
            </w:tcBorders>
            <w:noWrap/>
            <w:tcMar>
              <w:left w:w="0" w:type="dxa"/>
              <w:right w:w="0" w:type="dxa"/>
            </w:tcMar>
            <w:vAlign w:val="bottom"/>
          </w:tcPr>
          <w:p w14:paraId="71F3F9BB" w14:textId="77777777" w:rsidR="00510CAA" w:rsidRDefault="00510CAA">
            <w:pPr>
              <w:keepNext/>
              <w:jc w:val="right"/>
              <w:rPr>
                <w:rFonts w:ascii="Arial" w:eastAsia="Arial" w:hAnsi="Arial" w:cs="Arial"/>
                <w:b/>
                <w:color w:val="000000"/>
                <w:sz w:val="20"/>
              </w:rPr>
            </w:pPr>
          </w:p>
        </w:tc>
        <w:tc>
          <w:tcPr>
            <w:tcW w:w="1440" w:type="dxa"/>
            <w:tcBorders>
              <w:top w:val="single" w:sz="4" w:space="0" w:color="000000"/>
              <w:left w:val="nil"/>
              <w:bottom w:val="double" w:sz="6" w:space="0" w:color="000000"/>
              <w:right w:val="nil"/>
              <w:tl2br w:val="nil"/>
              <w:tr2bl w:val="nil"/>
            </w:tcBorders>
            <w:noWrap/>
            <w:tcMar>
              <w:left w:w="0" w:type="dxa"/>
              <w:right w:w="60" w:type="dxa"/>
            </w:tcMar>
            <w:vAlign w:val="bottom"/>
          </w:tcPr>
          <w:p w14:paraId="71F3F9BC"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101,877,142</w:t>
            </w:r>
          </w:p>
        </w:tc>
      </w:tr>
      <w:tr w:rsidR="00510CAA" w14:paraId="71F3F9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85"/>
        </w:trPr>
        <w:tc>
          <w:tcPr>
            <w:tcW w:w="5115" w:type="dxa"/>
            <w:tcBorders>
              <w:top w:val="nil"/>
              <w:left w:val="nil"/>
              <w:bottom w:val="nil"/>
              <w:right w:val="nil"/>
              <w:tl2br w:val="nil"/>
              <w:tr2bl w:val="nil"/>
            </w:tcBorders>
            <w:noWrap/>
            <w:tcMar>
              <w:left w:w="0" w:type="dxa"/>
              <w:right w:w="0" w:type="dxa"/>
            </w:tcMar>
            <w:vAlign w:val="bottom"/>
          </w:tcPr>
          <w:p w14:paraId="71F3F9BE" w14:textId="77777777" w:rsidR="00510CAA" w:rsidRDefault="003A4815">
            <w:pPr>
              <w:keepNext/>
              <w:rPr>
                <w:rFonts w:ascii="Arial" w:eastAsia="Arial" w:hAnsi="Arial" w:cs="Arial"/>
                <w:b/>
                <w:color w:val="000000"/>
                <w:sz w:val="20"/>
              </w:rPr>
            </w:pPr>
            <w:r>
              <w:rPr>
                <w:rFonts w:ascii="Arial" w:eastAsia="Arial" w:hAnsi="Arial" w:cs="Arial"/>
                <w:b/>
                <w:color w:val="000000"/>
                <w:sz w:val="20"/>
              </w:rPr>
              <w:t>Earnings per common share, diluted</w:t>
            </w:r>
          </w:p>
        </w:tc>
        <w:tc>
          <w:tcPr>
            <w:tcW w:w="180" w:type="dxa"/>
            <w:tcBorders>
              <w:top w:val="nil"/>
              <w:left w:val="nil"/>
              <w:bottom w:val="nil"/>
              <w:right w:val="nil"/>
              <w:tl2br w:val="nil"/>
              <w:tr2bl w:val="nil"/>
            </w:tcBorders>
            <w:noWrap/>
            <w:tcMar>
              <w:left w:w="0" w:type="dxa"/>
              <w:right w:w="0" w:type="dxa"/>
            </w:tcMar>
            <w:vAlign w:val="bottom"/>
          </w:tcPr>
          <w:p w14:paraId="71F3F9BF"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C0"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0.11</w:t>
            </w:r>
          </w:p>
        </w:tc>
        <w:tc>
          <w:tcPr>
            <w:tcW w:w="180" w:type="dxa"/>
            <w:tcBorders>
              <w:top w:val="nil"/>
              <w:left w:val="nil"/>
              <w:bottom w:val="nil"/>
              <w:right w:val="nil"/>
              <w:tl2br w:val="nil"/>
              <w:tr2bl w:val="nil"/>
            </w:tcBorders>
            <w:noWrap/>
            <w:tcMar>
              <w:left w:w="0" w:type="dxa"/>
              <w:right w:w="60" w:type="dxa"/>
            </w:tcMar>
            <w:vAlign w:val="bottom"/>
          </w:tcPr>
          <w:p w14:paraId="71F3F9C1"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C2"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0.05</w:t>
            </w:r>
          </w:p>
        </w:tc>
        <w:tc>
          <w:tcPr>
            <w:tcW w:w="210" w:type="dxa"/>
            <w:tcBorders>
              <w:top w:val="nil"/>
              <w:left w:val="nil"/>
              <w:bottom w:val="nil"/>
              <w:right w:val="nil"/>
              <w:tl2br w:val="nil"/>
              <w:tr2bl w:val="nil"/>
            </w:tcBorders>
            <w:noWrap/>
            <w:tcMar>
              <w:left w:w="0" w:type="dxa"/>
              <w:right w:w="60" w:type="dxa"/>
            </w:tcMar>
            <w:vAlign w:val="bottom"/>
          </w:tcPr>
          <w:p w14:paraId="71F3F9C3"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w:t>
            </w:r>
          </w:p>
        </w:tc>
        <w:tc>
          <w:tcPr>
            <w:tcW w:w="1440" w:type="dxa"/>
            <w:tcBorders>
              <w:top w:val="double" w:sz="6" w:space="0" w:color="000000"/>
              <w:left w:val="nil"/>
              <w:bottom w:val="double" w:sz="6" w:space="0" w:color="000000"/>
              <w:right w:val="nil"/>
              <w:tl2br w:val="nil"/>
              <w:tr2bl w:val="nil"/>
            </w:tcBorders>
            <w:noWrap/>
            <w:tcMar>
              <w:left w:w="0" w:type="dxa"/>
              <w:right w:w="60" w:type="dxa"/>
            </w:tcMar>
            <w:vAlign w:val="bottom"/>
          </w:tcPr>
          <w:p w14:paraId="71F3F9C4" w14:textId="77777777" w:rsidR="00510CAA" w:rsidRDefault="003A4815">
            <w:pPr>
              <w:keepNext/>
              <w:jc w:val="right"/>
              <w:rPr>
                <w:rFonts w:ascii="Arial" w:eastAsia="Arial" w:hAnsi="Arial" w:cs="Arial"/>
                <w:b/>
                <w:color w:val="000000"/>
                <w:sz w:val="20"/>
              </w:rPr>
            </w:pPr>
            <w:r>
              <w:rPr>
                <w:rFonts w:ascii="Arial" w:eastAsia="Arial" w:hAnsi="Arial" w:cs="Arial"/>
                <w:b/>
                <w:color w:val="000000"/>
                <w:sz w:val="20"/>
              </w:rPr>
              <w:t>0.42</w:t>
            </w:r>
          </w:p>
        </w:tc>
      </w:tr>
    </w:tbl>
    <w:p w14:paraId="71F3F9C6" w14:textId="77777777" w:rsidR="00510CAA" w:rsidRDefault="00510CAA">
      <w:pPr>
        <w:pBdr>
          <w:top w:val="nil"/>
          <w:left w:val="nil"/>
          <w:bottom w:val="nil"/>
          <w:right w:val="nil"/>
          <w:between w:val="nil"/>
          <w:bar w:val="nil"/>
        </w:pBdr>
        <w:jc w:val="both"/>
        <w:rPr>
          <w:rFonts w:ascii="Arial" w:eastAsia="Arial" w:hAnsi="Arial" w:cs="Arial"/>
          <w:bdr w:val="nil"/>
          <w:lang w:val="en-US"/>
        </w:rPr>
      </w:pPr>
    </w:p>
    <w:p w14:paraId="71F3F9C7" w14:textId="77777777" w:rsidR="00846002" w:rsidRPr="0054561E" w:rsidRDefault="003A4815" w:rsidP="00392049">
      <w:pPr>
        <w:pStyle w:val="Header1notes"/>
        <w:keepLines/>
        <w:pBdr>
          <w:top w:val="nil"/>
          <w:left w:val="nil"/>
          <w:bottom w:val="nil"/>
          <w:right w:val="nil"/>
          <w:between w:val="nil"/>
          <w:bar w:val="nil"/>
        </w:pBdr>
        <w:spacing w:after="60"/>
        <w:ind w:left="567" w:hanging="567"/>
        <w:jc w:val="both"/>
        <w:rPr>
          <w:rFonts w:ascii="Arial" w:eastAsia="Arial" w:hAnsi="Arial" w:cs="Arial"/>
          <w:bdr w:val="nil"/>
        </w:rPr>
      </w:pPr>
      <w:bookmarkStart w:id="869" w:name="RG_MARKER_23109"/>
      <w:bookmarkStart w:id="870" w:name="RG_MARKER_23108"/>
      <w:bookmarkStart w:id="871" w:name="_Ref110137521"/>
      <w:bookmarkStart w:id="872" w:name="_Ref111440982"/>
      <w:bookmarkStart w:id="873" w:name="XBRL_TS_aa969d0480c649c08a744e11993e6af7"/>
      <w:r w:rsidRPr="0054561E">
        <w:rPr>
          <w:rFonts w:ascii="Arial" w:eastAsia="Arial" w:hAnsi="Arial" w:cs="Arial"/>
        </w:rPr>
        <w:t>14.</w:t>
      </w:r>
      <w:bookmarkEnd w:id="869"/>
      <w:bookmarkEnd w:id="870"/>
      <w:r w:rsidRPr="0054561E">
        <w:rPr>
          <w:rFonts w:ascii="Arial" w:eastAsia="Arial" w:hAnsi="Arial" w:cs="Arial"/>
        </w:rPr>
        <w:tab/>
        <w:t>Income Taxes</w:t>
      </w:r>
      <w:bookmarkEnd w:id="871"/>
      <w:bookmarkEnd w:id="872"/>
    </w:p>
    <w:p w14:paraId="71F3F9C8" w14:textId="77777777" w:rsidR="00392049" w:rsidRDefault="00392049" w:rsidP="00392049">
      <w:pPr>
        <w:keepNext/>
        <w:keepLines/>
        <w:pBdr>
          <w:top w:val="nil"/>
          <w:left w:val="nil"/>
          <w:bottom w:val="nil"/>
          <w:right w:val="nil"/>
          <w:between w:val="nil"/>
          <w:bar w:val="nil"/>
        </w:pBdr>
        <w:jc w:val="both"/>
        <w:rPr>
          <w:rFonts w:ascii="Arial" w:eastAsia="Arial" w:hAnsi="Arial" w:cs="Arial"/>
          <w:bdr w:val="nil"/>
          <w:lang w:val="en-US"/>
        </w:rPr>
      </w:pPr>
    </w:p>
    <w:p w14:paraId="71F3F9C9" w14:textId="77777777" w:rsidR="005237BD" w:rsidRPr="00EF2F4C" w:rsidRDefault="003A4815" w:rsidP="005237BD">
      <w:pPr>
        <w:pBdr>
          <w:top w:val="nil"/>
          <w:left w:val="nil"/>
          <w:bottom w:val="nil"/>
          <w:right w:val="nil"/>
          <w:between w:val="nil"/>
          <w:bar w:val="nil"/>
        </w:pBdr>
        <w:jc w:val="both"/>
        <w:rPr>
          <w:rFonts w:ascii="Arial" w:eastAsia="Arial" w:hAnsi="Arial" w:cs="Arial"/>
          <w:bdr w:val="nil"/>
          <w:lang w:val="en-US"/>
        </w:rPr>
      </w:pPr>
      <w:r w:rsidRPr="00EF2F4C">
        <w:rPr>
          <w:rFonts w:ascii="Arial" w:eastAsia="Arial" w:hAnsi="Arial" w:cs="Arial"/>
          <w:lang w:val="en-US" w:bidi="en-US"/>
        </w:rPr>
        <w:t>Under the laws of the countries of the companies’ incorporation and / or vessels’ registration, the companies are not subject to tax on international shipping income; however, they are subject to registration and tonnage taxes, which are included in vessel operating expenses in the accompanying consolidated statement</w:t>
      </w:r>
      <w:r>
        <w:rPr>
          <w:rFonts w:ascii="Arial" w:eastAsia="Arial" w:hAnsi="Arial" w:cs="Arial"/>
          <w:lang w:val="en-US" w:bidi="en-US"/>
        </w:rPr>
        <w:t>s</w:t>
      </w:r>
      <w:r w:rsidRPr="00EF2F4C">
        <w:rPr>
          <w:rFonts w:ascii="Arial" w:eastAsia="Arial" w:hAnsi="Arial" w:cs="Arial"/>
          <w:lang w:val="en-US" w:bidi="en-US"/>
        </w:rPr>
        <w:t xml:space="preserve"> of </w:t>
      </w:r>
      <w:r>
        <w:rPr>
          <w:rFonts w:ascii="Arial" w:eastAsia="Arial" w:hAnsi="Arial" w:cs="Arial"/>
          <w:lang w:val="en-US" w:bidi="en-US"/>
        </w:rPr>
        <w:t>income</w:t>
      </w:r>
      <w:r w:rsidRPr="00EF2F4C">
        <w:rPr>
          <w:rFonts w:ascii="Arial" w:eastAsia="Arial" w:hAnsi="Arial" w:cs="Arial"/>
          <w:lang w:val="en-US" w:bidi="en-US"/>
        </w:rPr>
        <w:t>.</w:t>
      </w:r>
    </w:p>
    <w:p w14:paraId="71F3F9CA" w14:textId="77777777" w:rsidR="005237BD" w:rsidRPr="00EF2F4C" w:rsidRDefault="005237BD" w:rsidP="005237BD">
      <w:pPr>
        <w:pBdr>
          <w:top w:val="nil"/>
          <w:left w:val="nil"/>
          <w:bottom w:val="nil"/>
          <w:right w:val="nil"/>
          <w:between w:val="nil"/>
          <w:bar w:val="nil"/>
        </w:pBdr>
        <w:jc w:val="both"/>
        <w:rPr>
          <w:rFonts w:ascii="Arial" w:eastAsia="Arial" w:hAnsi="Arial" w:cs="Arial"/>
          <w:bdr w:val="nil"/>
          <w:lang w:val="en-US"/>
        </w:rPr>
      </w:pPr>
    </w:p>
    <w:p w14:paraId="71F3F9CB" w14:textId="77777777" w:rsidR="005237BD" w:rsidRPr="00EF2F4C" w:rsidRDefault="003A4815" w:rsidP="005237BD">
      <w:pPr>
        <w:pBdr>
          <w:top w:val="nil"/>
          <w:left w:val="nil"/>
          <w:bottom w:val="nil"/>
          <w:right w:val="nil"/>
          <w:between w:val="nil"/>
          <w:bar w:val="nil"/>
        </w:pBdr>
        <w:jc w:val="both"/>
        <w:rPr>
          <w:rFonts w:ascii="Arial" w:eastAsia="Arial" w:hAnsi="Arial" w:cs="Arial"/>
          <w:bdr w:val="nil"/>
          <w:lang w:val="en-US"/>
        </w:rPr>
      </w:pPr>
      <w:r w:rsidRPr="00EF2F4C">
        <w:rPr>
          <w:rFonts w:ascii="Arial" w:eastAsia="Arial" w:hAnsi="Arial" w:cs="Arial"/>
          <w:lang w:val="en-US" w:bidi="en-US"/>
        </w:rPr>
        <w:t xml:space="preserve">The vessel-owning companies with vessels that have called on the United States are obliged to file tax returns with the Internal Revenue Service. However, pursuant to the Internal Revenue Code of the United States, U.S. source income from the international operations of ships is generally exempt from U.S. tax. The applicable tax is </w:t>
      </w:r>
      <w:bookmarkStart w:id="874" w:name="XBRL_CS_83453a617c6a47548ec8d50b19ea089e"/>
      <w:r w:rsidRPr="00EF2F4C">
        <w:rPr>
          <w:rFonts w:ascii="Arial" w:eastAsia="Arial" w:hAnsi="Arial" w:cs="Arial"/>
          <w:lang w:val="en-US" w:bidi="en-US"/>
        </w:rPr>
        <w:t>50</w:t>
      </w:r>
      <w:bookmarkEnd w:id="874"/>
      <w:r w:rsidRPr="00EF2F4C">
        <w:rPr>
          <w:rFonts w:ascii="Arial" w:eastAsia="Arial" w:hAnsi="Arial" w:cs="Arial"/>
          <w:lang w:val="en-US" w:bidi="en-US"/>
        </w:rPr>
        <w:t xml:space="preserve">% of </w:t>
      </w:r>
      <w:bookmarkStart w:id="875" w:name="XBRL_CS_a30527540a804768bade25d1d34ffcec"/>
      <w:r w:rsidRPr="00EF2F4C">
        <w:rPr>
          <w:rFonts w:ascii="Arial" w:eastAsia="Arial" w:hAnsi="Arial" w:cs="Arial"/>
          <w:lang w:val="en-US" w:bidi="en-US"/>
        </w:rPr>
        <w:t>4</w:t>
      </w:r>
      <w:bookmarkEnd w:id="875"/>
      <w:r w:rsidRPr="00EF2F4C">
        <w:rPr>
          <w:rFonts w:ascii="Arial" w:eastAsia="Arial" w:hAnsi="Arial" w:cs="Arial"/>
          <w:lang w:val="en-US" w:bidi="en-US"/>
        </w:rPr>
        <w:t xml:space="preserve">% of U.S.-related gross transportation income unless an exemption applies. The Company and each of its subsidiaries expects it qualifies for this statutory tax exemption for the </w:t>
      </w:r>
      <w:r>
        <w:rPr>
          <w:rFonts w:ascii="Arial" w:eastAsia="Arial" w:hAnsi="Arial" w:cs="Arial"/>
          <w:lang w:val="en-US" w:bidi="en-US"/>
        </w:rPr>
        <w:t>2025</w:t>
      </w:r>
      <w:r w:rsidRPr="00EF2F4C">
        <w:rPr>
          <w:rFonts w:ascii="Arial" w:eastAsia="Arial" w:hAnsi="Arial" w:cs="Arial"/>
          <w:lang w:val="en-US" w:bidi="en-US"/>
        </w:rPr>
        <w:t xml:space="preserve">, </w:t>
      </w:r>
      <w:r>
        <w:rPr>
          <w:rFonts w:ascii="Arial" w:eastAsia="Arial" w:hAnsi="Arial" w:cs="Arial"/>
          <w:lang w:val="en-US" w:bidi="en-US"/>
        </w:rPr>
        <w:t>2024</w:t>
      </w:r>
      <w:r w:rsidRPr="00EF2F4C">
        <w:rPr>
          <w:rFonts w:ascii="Arial" w:eastAsia="Arial" w:hAnsi="Arial" w:cs="Arial"/>
          <w:lang w:val="en-US" w:bidi="en-US"/>
        </w:rPr>
        <w:t xml:space="preserve"> and </w:t>
      </w:r>
      <w:r>
        <w:rPr>
          <w:rFonts w:ascii="Arial" w:eastAsia="Arial" w:hAnsi="Arial" w:cs="Arial"/>
          <w:lang w:val="en-US" w:bidi="en-US"/>
        </w:rPr>
        <w:t>2023</w:t>
      </w:r>
      <w:r w:rsidRPr="00EF2F4C">
        <w:rPr>
          <w:rFonts w:ascii="Arial" w:eastAsia="Arial" w:hAnsi="Arial" w:cs="Arial"/>
          <w:lang w:val="en-US" w:bidi="en-US"/>
        </w:rPr>
        <w:t xml:space="preserve"> taxable years, and the Company takes this position for United States federal income tax return reporting purposes.</w:t>
      </w:r>
      <w:bookmarkEnd w:id="873"/>
    </w:p>
    <w:p w14:paraId="71F3F9CC"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9CD" w14:textId="77777777" w:rsidR="000104A1" w:rsidRPr="00703ACC" w:rsidRDefault="003A4815" w:rsidP="00703ACC">
      <w:pPr>
        <w:pStyle w:val="Header1notes"/>
        <w:keepLines/>
        <w:pBdr>
          <w:top w:val="nil"/>
          <w:left w:val="nil"/>
          <w:bottom w:val="nil"/>
          <w:right w:val="nil"/>
          <w:between w:val="nil"/>
          <w:bar w:val="nil"/>
        </w:pBdr>
        <w:spacing w:before="0" w:after="0"/>
        <w:ind w:left="567" w:hanging="567"/>
        <w:rPr>
          <w:rFonts w:ascii="Arial" w:eastAsia="Arial" w:hAnsi="Arial" w:cs="Arial"/>
          <w:sz w:val="24"/>
          <w:bdr w:val="nil"/>
        </w:rPr>
      </w:pPr>
      <w:bookmarkStart w:id="876" w:name="RG_MARKER_23112"/>
      <w:bookmarkStart w:id="877" w:name="RG_MARKER_23111"/>
      <w:bookmarkStart w:id="878" w:name="XBRL_TS_61b3e3c2df454786a641cb2334596b14"/>
      <w:r w:rsidRPr="00703ACC">
        <w:rPr>
          <w:rFonts w:ascii="Arial" w:eastAsia="Arial" w:hAnsi="Arial" w:cs="Arial"/>
          <w:sz w:val="24"/>
        </w:rPr>
        <w:t>15.</w:t>
      </w:r>
      <w:bookmarkEnd w:id="876"/>
      <w:bookmarkEnd w:id="877"/>
      <w:r w:rsidRPr="00703ACC">
        <w:rPr>
          <w:rFonts w:ascii="Arial" w:eastAsia="Arial" w:hAnsi="Arial" w:cs="Arial"/>
          <w:sz w:val="24"/>
        </w:rPr>
        <w:tab/>
        <w:t>Financial Instruments and Fair Value Disclosures</w:t>
      </w:r>
    </w:p>
    <w:p w14:paraId="71F3F9CE" w14:textId="77777777" w:rsidR="003F70F3" w:rsidRPr="00703ACC" w:rsidRDefault="003F70F3" w:rsidP="00703ACC">
      <w:pPr>
        <w:keepNext/>
        <w:keepLines/>
        <w:pBdr>
          <w:top w:val="nil"/>
          <w:left w:val="nil"/>
          <w:bottom w:val="nil"/>
          <w:right w:val="nil"/>
          <w:between w:val="nil"/>
          <w:bar w:val="nil"/>
        </w:pBdr>
        <w:jc w:val="both"/>
        <w:rPr>
          <w:rFonts w:ascii="Arial" w:eastAsia="Arial" w:hAnsi="Arial" w:cs="Arial"/>
          <w:bdr w:val="nil"/>
          <w:lang w:val="en-US"/>
        </w:rPr>
      </w:pPr>
    </w:p>
    <w:p w14:paraId="71F3F9CF" w14:textId="77777777" w:rsidR="00703ACC" w:rsidRPr="00703ACC" w:rsidRDefault="003A4815" w:rsidP="00703ACC">
      <w:pPr>
        <w:keepNext/>
        <w:keepLines/>
        <w:pBdr>
          <w:top w:val="nil"/>
          <w:left w:val="nil"/>
          <w:bottom w:val="nil"/>
          <w:right w:val="nil"/>
          <w:between w:val="nil"/>
          <w:bar w:val="nil"/>
        </w:pBdr>
        <w:jc w:val="both"/>
        <w:rPr>
          <w:rFonts w:ascii="Arial" w:eastAsia="Arial" w:hAnsi="Arial" w:cs="Arial"/>
          <w:color w:val="000000"/>
          <w:bdr w:val="nil"/>
          <w:lang w:val="en-US"/>
        </w:rPr>
      </w:pPr>
      <w:r w:rsidRPr="00703ACC">
        <w:rPr>
          <w:rFonts w:ascii="Arial" w:eastAsia="Arial" w:hAnsi="Arial" w:cs="Arial"/>
          <w:b/>
          <w:bCs/>
          <w:color w:val="000000"/>
          <w:lang w:val="en-US"/>
        </w:rPr>
        <w:t>Interest rate risk and concentration of credit risk</w:t>
      </w:r>
    </w:p>
    <w:p w14:paraId="71F3F9D0" w14:textId="77777777" w:rsidR="00703ACC" w:rsidRDefault="00703ACC" w:rsidP="00703ACC">
      <w:pPr>
        <w:keepNext/>
        <w:keepLines/>
        <w:pBdr>
          <w:top w:val="nil"/>
          <w:left w:val="nil"/>
          <w:bottom w:val="nil"/>
          <w:right w:val="nil"/>
          <w:between w:val="nil"/>
          <w:bar w:val="nil"/>
        </w:pBdr>
        <w:jc w:val="both"/>
        <w:rPr>
          <w:rFonts w:ascii="Arial" w:eastAsia="Arial" w:hAnsi="Arial" w:cs="Arial"/>
          <w:color w:val="000000"/>
          <w:bdr w:val="nil"/>
          <w:lang w:val="en-US"/>
        </w:rPr>
      </w:pPr>
    </w:p>
    <w:p w14:paraId="71F3F9D1" w14:textId="77777777" w:rsidR="00806BC1" w:rsidRPr="00703ACC" w:rsidRDefault="003A4815" w:rsidP="00703ACC">
      <w:pPr>
        <w:pBdr>
          <w:top w:val="nil"/>
          <w:left w:val="nil"/>
          <w:bottom w:val="nil"/>
          <w:right w:val="nil"/>
          <w:between w:val="nil"/>
          <w:bar w:val="nil"/>
        </w:pBdr>
        <w:jc w:val="both"/>
        <w:rPr>
          <w:rFonts w:ascii="Arial" w:eastAsia="Arial" w:hAnsi="Arial" w:cs="Arial"/>
          <w:bdr w:val="nil"/>
          <w:lang w:val="en-US"/>
        </w:rPr>
      </w:pPr>
      <w:r w:rsidRPr="004F346E">
        <w:rPr>
          <w:rFonts w:ascii="Arial" w:eastAsia="Arial" w:hAnsi="Arial" w:cs="Arial"/>
          <w:bdr w:val="none" w:sz="0" w:space="0" w:color="auto" w:frame="1"/>
          <w:lang w:val="en-US" w:bidi="en-US"/>
        </w:rPr>
        <w:t xml:space="preserve">Financial instruments that potentially subject the Company to concentrations of credit risk consist primarily of cash and cash equivalents, time deposits and accounts receivable, trade arising from operating leases. </w:t>
      </w:r>
      <w:r>
        <w:rPr>
          <w:rFonts w:ascii="Arial" w:eastAsia="Arial" w:hAnsi="Arial" w:cs="Arial"/>
          <w:bdr w:val="none" w:sz="0" w:space="0" w:color="auto" w:frame="1"/>
          <w:lang w:val="en-US" w:bidi="en-US"/>
        </w:rPr>
        <w:t>(Note 2)</w:t>
      </w:r>
      <w:r w:rsidR="00F7647D" w:rsidRPr="00703ACC">
        <w:rPr>
          <w:rFonts w:ascii="Arial" w:eastAsia="Arial" w:hAnsi="Arial" w:cs="Arial"/>
          <w:bdr w:val="none" w:sz="0" w:space="0" w:color="auto" w:frame="1"/>
          <w:lang w:val="en-US" w:bidi="en-US"/>
        </w:rPr>
        <w:t xml:space="preserve">. The ability and willingness of each of the Company’s counterparties to perform their obligations under a contract depend upon a number of factors that are beyond the Company’s control and may include, among other things, general economic conditions, the state of the capital markets, the condition of the shipping industry and charter hire rates. The Company’s credit risk with financial institutions is limited as it has temporary cash investments, consisting mostly of deposits, placed with various qualified financial institutions and performs periodic evaluations of the relative credit standing of those financial institutions. The Company limits its credit risk with accounts receivable by performing ongoing credit evaluations of its customers’ financial condition and by receiving payments of hire in advance. The Company, generally, does not require collateral for its accounts receivable and does not have any agreements to mitigate credit risk. </w:t>
      </w:r>
    </w:p>
    <w:p w14:paraId="71F3F9D2" w14:textId="77777777" w:rsidR="007C7365" w:rsidRPr="00703ACC" w:rsidRDefault="007C7365" w:rsidP="00703ACC">
      <w:pPr>
        <w:pBdr>
          <w:top w:val="nil"/>
          <w:left w:val="nil"/>
          <w:bottom w:val="nil"/>
          <w:right w:val="nil"/>
          <w:between w:val="nil"/>
          <w:bar w:val="nil"/>
        </w:pBdr>
        <w:jc w:val="both"/>
        <w:rPr>
          <w:rFonts w:ascii="Arial" w:eastAsia="Arial" w:hAnsi="Arial" w:cs="Arial"/>
          <w:bdr w:val="nil"/>
          <w:lang w:val="en-US"/>
        </w:rPr>
      </w:pPr>
    </w:p>
    <w:p w14:paraId="71F3F9D3" w14:textId="77777777" w:rsidR="001E31BC" w:rsidRDefault="003A4815" w:rsidP="00703ACC">
      <w:pPr>
        <w:pStyle w:val="Notesbody"/>
        <w:pBdr>
          <w:top w:val="nil"/>
          <w:left w:val="nil"/>
          <w:bottom w:val="nil"/>
          <w:right w:val="nil"/>
          <w:between w:val="nil"/>
          <w:bar w:val="nil"/>
        </w:pBdr>
        <w:rPr>
          <w:rFonts w:ascii="Arial" w:eastAsia="Arial" w:hAnsi="Arial" w:cs="Arial"/>
          <w:color w:val="auto"/>
          <w:bdr w:val="nil"/>
          <w:lang w:bidi="en-US"/>
        </w:rPr>
      </w:pPr>
      <w:r>
        <w:rPr>
          <w:rFonts w:ascii="Arial" w:eastAsia="Arial" w:hAnsi="Arial" w:cs="Arial"/>
          <w:color w:val="auto"/>
          <w:bdr w:val="none" w:sz="0" w:space="0" w:color="auto" w:frame="1"/>
          <w:lang w:bidi="en-US"/>
        </w:rPr>
        <w:t>In</w:t>
      </w:r>
      <w:r w:rsidR="00B407D4">
        <w:rPr>
          <w:rFonts w:ascii="Arial" w:eastAsia="Arial" w:hAnsi="Arial" w:cs="Arial"/>
          <w:color w:val="auto"/>
          <w:bdr w:val="none" w:sz="0" w:space="0" w:color="auto" w:frame="1"/>
          <w:lang w:bidi="en-US"/>
        </w:rPr>
        <w:t xml:space="preserve"> 2025</w:t>
      </w:r>
      <w:r>
        <w:rPr>
          <w:rFonts w:ascii="Arial" w:eastAsia="Arial" w:hAnsi="Arial" w:cs="Arial"/>
          <w:color w:val="auto"/>
          <w:bdr w:val="none" w:sz="0" w:space="0" w:color="auto" w:frame="1"/>
          <w:lang w:bidi="en-US"/>
        </w:rPr>
        <w:t xml:space="preserve">, </w:t>
      </w:r>
      <w:r w:rsidR="00B407D4">
        <w:rPr>
          <w:rFonts w:ascii="Arial" w:eastAsia="Arial" w:hAnsi="Arial" w:cs="Arial"/>
          <w:color w:val="auto"/>
          <w:bdr w:val="none" w:sz="0" w:space="0" w:color="auto" w:frame="1"/>
          <w:lang w:bidi="en-US"/>
        </w:rPr>
        <w:t>2024</w:t>
      </w:r>
      <w:r>
        <w:rPr>
          <w:rFonts w:ascii="Arial" w:eastAsia="Arial" w:hAnsi="Arial" w:cs="Arial"/>
          <w:color w:val="auto"/>
          <w:bdr w:val="none" w:sz="0" w:space="0" w:color="auto" w:frame="1"/>
          <w:lang w:bidi="en-US"/>
        </w:rPr>
        <w:t xml:space="preserve"> and 2023</w:t>
      </w:r>
      <w:r w:rsidR="00B407D4">
        <w:rPr>
          <w:rFonts w:ascii="Arial" w:eastAsia="Arial" w:hAnsi="Arial" w:cs="Arial"/>
          <w:color w:val="auto"/>
          <w:bdr w:val="none" w:sz="0" w:space="0" w:color="auto" w:frame="1"/>
          <w:lang w:bidi="en-US"/>
        </w:rPr>
        <w:t xml:space="preserve"> </w:t>
      </w:r>
      <w:r w:rsidR="00B407D4" w:rsidRPr="00703ACC">
        <w:rPr>
          <w:rFonts w:ascii="Arial" w:eastAsia="Arial" w:hAnsi="Arial" w:cs="Arial"/>
          <w:color w:val="auto"/>
          <w:bdr w:val="none" w:sz="0" w:space="0" w:color="auto" w:frame="1"/>
          <w:lang w:bidi="en-US"/>
        </w:rPr>
        <w:t xml:space="preserve">charterers that individually accounted for </w:t>
      </w:r>
      <w:bookmarkStart w:id="879" w:name="XBRL_CS_d2adf63405d347fd9f2af758c56e18f5"/>
      <w:bookmarkStart w:id="880" w:name="XBRL_CS_19d039dcec77467f8910b99409b10d99"/>
      <w:bookmarkStart w:id="881" w:name="XBRL_CS_819a54fec04644d88e9a2242fcf79c3d"/>
      <w:r w:rsidR="00B407D4" w:rsidRPr="00703ACC">
        <w:rPr>
          <w:rFonts w:ascii="Arial" w:eastAsia="Arial" w:hAnsi="Arial" w:cs="Arial"/>
          <w:color w:val="auto"/>
          <w:bdr w:val="none" w:sz="0" w:space="0" w:color="auto" w:frame="1"/>
          <w:lang w:bidi="en-US"/>
        </w:rPr>
        <w:t>10</w:t>
      </w:r>
      <w:bookmarkEnd w:id="879"/>
      <w:bookmarkEnd w:id="880"/>
      <w:bookmarkEnd w:id="881"/>
      <w:r w:rsidR="00B407D4" w:rsidRPr="00703ACC">
        <w:rPr>
          <w:rFonts w:ascii="Arial" w:eastAsia="Arial" w:hAnsi="Arial" w:cs="Arial"/>
          <w:color w:val="auto"/>
          <w:bdr w:val="none" w:sz="0" w:space="0" w:color="auto" w:frame="1"/>
          <w:lang w:bidi="en-US"/>
        </w:rPr>
        <w:t>% or more of the Company’s time charter revenues were as follows:</w:t>
      </w:r>
      <w:bookmarkEnd w:id="878"/>
    </w:p>
    <w:p w14:paraId="71F3F9D4" w14:textId="77777777" w:rsidR="00197DA3" w:rsidRPr="00703ACC" w:rsidRDefault="00197DA3" w:rsidP="00703ACC">
      <w:pPr>
        <w:pStyle w:val="Notesbody"/>
        <w:pBdr>
          <w:top w:val="nil"/>
          <w:left w:val="nil"/>
          <w:bottom w:val="nil"/>
          <w:right w:val="nil"/>
          <w:between w:val="nil"/>
          <w:bar w:val="nil"/>
        </w:pBdr>
        <w:rPr>
          <w:rFonts w:ascii="Arial" w:eastAsia="Arial" w:hAnsi="Arial" w:cs="Arial"/>
          <w:color w:val="auto"/>
          <w:bdr w:val="nil"/>
          <w:lang w:bidi="en-US"/>
        </w:rPr>
      </w:pPr>
    </w:p>
    <w:tbl>
      <w:tblPr>
        <w:tblStyle w:val="CDMRange2"/>
        <w:tblW w:w="9975" w:type="dxa"/>
        <w:tblLayout w:type="fixed"/>
        <w:tblLook w:val="0600" w:firstRow="0" w:lastRow="0" w:firstColumn="0" w:lastColumn="0" w:noHBand="1" w:noVBand="1"/>
      </w:tblPr>
      <w:tblGrid>
        <w:gridCol w:w="5057"/>
        <w:gridCol w:w="290"/>
        <w:gridCol w:w="1424"/>
        <w:gridCol w:w="178"/>
        <w:gridCol w:w="1424"/>
        <w:gridCol w:w="178"/>
        <w:gridCol w:w="1424"/>
      </w:tblGrid>
      <w:tr w:rsidR="00510CAA" w14:paraId="71F3F9DC" w14:textId="77777777">
        <w:trPr>
          <w:cantSplit/>
          <w:trHeight w:hRule="exact" w:val="255"/>
        </w:trPr>
        <w:tc>
          <w:tcPr>
            <w:tcW w:w="5115" w:type="dxa"/>
            <w:tcBorders>
              <w:top w:val="nil"/>
              <w:left w:val="nil"/>
              <w:bottom w:val="single" w:sz="4" w:space="0" w:color="000000"/>
              <w:right w:val="nil"/>
              <w:tl2br w:val="nil"/>
              <w:tr2bl w:val="nil"/>
            </w:tcBorders>
            <w:noWrap/>
            <w:tcMar>
              <w:left w:w="40" w:type="dxa"/>
              <w:right w:w="40" w:type="dxa"/>
            </w:tcMar>
          </w:tcPr>
          <w:p w14:paraId="71F3F9D5" w14:textId="77777777" w:rsidR="00510CAA" w:rsidRDefault="003A4815">
            <w:pPr>
              <w:keepNext/>
              <w:rPr>
                <w:rFonts w:ascii="Arial" w:eastAsia="Arial" w:hAnsi="Arial" w:cs="Arial"/>
                <w:b/>
                <w:color w:val="000000"/>
                <w:sz w:val="20"/>
              </w:rPr>
            </w:pPr>
            <w:bookmarkStart w:id="882" w:name="RG_MARKER_23113"/>
            <w:r>
              <w:rPr>
                <w:rFonts w:ascii="Arial" w:eastAsia="Arial" w:hAnsi="Arial" w:cs="Arial"/>
                <w:b/>
                <w:color w:val="000000"/>
                <w:sz w:val="20"/>
              </w:rPr>
              <w:t>Charterer</w:t>
            </w:r>
            <w:bookmarkEnd w:id="882"/>
          </w:p>
        </w:tc>
        <w:tc>
          <w:tcPr>
            <w:tcW w:w="180" w:type="dxa"/>
            <w:tcBorders>
              <w:top w:val="nil"/>
              <w:left w:val="nil"/>
              <w:bottom w:val="nil"/>
              <w:right w:val="nil"/>
              <w:tl2br w:val="nil"/>
              <w:tr2bl w:val="nil"/>
            </w:tcBorders>
            <w:noWrap/>
            <w:tcMar>
              <w:left w:w="0" w:type="dxa"/>
              <w:right w:w="0" w:type="dxa"/>
            </w:tcMar>
          </w:tcPr>
          <w:p w14:paraId="71F3F9D6"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40" w:type="dxa"/>
              <w:right w:w="40" w:type="dxa"/>
            </w:tcMar>
          </w:tcPr>
          <w:p w14:paraId="71F3F9D7"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2025</w:t>
            </w:r>
          </w:p>
        </w:tc>
        <w:tc>
          <w:tcPr>
            <w:tcW w:w="180" w:type="dxa"/>
            <w:tcBorders>
              <w:top w:val="nil"/>
              <w:left w:val="nil"/>
              <w:bottom w:val="nil"/>
              <w:right w:val="nil"/>
              <w:tl2br w:val="nil"/>
              <w:tr2bl w:val="nil"/>
            </w:tcBorders>
            <w:noWrap/>
            <w:tcMar>
              <w:left w:w="0" w:type="dxa"/>
              <w:right w:w="0" w:type="dxa"/>
            </w:tcMar>
          </w:tcPr>
          <w:p w14:paraId="71F3F9D8"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40" w:type="dxa"/>
              <w:right w:w="40" w:type="dxa"/>
            </w:tcMar>
          </w:tcPr>
          <w:p w14:paraId="71F3F9D9"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2024</w:t>
            </w:r>
          </w:p>
        </w:tc>
        <w:tc>
          <w:tcPr>
            <w:tcW w:w="180" w:type="dxa"/>
            <w:tcBorders>
              <w:top w:val="nil"/>
              <w:left w:val="nil"/>
              <w:bottom w:val="nil"/>
              <w:right w:val="nil"/>
              <w:tl2br w:val="nil"/>
              <w:tr2bl w:val="nil"/>
            </w:tcBorders>
            <w:noWrap/>
            <w:tcMar>
              <w:left w:w="0" w:type="dxa"/>
              <w:right w:w="0" w:type="dxa"/>
            </w:tcMar>
          </w:tcPr>
          <w:p w14:paraId="71F3F9DA" w14:textId="77777777" w:rsidR="00510CAA" w:rsidRDefault="00510CAA">
            <w:pPr>
              <w:keepNext/>
              <w:rPr>
                <w:rFonts w:ascii="Arial" w:eastAsia="Arial" w:hAnsi="Arial" w:cs="Arial"/>
                <w:color w:val="000000"/>
                <w:sz w:val="20"/>
              </w:rPr>
            </w:pPr>
          </w:p>
        </w:tc>
        <w:tc>
          <w:tcPr>
            <w:tcW w:w="1440" w:type="dxa"/>
            <w:tcBorders>
              <w:top w:val="nil"/>
              <w:left w:val="nil"/>
              <w:bottom w:val="single" w:sz="4" w:space="0" w:color="000000"/>
              <w:right w:val="nil"/>
              <w:tl2br w:val="nil"/>
              <w:tr2bl w:val="nil"/>
            </w:tcBorders>
            <w:noWrap/>
            <w:tcMar>
              <w:left w:w="40" w:type="dxa"/>
              <w:right w:w="40" w:type="dxa"/>
            </w:tcMar>
          </w:tcPr>
          <w:p w14:paraId="71F3F9DB" w14:textId="77777777" w:rsidR="00510CAA" w:rsidRDefault="003A4815">
            <w:pPr>
              <w:keepNext/>
              <w:jc w:val="center"/>
              <w:rPr>
                <w:rFonts w:ascii="Arial" w:eastAsia="Arial" w:hAnsi="Arial" w:cs="Arial"/>
                <w:b/>
                <w:color w:val="000000"/>
                <w:sz w:val="20"/>
              </w:rPr>
            </w:pPr>
            <w:r>
              <w:rPr>
                <w:rFonts w:ascii="Arial" w:eastAsia="Arial" w:hAnsi="Arial" w:cs="Arial"/>
                <w:b/>
                <w:color w:val="000000"/>
                <w:sz w:val="20"/>
              </w:rPr>
              <w:t>2023</w:t>
            </w:r>
          </w:p>
        </w:tc>
      </w:tr>
      <w:tr w:rsidR="00510CAA" w14:paraId="71F3F9E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single" w:sz="4" w:space="0" w:color="000000"/>
              <w:left w:val="nil"/>
              <w:bottom w:val="nil"/>
              <w:right w:val="nil"/>
              <w:tl2br w:val="nil"/>
              <w:tr2bl w:val="nil"/>
            </w:tcBorders>
            <w:tcMar>
              <w:left w:w="40" w:type="dxa"/>
              <w:right w:w="40" w:type="dxa"/>
            </w:tcMar>
            <w:vAlign w:val="bottom"/>
          </w:tcPr>
          <w:p w14:paraId="71F3F9DD" w14:textId="77777777" w:rsidR="00510CAA" w:rsidRDefault="003A4815">
            <w:pPr>
              <w:keepNext/>
              <w:rPr>
                <w:rFonts w:ascii="Arial" w:eastAsia="Arial" w:hAnsi="Arial" w:cs="Arial"/>
                <w:color w:val="000000"/>
                <w:sz w:val="20"/>
              </w:rPr>
            </w:pPr>
            <w:r>
              <w:rPr>
                <w:rFonts w:ascii="Arial" w:eastAsia="Arial" w:hAnsi="Arial" w:cs="Arial"/>
                <w:color w:val="000000"/>
                <w:sz w:val="20"/>
              </w:rPr>
              <w:t>Cargill International SA</w:t>
            </w:r>
          </w:p>
        </w:tc>
        <w:tc>
          <w:tcPr>
            <w:tcW w:w="180" w:type="dxa"/>
            <w:tcBorders>
              <w:top w:val="nil"/>
              <w:left w:val="nil"/>
              <w:bottom w:val="nil"/>
              <w:right w:val="nil"/>
              <w:tl2br w:val="nil"/>
              <w:tr2bl w:val="nil"/>
            </w:tcBorders>
            <w:tcMar>
              <w:left w:w="270" w:type="dxa"/>
              <w:right w:w="0" w:type="dxa"/>
            </w:tcMar>
          </w:tcPr>
          <w:p w14:paraId="71F3F9DE" w14:textId="77777777" w:rsidR="00510CAA" w:rsidRDefault="00510CAA">
            <w:pPr>
              <w:keepNex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tcMar>
              <w:left w:w="40" w:type="dxa"/>
              <w:right w:w="40" w:type="dxa"/>
            </w:tcMar>
            <w:vAlign w:val="bottom"/>
          </w:tcPr>
          <w:p w14:paraId="71F3F9DF"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14%</w:t>
            </w:r>
          </w:p>
        </w:tc>
        <w:tc>
          <w:tcPr>
            <w:tcW w:w="180" w:type="dxa"/>
            <w:tcBorders>
              <w:top w:val="nil"/>
              <w:left w:val="nil"/>
              <w:bottom w:val="nil"/>
              <w:right w:val="nil"/>
              <w:tl2br w:val="nil"/>
              <w:tr2bl w:val="nil"/>
            </w:tcBorders>
            <w:tcMar>
              <w:left w:w="0" w:type="dxa"/>
              <w:right w:w="0" w:type="dxa"/>
            </w:tcMar>
            <w:vAlign w:val="bottom"/>
          </w:tcPr>
          <w:p w14:paraId="71F3F9E0" w14:textId="77777777" w:rsidR="00510CAA" w:rsidRDefault="00510CAA">
            <w:pPr>
              <w:keepNext/>
              <w:jc w:val="righ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noWrap/>
            <w:tcMar>
              <w:left w:w="40" w:type="dxa"/>
              <w:right w:w="40" w:type="dxa"/>
            </w:tcMar>
            <w:vAlign w:val="bottom"/>
          </w:tcPr>
          <w:p w14:paraId="71F3F9E1"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c>
          <w:tcPr>
            <w:tcW w:w="180" w:type="dxa"/>
            <w:tcBorders>
              <w:top w:val="nil"/>
              <w:left w:val="nil"/>
              <w:bottom w:val="nil"/>
              <w:right w:val="nil"/>
              <w:tl2br w:val="nil"/>
              <w:tr2bl w:val="nil"/>
            </w:tcBorders>
            <w:tcMar>
              <w:left w:w="0" w:type="dxa"/>
              <w:right w:w="0" w:type="dxa"/>
            </w:tcMar>
            <w:vAlign w:val="bottom"/>
          </w:tcPr>
          <w:p w14:paraId="71F3F9E2" w14:textId="77777777" w:rsidR="00510CAA" w:rsidRDefault="00510CAA">
            <w:pPr>
              <w:keepNext/>
              <w:jc w:val="right"/>
              <w:rPr>
                <w:rFonts w:ascii="Arial" w:eastAsia="Arial" w:hAnsi="Arial" w:cs="Arial"/>
                <w:color w:val="000000"/>
                <w:sz w:val="20"/>
              </w:rPr>
            </w:pPr>
          </w:p>
        </w:tc>
        <w:tc>
          <w:tcPr>
            <w:tcW w:w="1440" w:type="dxa"/>
            <w:tcBorders>
              <w:top w:val="single" w:sz="4" w:space="0" w:color="000000"/>
              <w:left w:val="nil"/>
              <w:bottom w:val="nil"/>
              <w:right w:val="nil"/>
              <w:tl2br w:val="nil"/>
              <w:tr2bl w:val="nil"/>
            </w:tcBorders>
            <w:noWrap/>
            <w:tcMar>
              <w:left w:w="40" w:type="dxa"/>
              <w:right w:w="40" w:type="dxa"/>
            </w:tcMar>
            <w:vAlign w:val="bottom"/>
          </w:tcPr>
          <w:p w14:paraId="71F3F9E3"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13%</w:t>
            </w:r>
          </w:p>
        </w:tc>
      </w:tr>
      <w:tr w:rsidR="00510CAA" w14:paraId="71F3F9E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tcMar>
              <w:left w:w="40" w:type="dxa"/>
              <w:right w:w="40" w:type="dxa"/>
            </w:tcMar>
            <w:vAlign w:val="bottom"/>
          </w:tcPr>
          <w:p w14:paraId="71F3F9E5" w14:textId="77777777" w:rsidR="00510CAA" w:rsidRDefault="003A4815">
            <w:pPr>
              <w:keepNext/>
              <w:rPr>
                <w:rFonts w:ascii="Arial" w:eastAsia="Arial" w:hAnsi="Arial" w:cs="Arial"/>
                <w:color w:val="000000"/>
                <w:sz w:val="20"/>
              </w:rPr>
            </w:pPr>
            <w:r>
              <w:rPr>
                <w:rFonts w:ascii="Arial" w:eastAsia="Arial" w:hAnsi="Arial" w:cs="Arial"/>
                <w:color w:val="000000"/>
                <w:sz w:val="20"/>
              </w:rPr>
              <w:t>Nippon Yusen Kaisha</w:t>
            </w:r>
          </w:p>
        </w:tc>
        <w:tc>
          <w:tcPr>
            <w:tcW w:w="180" w:type="dxa"/>
            <w:tcBorders>
              <w:top w:val="nil"/>
              <w:left w:val="nil"/>
              <w:bottom w:val="nil"/>
              <w:right w:val="nil"/>
              <w:tl2br w:val="nil"/>
              <w:tr2bl w:val="nil"/>
            </w:tcBorders>
            <w:tcMar>
              <w:left w:w="270" w:type="dxa"/>
              <w:right w:w="0" w:type="dxa"/>
            </w:tcMar>
          </w:tcPr>
          <w:p w14:paraId="71F3F9E6"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40" w:type="dxa"/>
              <w:right w:w="40" w:type="dxa"/>
            </w:tcMar>
            <w:vAlign w:val="bottom"/>
          </w:tcPr>
          <w:p w14:paraId="71F3F9E7"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15%</w:t>
            </w:r>
          </w:p>
        </w:tc>
        <w:tc>
          <w:tcPr>
            <w:tcW w:w="180" w:type="dxa"/>
            <w:tcBorders>
              <w:top w:val="nil"/>
              <w:left w:val="nil"/>
              <w:bottom w:val="nil"/>
              <w:right w:val="nil"/>
              <w:tl2br w:val="nil"/>
              <w:tr2bl w:val="nil"/>
            </w:tcBorders>
            <w:tcMar>
              <w:left w:w="0" w:type="dxa"/>
              <w:right w:w="0" w:type="dxa"/>
            </w:tcMar>
            <w:vAlign w:val="bottom"/>
          </w:tcPr>
          <w:p w14:paraId="71F3F9E8"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tcMar>
              <w:left w:w="40" w:type="dxa"/>
              <w:right w:w="40" w:type="dxa"/>
            </w:tcMar>
            <w:vAlign w:val="bottom"/>
          </w:tcPr>
          <w:p w14:paraId="71F3F9E9"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11%</w:t>
            </w:r>
          </w:p>
        </w:tc>
        <w:tc>
          <w:tcPr>
            <w:tcW w:w="180" w:type="dxa"/>
            <w:tcBorders>
              <w:top w:val="nil"/>
              <w:left w:val="nil"/>
              <w:bottom w:val="nil"/>
              <w:right w:val="nil"/>
              <w:tl2br w:val="nil"/>
              <w:tr2bl w:val="nil"/>
            </w:tcBorders>
            <w:tcMar>
              <w:left w:w="0" w:type="dxa"/>
              <w:right w:w="0" w:type="dxa"/>
            </w:tcMar>
            <w:vAlign w:val="bottom"/>
          </w:tcPr>
          <w:p w14:paraId="71F3F9EA"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40" w:type="dxa"/>
              <w:right w:w="40" w:type="dxa"/>
            </w:tcMar>
            <w:vAlign w:val="bottom"/>
          </w:tcPr>
          <w:p w14:paraId="71F3F9EB" w14:textId="77777777" w:rsidR="00510CAA" w:rsidRDefault="003A4815">
            <w:pPr>
              <w:keepNext/>
              <w:jc w:val="right"/>
              <w:rPr>
                <w:rFonts w:ascii="Arial" w:eastAsia="Arial" w:hAnsi="Arial" w:cs="Arial"/>
                <w:color w:val="000000"/>
                <w:sz w:val="20"/>
              </w:rPr>
            </w:pPr>
            <w:r>
              <w:rPr>
                <w:rFonts w:ascii="Arial" w:eastAsia="Arial" w:hAnsi="Arial" w:cs="Arial"/>
                <w:color w:val="000000"/>
                <w:sz w:val="20"/>
              </w:rPr>
              <w:t>*</w:t>
            </w:r>
          </w:p>
        </w:tc>
      </w:tr>
      <w:tr w:rsidR="00510CAA" w14:paraId="71F3F9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tcMar>
              <w:left w:w="0" w:type="dxa"/>
              <w:right w:w="0" w:type="dxa"/>
            </w:tcMar>
            <w:vAlign w:val="bottom"/>
          </w:tcPr>
          <w:p w14:paraId="71F3F9ED"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tcMar>
              <w:left w:w="270" w:type="dxa"/>
              <w:right w:w="0" w:type="dxa"/>
            </w:tcMar>
          </w:tcPr>
          <w:p w14:paraId="71F3F9EE"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tcMar>
              <w:left w:w="0" w:type="dxa"/>
              <w:right w:w="0" w:type="dxa"/>
            </w:tcMar>
            <w:vAlign w:val="bottom"/>
          </w:tcPr>
          <w:p w14:paraId="71F3F9EF"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tcMar>
              <w:left w:w="0" w:type="dxa"/>
              <w:right w:w="0" w:type="dxa"/>
            </w:tcMar>
            <w:vAlign w:val="bottom"/>
          </w:tcPr>
          <w:p w14:paraId="71F3F9F0" w14:textId="77777777" w:rsidR="00510CAA" w:rsidRDefault="00510CAA">
            <w:pPr>
              <w:keepNext/>
              <w:jc w:val="righ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F1"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F2"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F3" w14:textId="77777777" w:rsidR="00510CAA" w:rsidRDefault="00510CAA">
            <w:pPr>
              <w:keepNext/>
              <w:rPr>
                <w:rFonts w:ascii="Arial" w:eastAsia="Arial" w:hAnsi="Arial" w:cs="Arial"/>
                <w:color w:val="000000"/>
                <w:sz w:val="20"/>
              </w:rPr>
            </w:pPr>
          </w:p>
        </w:tc>
      </w:tr>
      <w:tr w:rsidR="00510CAA" w14:paraId="71F3F9F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55"/>
        </w:trPr>
        <w:tc>
          <w:tcPr>
            <w:tcW w:w="5115" w:type="dxa"/>
            <w:tcBorders>
              <w:top w:val="nil"/>
              <w:left w:val="nil"/>
              <w:bottom w:val="nil"/>
              <w:right w:val="nil"/>
              <w:tl2br w:val="nil"/>
              <w:tr2bl w:val="nil"/>
            </w:tcBorders>
            <w:tcMar>
              <w:left w:w="40" w:type="dxa"/>
              <w:right w:w="40" w:type="dxa"/>
            </w:tcMar>
            <w:vAlign w:val="bottom"/>
          </w:tcPr>
          <w:p w14:paraId="71F3F9F5" w14:textId="77777777" w:rsidR="00510CAA" w:rsidRDefault="003A4815">
            <w:pPr>
              <w:keepNext/>
              <w:rPr>
                <w:rFonts w:ascii="Arial" w:eastAsia="Arial" w:hAnsi="Arial" w:cs="Arial"/>
                <w:color w:val="000000"/>
                <w:sz w:val="18"/>
              </w:rPr>
            </w:pPr>
            <w:r>
              <w:rPr>
                <w:rFonts w:ascii="Arial" w:eastAsia="Arial" w:hAnsi="Arial" w:cs="Arial"/>
                <w:color w:val="000000"/>
                <w:sz w:val="18"/>
              </w:rPr>
              <w:t>*Less than 10%</w:t>
            </w:r>
          </w:p>
        </w:tc>
        <w:tc>
          <w:tcPr>
            <w:tcW w:w="180" w:type="dxa"/>
            <w:tcBorders>
              <w:top w:val="nil"/>
              <w:left w:val="nil"/>
              <w:bottom w:val="nil"/>
              <w:right w:val="nil"/>
              <w:tl2br w:val="nil"/>
              <w:tr2bl w:val="nil"/>
            </w:tcBorders>
            <w:tcMar>
              <w:left w:w="270" w:type="dxa"/>
              <w:right w:w="0" w:type="dxa"/>
            </w:tcMar>
          </w:tcPr>
          <w:p w14:paraId="71F3F9F6"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F7" w14:textId="77777777" w:rsidR="00510CAA" w:rsidRDefault="00510CAA">
            <w:pPr>
              <w:keepNext/>
              <w:jc w:val="righ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F8"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F9" w14:textId="77777777" w:rsidR="00510CAA" w:rsidRDefault="00510CAA">
            <w:pPr>
              <w:keepNext/>
              <w:rPr>
                <w:rFonts w:ascii="Arial" w:eastAsia="Arial" w:hAnsi="Arial" w:cs="Arial"/>
                <w:color w:val="000000"/>
                <w:sz w:val="20"/>
              </w:rPr>
            </w:pPr>
          </w:p>
        </w:tc>
        <w:tc>
          <w:tcPr>
            <w:tcW w:w="180" w:type="dxa"/>
            <w:tcBorders>
              <w:top w:val="nil"/>
              <w:left w:val="nil"/>
              <w:bottom w:val="nil"/>
              <w:right w:val="nil"/>
              <w:tl2br w:val="nil"/>
              <w:tr2bl w:val="nil"/>
            </w:tcBorders>
            <w:noWrap/>
            <w:tcMar>
              <w:left w:w="0" w:type="dxa"/>
              <w:right w:w="0" w:type="dxa"/>
            </w:tcMar>
            <w:vAlign w:val="bottom"/>
          </w:tcPr>
          <w:p w14:paraId="71F3F9FA" w14:textId="77777777" w:rsidR="00510CAA" w:rsidRDefault="00510CAA">
            <w:pPr>
              <w:keepNext/>
              <w:rPr>
                <w:rFonts w:ascii="Arial" w:eastAsia="Arial" w:hAnsi="Arial" w:cs="Arial"/>
                <w:color w:val="000000"/>
                <w:sz w:val="20"/>
              </w:rPr>
            </w:pPr>
          </w:p>
        </w:tc>
        <w:tc>
          <w:tcPr>
            <w:tcW w:w="1440" w:type="dxa"/>
            <w:tcBorders>
              <w:top w:val="nil"/>
              <w:left w:val="nil"/>
              <w:bottom w:val="nil"/>
              <w:right w:val="nil"/>
              <w:tl2br w:val="nil"/>
              <w:tr2bl w:val="nil"/>
            </w:tcBorders>
            <w:noWrap/>
            <w:tcMar>
              <w:left w:w="0" w:type="dxa"/>
              <w:right w:w="0" w:type="dxa"/>
            </w:tcMar>
            <w:vAlign w:val="bottom"/>
          </w:tcPr>
          <w:p w14:paraId="71F3F9FB" w14:textId="77777777" w:rsidR="00510CAA" w:rsidRDefault="00510CAA">
            <w:pPr>
              <w:keepNext/>
              <w:rPr>
                <w:rFonts w:ascii="Arial" w:eastAsia="Arial" w:hAnsi="Arial" w:cs="Arial"/>
                <w:color w:val="000000"/>
                <w:sz w:val="20"/>
              </w:rPr>
            </w:pPr>
          </w:p>
        </w:tc>
      </w:tr>
    </w:tbl>
    <w:p w14:paraId="71F3F9FD"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9FE" w14:textId="77777777" w:rsidR="005A67FA" w:rsidRPr="002156C2" w:rsidRDefault="003A4815" w:rsidP="005A67FA">
      <w:pPr>
        <w:pBdr>
          <w:top w:val="nil"/>
          <w:left w:val="nil"/>
          <w:bottom w:val="nil"/>
          <w:right w:val="nil"/>
          <w:between w:val="nil"/>
          <w:bar w:val="nil"/>
        </w:pBdr>
        <w:jc w:val="both"/>
        <w:rPr>
          <w:rFonts w:ascii="Arial" w:eastAsia="Arial" w:hAnsi="Arial" w:cs="Arial"/>
          <w:bdr w:val="nil"/>
          <w:lang w:val="en-US"/>
        </w:rPr>
      </w:pPr>
      <w:bookmarkStart w:id="883" w:name="RG_MARKER_23114"/>
      <w:bookmarkStart w:id="884" w:name="XBRL_TS_6c5f094e282a42928553a397b95f013d"/>
      <w:r w:rsidRPr="002156C2">
        <w:rPr>
          <w:rFonts w:ascii="Arial" w:eastAsia="Arial" w:hAnsi="Arial" w:cs="Arial"/>
          <w:szCs w:val="24"/>
          <w:lang w:val="en-US" w:bidi="en-US"/>
        </w:rPr>
        <w:t xml:space="preserve">The Company is exposed to interest rate </w:t>
      </w:r>
      <w:bookmarkEnd w:id="883"/>
      <w:r w:rsidR="00FC34F9">
        <w:rPr>
          <w:rFonts w:ascii="Arial" w:eastAsia="Arial" w:hAnsi="Arial" w:cs="Arial"/>
          <w:szCs w:val="24"/>
          <w:lang w:val="en-US" w:bidi="en-US"/>
        </w:rPr>
        <w:t xml:space="preserve">risk on its </w:t>
      </w:r>
      <w:r w:rsidRPr="002156C2">
        <w:rPr>
          <w:rFonts w:ascii="Arial" w:eastAsia="Arial" w:hAnsi="Arial" w:cs="Arial"/>
          <w:szCs w:val="24"/>
          <w:lang w:val="en-US" w:bidi="en-US"/>
        </w:rPr>
        <w:t>borrowings</w:t>
      </w:r>
      <w:r w:rsidR="00FC34F9">
        <w:rPr>
          <w:rFonts w:ascii="Arial" w:eastAsia="Arial" w:hAnsi="Arial" w:cs="Arial"/>
          <w:szCs w:val="24"/>
          <w:lang w:val="en-US" w:bidi="en-US"/>
        </w:rPr>
        <w:t xml:space="preserve"> with variable interest rates</w:t>
      </w:r>
      <w:r w:rsidRPr="002156C2">
        <w:rPr>
          <w:rFonts w:ascii="Arial" w:eastAsia="Arial" w:hAnsi="Arial" w:cs="Arial"/>
          <w:szCs w:val="24"/>
          <w:lang w:val="en-US" w:bidi="en-US"/>
        </w:rPr>
        <w:t>.</w:t>
      </w:r>
      <w:r w:rsidR="004C27B0">
        <w:rPr>
          <w:rFonts w:ascii="Arial" w:eastAsia="Arial" w:hAnsi="Arial" w:cs="Arial"/>
          <w:szCs w:val="24"/>
          <w:lang w:val="en-US" w:bidi="en-US"/>
        </w:rPr>
        <w:t xml:space="preserve"> </w:t>
      </w:r>
      <w:r w:rsidR="00FC34F9">
        <w:rPr>
          <w:rFonts w:ascii="Arial" w:eastAsia="Arial" w:hAnsi="Arial" w:cs="Arial"/>
          <w:szCs w:val="24"/>
          <w:lang w:val="en-US" w:bidi="en-US"/>
        </w:rPr>
        <w:t xml:space="preserve">This </w:t>
      </w:r>
      <w:r w:rsidR="004C27B0">
        <w:rPr>
          <w:rFonts w:ascii="Arial" w:eastAsia="Arial" w:hAnsi="Arial" w:cs="Arial"/>
          <w:szCs w:val="24"/>
          <w:lang w:val="en-US" w:bidi="en-US"/>
        </w:rPr>
        <w:t>exposure</w:t>
      </w:r>
      <w:r w:rsidRPr="002156C2">
        <w:rPr>
          <w:rFonts w:ascii="Arial" w:eastAsia="Arial" w:hAnsi="Arial" w:cs="Arial"/>
          <w:szCs w:val="24"/>
          <w:lang w:val="en-US" w:bidi="en-US"/>
        </w:rPr>
        <w:t xml:space="preserve"> </w:t>
      </w:r>
      <w:r>
        <w:rPr>
          <w:rFonts w:ascii="Arial" w:eastAsia="Arial" w:hAnsi="Arial" w:cs="Arial"/>
          <w:szCs w:val="24"/>
          <w:lang w:val="en-US" w:bidi="en-US"/>
        </w:rPr>
        <w:t xml:space="preserve">is </w:t>
      </w:r>
      <w:r w:rsidR="00FC34F9">
        <w:rPr>
          <w:rFonts w:ascii="Arial" w:eastAsia="Arial" w:hAnsi="Arial" w:cs="Arial"/>
          <w:szCs w:val="24"/>
          <w:lang w:val="en-US" w:bidi="en-US"/>
        </w:rPr>
        <w:t xml:space="preserve">partly mitigated through </w:t>
      </w:r>
      <w:r>
        <w:rPr>
          <w:rFonts w:ascii="Arial" w:eastAsia="Arial" w:hAnsi="Arial" w:cs="Arial"/>
          <w:szCs w:val="24"/>
          <w:lang w:val="en-US" w:bidi="en-US"/>
        </w:rPr>
        <w:t>fixed</w:t>
      </w:r>
      <w:r w:rsidR="00FC34F9">
        <w:rPr>
          <w:rFonts w:ascii="Arial" w:eastAsia="Arial" w:hAnsi="Arial" w:cs="Arial"/>
          <w:szCs w:val="24"/>
          <w:lang w:val="en-US" w:bidi="en-US"/>
        </w:rPr>
        <w:t>-rate</w:t>
      </w:r>
      <w:r>
        <w:rPr>
          <w:rFonts w:ascii="Arial" w:eastAsia="Arial" w:hAnsi="Arial" w:cs="Arial"/>
          <w:szCs w:val="24"/>
          <w:lang w:val="en-US" w:bidi="en-US"/>
        </w:rPr>
        <w:t xml:space="preserve"> indebtedness </w:t>
      </w:r>
      <w:r w:rsidR="00FC34F9">
        <w:rPr>
          <w:rFonts w:ascii="Arial" w:eastAsia="Arial" w:hAnsi="Arial" w:cs="Arial"/>
          <w:szCs w:val="24"/>
          <w:lang w:val="en-US" w:bidi="en-US"/>
        </w:rPr>
        <w:t>including the Company’s bond (Note 8)</w:t>
      </w:r>
      <w:r>
        <w:rPr>
          <w:rFonts w:ascii="Arial" w:eastAsia="Arial" w:hAnsi="Arial" w:cs="Arial"/>
          <w:szCs w:val="24"/>
          <w:lang w:val="en-US" w:bidi="en-US"/>
        </w:rPr>
        <w:t xml:space="preserve">, an interest rate swap with DNB (Note 8) and finance liabilities </w:t>
      </w:r>
      <w:r w:rsidR="00FC34F9">
        <w:rPr>
          <w:rFonts w:ascii="Arial" w:eastAsia="Arial" w:hAnsi="Arial" w:cs="Arial"/>
          <w:szCs w:val="24"/>
          <w:lang w:val="en-US" w:bidi="en-US"/>
        </w:rPr>
        <w:t>that bear</w:t>
      </w:r>
      <w:r>
        <w:rPr>
          <w:rFonts w:ascii="Arial" w:eastAsia="Arial" w:hAnsi="Arial" w:cs="Arial"/>
          <w:szCs w:val="24"/>
          <w:lang w:val="en-US" w:bidi="en-US"/>
        </w:rPr>
        <w:t xml:space="preserve"> fixed rates (Note 9).</w:t>
      </w:r>
    </w:p>
    <w:p w14:paraId="71F3F9FF" w14:textId="77777777" w:rsidR="003F70F3" w:rsidRPr="002156C2" w:rsidRDefault="003F70F3" w:rsidP="003F70F3">
      <w:pPr>
        <w:pBdr>
          <w:top w:val="nil"/>
          <w:left w:val="nil"/>
          <w:bottom w:val="nil"/>
          <w:right w:val="nil"/>
          <w:between w:val="nil"/>
          <w:bar w:val="nil"/>
        </w:pBdr>
        <w:jc w:val="both"/>
        <w:rPr>
          <w:rFonts w:ascii="Arial" w:eastAsia="Arial" w:hAnsi="Arial" w:cs="Arial"/>
          <w:bdr w:val="nil"/>
          <w:lang w:val="en-US"/>
        </w:rPr>
      </w:pPr>
    </w:p>
    <w:p w14:paraId="71F3FA00" w14:textId="77777777" w:rsidR="00CF790F" w:rsidRPr="00CF790F" w:rsidRDefault="003A4815" w:rsidP="00CF790F">
      <w:pPr>
        <w:keepNext/>
        <w:keepLines/>
        <w:pBdr>
          <w:top w:val="nil"/>
          <w:left w:val="nil"/>
          <w:bottom w:val="nil"/>
          <w:right w:val="nil"/>
          <w:between w:val="nil"/>
          <w:bar w:val="nil"/>
        </w:pBdr>
        <w:jc w:val="both"/>
        <w:rPr>
          <w:rFonts w:ascii="Arial" w:eastAsia="Arial" w:hAnsi="Arial" w:cs="Arial"/>
          <w:b/>
          <w:bCs/>
          <w:color w:val="000000"/>
          <w:bdr w:val="nil"/>
          <w:lang w:val="en-US"/>
        </w:rPr>
      </w:pPr>
      <w:r w:rsidRPr="00CF790F">
        <w:rPr>
          <w:rFonts w:ascii="Arial" w:eastAsia="Arial" w:hAnsi="Arial" w:cs="Arial"/>
          <w:b/>
          <w:bCs/>
          <w:color w:val="000000"/>
          <w:lang w:val="en-US"/>
        </w:rPr>
        <w:t>Fair value</w:t>
      </w:r>
      <w:r w:rsidR="00F373B2" w:rsidRPr="00CF790F">
        <w:rPr>
          <w:rFonts w:ascii="Arial" w:eastAsia="Arial" w:hAnsi="Arial" w:cs="Arial"/>
          <w:b/>
          <w:bCs/>
          <w:color w:val="000000"/>
          <w:lang w:val="en-US"/>
        </w:rPr>
        <w:t xml:space="preserve"> of assets and liabilities</w:t>
      </w:r>
    </w:p>
    <w:p w14:paraId="71F3FA01" w14:textId="77777777" w:rsidR="00CF790F" w:rsidRDefault="00CF790F" w:rsidP="00CF790F">
      <w:pPr>
        <w:keepNext/>
        <w:keepLines/>
        <w:pBdr>
          <w:top w:val="nil"/>
          <w:left w:val="nil"/>
          <w:bottom w:val="nil"/>
          <w:right w:val="nil"/>
          <w:between w:val="nil"/>
          <w:bar w:val="nil"/>
        </w:pBdr>
        <w:jc w:val="both"/>
        <w:rPr>
          <w:rFonts w:ascii="Arial" w:eastAsia="Arial" w:hAnsi="Arial" w:cs="Arial"/>
          <w:b/>
          <w:bCs/>
          <w:i/>
          <w:iCs/>
          <w:color w:val="000000"/>
          <w:bdr w:val="nil"/>
          <w:lang w:val="en-US"/>
        </w:rPr>
      </w:pPr>
    </w:p>
    <w:p w14:paraId="71F3FA02" w14:textId="77777777" w:rsidR="003F70F3" w:rsidRPr="002156C2" w:rsidRDefault="003A4815" w:rsidP="009C7494">
      <w:pPr>
        <w:pBdr>
          <w:top w:val="nil"/>
          <w:left w:val="nil"/>
          <w:bottom w:val="nil"/>
          <w:right w:val="nil"/>
          <w:between w:val="nil"/>
          <w:bar w:val="nil"/>
        </w:pBdr>
        <w:jc w:val="both"/>
        <w:rPr>
          <w:rFonts w:ascii="Arial" w:eastAsia="Arial" w:hAnsi="Arial" w:cs="Arial"/>
          <w:color w:val="000000"/>
          <w:bdr w:val="nil"/>
          <w:lang w:val="en-US"/>
        </w:rPr>
      </w:pPr>
      <w:r w:rsidRPr="002156C2">
        <w:rPr>
          <w:rFonts w:ascii="Arial" w:eastAsia="Arial" w:hAnsi="Arial" w:cs="Arial"/>
          <w:color w:val="000000"/>
          <w:lang w:val="en-US"/>
        </w:rPr>
        <w:t xml:space="preserve">The carrying </w:t>
      </w:r>
      <w:r w:rsidR="005A67FA" w:rsidRPr="002156C2">
        <w:rPr>
          <w:rFonts w:ascii="Arial" w:eastAsia="Arial" w:hAnsi="Arial" w:cs="Arial"/>
          <w:color w:val="000000"/>
          <w:lang w:val="en-US"/>
        </w:rPr>
        <w:t xml:space="preserve">values of financial assets </w:t>
      </w:r>
      <w:r w:rsidRPr="002156C2">
        <w:rPr>
          <w:rFonts w:ascii="Arial" w:eastAsia="Arial" w:hAnsi="Arial" w:cs="Arial"/>
          <w:color w:val="000000"/>
          <w:lang w:val="en-US"/>
        </w:rPr>
        <w:t xml:space="preserve">reflected in the accompanying consolidated balance sheet approximate their fair values due to the </w:t>
      </w:r>
      <w:r w:rsidR="005A67FA" w:rsidRPr="002156C2">
        <w:rPr>
          <w:rFonts w:ascii="Arial" w:eastAsia="Arial" w:hAnsi="Arial" w:cs="Arial"/>
          <w:color w:val="000000"/>
          <w:lang w:val="en-US"/>
        </w:rPr>
        <w:t xml:space="preserve">short-term nature </w:t>
      </w:r>
      <w:r w:rsidR="00FC34F9">
        <w:rPr>
          <w:rFonts w:ascii="Arial" w:eastAsia="Arial" w:hAnsi="Arial" w:cs="Arial"/>
          <w:color w:val="000000"/>
          <w:lang w:val="en-US"/>
        </w:rPr>
        <w:t xml:space="preserve">and high liquidity </w:t>
      </w:r>
      <w:r w:rsidR="005A67FA" w:rsidRPr="002156C2">
        <w:rPr>
          <w:rFonts w:ascii="Arial" w:eastAsia="Arial" w:hAnsi="Arial" w:cs="Arial"/>
          <w:color w:val="000000"/>
          <w:lang w:val="en-US"/>
        </w:rPr>
        <w:t>of these financial instruments</w:t>
      </w:r>
      <w:r w:rsidRPr="002156C2">
        <w:rPr>
          <w:rFonts w:ascii="Arial" w:eastAsia="Arial" w:hAnsi="Arial" w:cs="Arial"/>
          <w:color w:val="000000"/>
          <w:lang w:val="en-US"/>
        </w:rPr>
        <w:t>.</w:t>
      </w:r>
      <w:r>
        <w:rPr>
          <w:rFonts w:ascii="Arial" w:eastAsia="Arial" w:hAnsi="Arial" w:cs="Arial"/>
          <w:color w:val="000000"/>
          <w:lang w:val="en-US"/>
        </w:rPr>
        <w:t xml:space="preserve"> </w:t>
      </w:r>
      <w:r w:rsidRPr="006F3FAA">
        <w:rPr>
          <w:rFonts w:ascii="Arial" w:eastAsia="Arial" w:hAnsi="Arial" w:cs="Arial"/>
          <w:color w:val="000000"/>
          <w:lang w:val="en-US"/>
        </w:rPr>
        <w:t xml:space="preserve">Cash and cash equivalents and restricted cash are </w:t>
      </w:r>
      <w:r w:rsidR="00FC34F9">
        <w:rPr>
          <w:rFonts w:ascii="Arial" w:eastAsia="Arial" w:hAnsi="Arial" w:cs="Arial"/>
          <w:color w:val="000000"/>
          <w:lang w:val="en-US"/>
        </w:rPr>
        <w:t>classified as</w:t>
      </w:r>
      <w:r w:rsidRPr="006F3FAA">
        <w:rPr>
          <w:rFonts w:ascii="Arial" w:eastAsia="Arial" w:hAnsi="Arial" w:cs="Arial"/>
          <w:color w:val="000000"/>
          <w:lang w:val="en-US"/>
        </w:rPr>
        <w:t xml:space="preserve"> Level 1 </w:t>
      </w:r>
      <w:r w:rsidR="00FC34F9">
        <w:rPr>
          <w:rFonts w:ascii="Arial" w:eastAsia="Arial" w:hAnsi="Arial" w:cs="Arial"/>
          <w:color w:val="000000"/>
          <w:lang w:val="en-US"/>
        </w:rPr>
        <w:t xml:space="preserve">instruments </w:t>
      </w:r>
      <w:r w:rsidRPr="006F3FAA">
        <w:rPr>
          <w:rFonts w:ascii="Arial" w:eastAsia="Arial" w:hAnsi="Arial" w:cs="Arial"/>
          <w:color w:val="000000"/>
          <w:lang w:val="en-US"/>
        </w:rPr>
        <w:t>as they represent liquid assets with short-term maturities.</w:t>
      </w:r>
      <w:r w:rsidRPr="002156C2">
        <w:rPr>
          <w:rFonts w:ascii="Arial" w:eastAsia="Arial" w:hAnsi="Arial" w:cs="Arial"/>
          <w:color w:val="000000"/>
          <w:lang w:val="en-US"/>
        </w:rPr>
        <w:t xml:space="preserve"> The fair value of long-term bank loans with variable interest rates approximates the recorded values, </w:t>
      </w:r>
      <w:r w:rsidR="00773B43">
        <w:rPr>
          <w:rFonts w:ascii="Arial" w:eastAsia="Arial" w:hAnsi="Arial" w:cs="Arial"/>
          <w:color w:val="000000"/>
          <w:lang w:val="en-US"/>
        </w:rPr>
        <w:t>as their</w:t>
      </w:r>
      <w:r w:rsidRPr="002156C2">
        <w:rPr>
          <w:rFonts w:ascii="Arial" w:eastAsia="Arial" w:hAnsi="Arial" w:cs="Arial"/>
          <w:color w:val="000000"/>
          <w:lang w:val="en-US"/>
        </w:rPr>
        <w:t xml:space="preserve"> interest rates</w:t>
      </w:r>
      <w:r w:rsidR="00773B43">
        <w:rPr>
          <w:rFonts w:ascii="Arial" w:eastAsia="Arial" w:hAnsi="Arial" w:cs="Arial"/>
          <w:color w:val="000000"/>
          <w:lang w:val="en-US"/>
        </w:rPr>
        <w:t xml:space="preserve"> adjust to market-observable rates. These instruments are classified within Level 2 of the fair value hierarchy</w:t>
      </w:r>
      <w:r w:rsidRPr="002156C2">
        <w:rPr>
          <w:rFonts w:ascii="Arial" w:eastAsia="Arial" w:hAnsi="Arial" w:cs="Arial"/>
          <w:color w:val="000000"/>
          <w:lang w:val="en-US"/>
        </w:rPr>
        <w:t>.</w:t>
      </w:r>
      <w:r w:rsidR="00342E77">
        <w:rPr>
          <w:rFonts w:ascii="Arial" w:eastAsia="Arial" w:hAnsi="Arial" w:cs="Arial"/>
          <w:color w:val="000000"/>
          <w:lang w:val="en-US"/>
        </w:rPr>
        <w:t xml:space="preserve"> As of December 31, 2025, </w:t>
      </w:r>
      <w:r w:rsidR="009D7BD0">
        <w:rPr>
          <w:rFonts w:ascii="Arial" w:eastAsia="Arial" w:hAnsi="Arial" w:cs="Arial"/>
          <w:color w:val="000000"/>
          <w:lang w:val="en-US"/>
        </w:rPr>
        <w:t>the Company’s</w:t>
      </w:r>
      <w:r w:rsidR="00342E77">
        <w:rPr>
          <w:rFonts w:ascii="Arial" w:eastAsia="Arial" w:hAnsi="Arial" w:cs="Arial"/>
          <w:color w:val="000000"/>
          <w:lang w:val="en-US"/>
        </w:rPr>
        <w:t xml:space="preserve"> lease liabilities had </w:t>
      </w:r>
      <w:r w:rsidR="004234A9">
        <w:rPr>
          <w:rFonts w:ascii="Arial" w:eastAsia="Arial" w:hAnsi="Arial" w:cs="Arial"/>
          <w:color w:val="000000"/>
          <w:lang w:val="en-US"/>
        </w:rPr>
        <w:t>a carrying value of $</w:t>
      </w:r>
      <w:bookmarkStart w:id="885" w:name="XBRL_CS_bf4b2e78a15748788d4b3ee7927432ad"/>
      <w:r w:rsidR="004234A9">
        <w:rPr>
          <w:rFonts w:ascii="Arial" w:eastAsia="Arial" w:hAnsi="Arial" w:cs="Arial"/>
          <w:color w:val="000000"/>
          <w:lang w:val="en-US"/>
        </w:rPr>
        <w:t>114,092</w:t>
      </w:r>
      <w:bookmarkEnd w:id="885"/>
      <w:r w:rsidR="00C80060">
        <w:rPr>
          <w:rFonts w:ascii="Arial" w:eastAsia="Arial" w:hAnsi="Arial" w:cs="Arial"/>
          <w:color w:val="000000"/>
          <w:lang w:val="en-US"/>
        </w:rPr>
        <w:t xml:space="preserve"> (Note 9)</w:t>
      </w:r>
      <w:r w:rsidR="004234A9">
        <w:rPr>
          <w:rFonts w:ascii="Arial" w:eastAsia="Arial" w:hAnsi="Arial" w:cs="Arial"/>
          <w:color w:val="000000"/>
          <w:lang w:val="en-US"/>
        </w:rPr>
        <w:t xml:space="preserve"> and </w:t>
      </w:r>
      <w:r w:rsidR="00342E77">
        <w:rPr>
          <w:rFonts w:ascii="Arial" w:eastAsia="Arial" w:hAnsi="Arial" w:cs="Arial"/>
          <w:color w:val="000000"/>
          <w:lang w:val="en-US"/>
        </w:rPr>
        <w:t>a fair value of $</w:t>
      </w:r>
      <w:bookmarkStart w:id="886" w:name="XBRL_CS_8244bc4f13054dc98ff38ce9ed4535d9"/>
      <w:r w:rsidR="00342E77">
        <w:rPr>
          <w:rFonts w:ascii="Arial" w:eastAsia="Arial" w:hAnsi="Arial" w:cs="Arial"/>
          <w:color w:val="000000"/>
          <w:lang w:val="en-US"/>
        </w:rPr>
        <w:t>109,939</w:t>
      </w:r>
      <w:bookmarkEnd w:id="886"/>
      <w:r w:rsidR="00342E77">
        <w:rPr>
          <w:rFonts w:ascii="Arial" w:eastAsia="Arial" w:hAnsi="Arial" w:cs="Arial"/>
          <w:color w:val="000000"/>
          <w:lang w:val="en-US"/>
        </w:rPr>
        <w:t>.</w:t>
      </w:r>
      <w:r w:rsidRPr="002156C2">
        <w:rPr>
          <w:rFonts w:ascii="Arial" w:eastAsia="Arial" w:hAnsi="Arial" w:cs="Arial"/>
          <w:color w:val="000000"/>
          <w:lang w:val="en-US"/>
        </w:rPr>
        <w:t xml:space="preserve"> </w:t>
      </w:r>
    </w:p>
    <w:p w14:paraId="71F3FA03" w14:textId="77777777" w:rsidR="00592ED7" w:rsidRPr="002156C2" w:rsidRDefault="00592ED7" w:rsidP="00592ED7">
      <w:pPr>
        <w:pBdr>
          <w:top w:val="nil"/>
          <w:left w:val="nil"/>
          <w:bottom w:val="nil"/>
          <w:right w:val="nil"/>
          <w:between w:val="nil"/>
          <w:bar w:val="nil"/>
        </w:pBdr>
        <w:jc w:val="both"/>
        <w:rPr>
          <w:rFonts w:ascii="Arial" w:eastAsia="Arial" w:hAnsi="Arial" w:cs="Arial"/>
          <w:bdr w:val="nil"/>
          <w:lang w:val="en-US"/>
        </w:rPr>
      </w:pPr>
    </w:p>
    <w:p w14:paraId="71F3FA04" w14:textId="77777777" w:rsidR="00592ED7" w:rsidRPr="00CF790F" w:rsidRDefault="003A4815" w:rsidP="00CF790F">
      <w:pPr>
        <w:keepNext/>
        <w:keepLines/>
        <w:pBdr>
          <w:top w:val="nil"/>
          <w:left w:val="nil"/>
          <w:bottom w:val="nil"/>
          <w:right w:val="nil"/>
          <w:between w:val="nil"/>
          <w:bar w:val="nil"/>
        </w:pBdr>
        <w:tabs>
          <w:tab w:val="left" w:pos="3606"/>
        </w:tabs>
        <w:jc w:val="both"/>
        <w:rPr>
          <w:rFonts w:ascii="Arial" w:eastAsia="Arial" w:hAnsi="Arial" w:cs="Arial"/>
          <w:b/>
          <w:iCs/>
          <w:bdr w:val="nil"/>
          <w:lang w:val="en-US"/>
        </w:rPr>
      </w:pPr>
      <w:r w:rsidRPr="00CF790F">
        <w:rPr>
          <w:rFonts w:ascii="Arial" w:eastAsia="Arial" w:hAnsi="Arial" w:cs="Arial"/>
          <w:b/>
          <w:iCs/>
          <w:szCs w:val="24"/>
          <w:bdr w:val="none" w:sz="0" w:space="0" w:color="auto" w:frame="1"/>
          <w:lang w:val="en-US" w:bidi="en-US"/>
        </w:rPr>
        <w:t>Fair value measurements disclosed</w:t>
      </w:r>
      <w:r w:rsidRPr="00CF790F">
        <w:rPr>
          <w:rFonts w:ascii="Arial" w:eastAsia="Arial" w:hAnsi="Arial" w:cs="Arial"/>
          <w:b/>
          <w:iCs/>
          <w:szCs w:val="24"/>
          <w:bdr w:val="none" w:sz="0" w:space="0" w:color="auto" w:frame="1"/>
          <w:lang w:val="en-US" w:bidi="en-US"/>
        </w:rPr>
        <w:tab/>
      </w:r>
    </w:p>
    <w:p w14:paraId="71F3FA05" w14:textId="77777777" w:rsidR="002156C2" w:rsidRDefault="002156C2" w:rsidP="00CF790F">
      <w:pPr>
        <w:keepNext/>
        <w:keepLines/>
        <w:pBdr>
          <w:top w:val="nil"/>
          <w:left w:val="nil"/>
          <w:bottom w:val="nil"/>
          <w:right w:val="nil"/>
          <w:between w:val="nil"/>
          <w:bar w:val="nil"/>
        </w:pBdr>
        <w:jc w:val="both"/>
        <w:rPr>
          <w:rFonts w:ascii="Arial" w:eastAsia="Arial" w:hAnsi="Arial" w:cs="Arial"/>
          <w:bdr w:val="nil"/>
          <w:lang w:val="en-US"/>
        </w:rPr>
      </w:pPr>
    </w:p>
    <w:p w14:paraId="71F3FA06" w14:textId="77777777" w:rsidR="009C27AE" w:rsidRPr="002156C2" w:rsidRDefault="003A4815" w:rsidP="009C27AE">
      <w:pPr>
        <w:pBdr>
          <w:top w:val="nil"/>
          <w:left w:val="nil"/>
          <w:bottom w:val="nil"/>
          <w:right w:val="nil"/>
          <w:between w:val="nil"/>
          <w:bar w:val="nil"/>
        </w:pBdr>
        <w:jc w:val="both"/>
        <w:rPr>
          <w:rFonts w:ascii="Arial" w:eastAsia="Arial" w:hAnsi="Arial" w:cs="Arial"/>
          <w:bdr w:val="nil"/>
          <w:lang w:val="en-US"/>
        </w:rPr>
      </w:pPr>
      <w:r w:rsidRPr="002156C2">
        <w:rPr>
          <w:rFonts w:ascii="Arial" w:eastAsia="Arial" w:hAnsi="Arial" w:cs="Arial"/>
          <w:szCs w:val="24"/>
          <w:lang w:val="en-US" w:bidi="en-US"/>
        </w:rPr>
        <w:t xml:space="preserve">As of December 31, 2025, </w:t>
      </w:r>
      <w:r w:rsidR="00F373B2" w:rsidRPr="002156C2">
        <w:rPr>
          <w:rFonts w:ascii="Arial" w:eastAsia="Arial" w:hAnsi="Arial" w:cs="Arial"/>
          <w:szCs w:val="24"/>
          <w:lang w:val="en-US" w:bidi="en-US"/>
        </w:rPr>
        <w:t xml:space="preserve">the </w:t>
      </w:r>
      <w:r w:rsidRPr="002156C2">
        <w:rPr>
          <w:rFonts w:ascii="Arial" w:eastAsia="Arial" w:hAnsi="Arial" w:cs="Arial"/>
          <w:szCs w:val="24"/>
          <w:lang w:val="en-US" w:bidi="en-US"/>
        </w:rPr>
        <w:t xml:space="preserve">Bond </w:t>
      </w:r>
      <w:r w:rsidR="00773B43">
        <w:rPr>
          <w:rFonts w:ascii="Arial" w:eastAsia="Arial" w:hAnsi="Arial" w:cs="Arial"/>
          <w:szCs w:val="24"/>
          <w:lang w:val="en-US" w:bidi="en-US"/>
        </w:rPr>
        <w:t>which bears</w:t>
      </w:r>
      <w:r w:rsidRPr="002156C2">
        <w:rPr>
          <w:rFonts w:ascii="Arial" w:eastAsia="Arial" w:hAnsi="Arial" w:cs="Arial"/>
          <w:szCs w:val="24"/>
          <w:lang w:val="en-US" w:bidi="en-US"/>
        </w:rPr>
        <w:t xml:space="preserve"> a fixed interest rate and </w:t>
      </w:r>
      <w:r w:rsidR="00773B43">
        <w:rPr>
          <w:rFonts w:ascii="Arial" w:eastAsia="Arial" w:hAnsi="Arial" w:cs="Arial"/>
          <w:szCs w:val="24"/>
          <w:lang w:val="en-US" w:bidi="en-US"/>
        </w:rPr>
        <w:t xml:space="preserve">had </w:t>
      </w:r>
      <w:r w:rsidRPr="002156C2">
        <w:rPr>
          <w:rFonts w:ascii="Arial" w:eastAsia="Arial" w:hAnsi="Arial" w:cs="Arial"/>
          <w:szCs w:val="24"/>
          <w:lang w:val="en-US" w:bidi="en-US"/>
        </w:rPr>
        <w:t>a carrying value of $</w:t>
      </w:r>
      <w:bookmarkStart w:id="887" w:name="XBRL_CS_103093854e014d9f8e7f90abdbe32ca6"/>
      <w:r>
        <w:rPr>
          <w:rFonts w:ascii="Arial" w:eastAsia="Arial" w:hAnsi="Arial" w:cs="Arial"/>
          <w:szCs w:val="24"/>
          <w:lang w:val="en-US" w:bidi="en-US"/>
        </w:rPr>
        <w:t>175,000</w:t>
      </w:r>
      <w:bookmarkEnd w:id="887"/>
      <w:r w:rsidRPr="002156C2">
        <w:rPr>
          <w:rFonts w:ascii="Arial" w:eastAsia="Arial" w:hAnsi="Arial" w:cs="Arial"/>
          <w:szCs w:val="24"/>
          <w:lang w:val="en-US" w:bidi="en-US"/>
        </w:rPr>
        <w:t xml:space="preserve"> (Note 8)</w:t>
      </w:r>
      <w:r w:rsidR="00D345B8">
        <w:rPr>
          <w:rFonts w:ascii="Arial" w:eastAsia="Arial" w:hAnsi="Arial" w:cs="Arial"/>
          <w:szCs w:val="24"/>
          <w:lang w:val="en-US" w:bidi="en-US"/>
        </w:rPr>
        <w:t>,</w:t>
      </w:r>
      <w:r w:rsidRPr="002156C2">
        <w:rPr>
          <w:rFonts w:ascii="Arial" w:eastAsia="Arial" w:hAnsi="Arial" w:cs="Arial"/>
          <w:szCs w:val="24"/>
          <w:lang w:val="en-US" w:bidi="en-US"/>
        </w:rPr>
        <w:t xml:space="preserve"> had a fair value of $</w:t>
      </w:r>
      <w:bookmarkStart w:id="888" w:name="XBRL_CS_2b3a651e1a66439295f99e5b7c510be6"/>
      <w:r w:rsidRPr="002156C2">
        <w:rPr>
          <w:rFonts w:ascii="Arial" w:eastAsia="Arial" w:hAnsi="Arial" w:cs="Arial"/>
          <w:szCs w:val="24"/>
          <w:lang w:val="en-US" w:bidi="en-US"/>
        </w:rPr>
        <w:t>180,906</w:t>
      </w:r>
      <w:bookmarkEnd w:id="888"/>
      <w:r w:rsidRPr="002156C2">
        <w:rPr>
          <w:rFonts w:ascii="Arial" w:eastAsia="Arial" w:hAnsi="Arial" w:cs="Arial"/>
          <w:szCs w:val="24"/>
          <w:lang w:val="en-US" w:bidi="en-US"/>
        </w:rPr>
        <w:t xml:space="preserve"> determined </w:t>
      </w:r>
      <w:r w:rsidR="00773B43">
        <w:rPr>
          <w:rFonts w:ascii="Arial" w:eastAsia="Arial" w:hAnsi="Arial" w:cs="Arial"/>
          <w:szCs w:val="24"/>
          <w:lang w:val="en-US" w:bidi="en-US"/>
        </w:rPr>
        <w:t xml:space="preserve">using </w:t>
      </w:r>
      <w:r w:rsidRPr="002156C2">
        <w:rPr>
          <w:rFonts w:ascii="Arial" w:eastAsia="Arial" w:hAnsi="Arial" w:cs="Arial"/>
          <w:szCs w:val="24"/>
          <w:lang w:val="en-US" w:bidi="en-US"/>
        </w:rPr>
        <w:t>Level 1 input</w:t>
      </w:r>
      <w:r w:rsidR="00773B43">
        <w:rPr>
          <w:rFonts w:ascii="Arial" w:eastAsia="Arial" w:hAnsi="Arial" w:cs="Arial"/>
          <w:szCs w:val="24"/>
          <w:lang w:val="en-US" w:bidi="en-US"/>
        </w:rPr>
        <w:t>s</w:t>
      </w:r>
      <w:r w:rsidR="00B86CAD">
        <w:rPr>
          <w:rFonts w:ascii="Arial" w:eastAsia="Arial" w:hAnsi="Arial" w:cs="Arial"/>
          <w:szCs w:val="24"/>
          <w:lang w:val="en-US" w:bidi="en-US"/>
        </w:rPr>
        <w:t xml:space="preserve"> of the fair value hierarchy</w:t>
      </w:r>
      <w:r w:rsidRPr="002156C2">
        <w:rPr>
          <w:rFonts w:ascii="Arial" w:eastAsia="Arial" w:hAnsi="Arial" w:cs="Arial"/>
          <w:szCs w:val="24"/>
          <w:lang w:val="en-US" w:bidi="en-US"/>
        </w:rPr>
        <w:t>.</w:t>
      </w:r>
    </w:p>
    <w:p w14:paraId="71F3FA07" w14:textId="77777777" w:rsidR="00A511DE" w:rsidRDefault="00A511DE" w:rsidP="009C27AE">
      <w:pPr>
        <w:pBdr>
          <w:top w:val="nil"/>
          <w:left w:val="nil"/>
          <w:bottom w:val="nil"/>
          <w:right w:val="nil"/>
          <w:between w:val="nil"/>
          <w:bar w:val="nil"/>
        </w:pBdr>
        <w:jc w:val="both"/>
        <w:rPr>
          <w:rFonts w:ascii="Arial" w:eastAsia="Arial" w:hAnsi="Arial" w:cs="Arial"/>
          <w:bdr w:val="nil"/>
          <w:lang w:val="en-US"/>
        </w:rPr>
      </w:pPr>
    </w:p>
    <w:p w14:paraId="71F3FA08" w14:textId="77777777" w:rsidR="00A511DE" w:rsidRPr="00CF790F" w:rsidRDefault="003A4815" w:rsidP="00CF790F">
      <w:pPr>
        <w:keepNext/>
        <w:keepLines/>
        <w:pBdr>
          <w:top w:val="nil"/>
          <w:left w:val="nil"/>
          <w:bottom w:val="nil"/>
          <w:right w:val="nil"/>
          <w:between w:val="nil"/>
          <w:bar w:val="nil"/>
        </w:pBdr>
        <w:tabs>
          <w:tab w:val="left" w:pos="3606"/>
        </w:tabs>
        <w:jc w:val="both"/>
        <w:rPr>
          <w:rFonts w:ascii="Arial" w:eastAsia="Arial" w:hAnsi="Arial" w:cs="Arial"/>
          <w:b/>
          <w:iCs/>
          <w:sz w:val="24"/>
          <w:bdr w:val="nil"/>
          <w:lang w:val="en-US"/>
        </w:rPr>
      </w:pPr>
      <w:r w:rsidRPr="00CF790F">
        <w:rPr>
          <w:rFonts w:ascii="Arial" w:eastAsia="Arial" w:hAnsi="Arial" w:cs="Arial"/>
          <w:b/>
          <w:iCs/>
          <w:szCs w:val="24"/>
          <w:bdr w:val="none" w:sz="0" w:space="0" w:color="auto" w:frame="1"/>
          <w:lang w:val="en-US" w:bidi="en-US"/>
        </w:rPr>
        <w:t xml:space="preserve">Other Fair value measurements </w:t>
      </w:r>
    </w:p>
    <w:bookmarkEnd w:id="884"/>
    <w:p w14:paraId="71F3FA09" w14:textId="77777777" w:rsidR="00A511DE" w:rsidRPr="002156C2" w:rsidRDefault="00A511DE" w:rsidP="00CF790F">
      <w:pPr>
        <w:keepNext/>
        <w:keepLines/>
        <w:pBdr>
          <w:top w:val="nil"/>
          <w:left w:val="nil"/>
          <w:bottom w:val="nil"/>
          <w:right w:val="nil"/>
          <w:between w:val="nil"/>
          <w:bar w:val="nil"/>
        </w:pBdr>
        <w:jc w:val="both"/>
        <w:rPr>
          <w:rFonts w:ascii="Arial" w:eastAsia="Arial" w:hAnsi="Arial" w:cs="Arial"/>
          <w:bdr w:val="nil"/>
          <w:lang w:val="en-US"/>
        </w:rPr>
      </w:pPr>
    </w:p>
    <w:tbl>
      <w:tblPr>
        <w:tblStyle w:val="CDMRange1"/>
        <w:tblW w:w="10395" w:type="dxa"/>
        <w:tblLayout w:type="fixed"/>
        <w:tblLook w:val="0600" w:firstRow="0" w:lastRow="0" w:firstColumn="0" w:lastColumn="0" w:noHBand="1" w:noVBand="1"/>
      </w:tblPr>
      <w:tblGrid>
        <w:gridCol w:w="3945"/>
        <w:gridCol w:w="180"/>
        <w:gridCol w:w="1350"/>
        <w:gridCol w:w="180"/>
        <w:gridCol w:w="1440"/>
        <w:gridCol w:w="180"/>
        <w:gridCol w:w="1440"/>
        <w:gridCol w:w="240"/>
        <w:gridCol w:w="1440"/>
      </w:tblGrid>
      <w:tr w:rsidR="00510CAA" w14:paraId="71F3FA14" w14:textId="77777777">
        <w:trPr>
          <w:cantSplit/>
          <w:trHeight w:hRule="exact" w:val="960"/>
        </w:trPr>
        <w:tc>
          <w:tcPr>
            <w:tcW w:w="3945" w:type="dxa"/>
            <w:tcBorders>
              <w:top w:val="nil"/>
              <w:left w:val="nil"/>
              <w:bottom w:val="single" w:sz="4" w:space="0" w:color="000000"/>
              <w:right w:val="nil"/>
              <w:tl2br w:val="nil"/>
              <w:tr2bl w:val="nil"/>
            </w:tcBorders>
            <w:noWrap/>
            <w:tcMar>
              <w:left w:w="0" w:type="dxa"/>
              <w:right w:w="0" w:type="dxa"/>
            </w:tcMar>
            <w:vAlign w:val="bottom"/>
          </w:tcPr>
          <w:p w14:paraId="71F3FA0A" w14:textId="77777777" w:rsidR="00510CAA" w:rsidRDefault="00510CAA">
            <w:pPr>
              <w:keepNext/>
              <w:rPr>
                <w:rFonts w:ascii="Arial" w:eastAsia="Arial" w:hAnsi="Arial" w:cs="Arial"/>
                <w:b/>
                <w:color w:val="000000"/>
                <w:sz w:val="18"/>
              </w:rPr>
            </w:pPr>
            <w:bookmarkStart w:id="889" w:name="RG_MARKER_23198"/>
            <w:bookmarkEnd w:id="889"/>
          </w:p>
        </w:tc>
        <w:tc>
          <w:tcPr>
            <w:tcW w:w="180" w:type="dxa"/>
            <w:tcBorders>
              <w:top w:val="nil"/>
              <w:left w:val="nil"/>
              <w:bottom w:val="nil"/>
              <w:right w:val="nil"/>
              <w:tl2br w:val="nil"/>
              <w:tr2bl w:val="nil"/>
            </w:tcBorders>
            <w:noWrap/>
            <w:tcMar>
              <w:left w:w="0" w:type="dxa"/>
              <w:right w:w="0" w:type="dxa"/>
            </w:tcMar>
            <w:vAlign w:val="bottom"/>
          </w:tcPr>
          <w:p w14:paraId="71F3FA0B" w14:textId="77777777" w:rsidR="00510CAA" w:rsidRDefault="00510CAA">
            <w:pPr>
              <w:keepNext/>
              <w:rPr>
                <w:rFonts w:ascii="Arial" w:eastAsia="Arial" w:hAnsi="Arial" w:cs="Arial"/>
                <w:b/>
                <w:color w:val="000000"/>
                <w:sz w:val="18"/>
              </w:rPr>
            </w:pPr>
          </w:p>
        </w:tc>
        <w:tc>
          <w:tcPr>
            <w:tcW w:w="1350" w:type="dxa"/>
            <w:tcBorders>
              <w:top w:val="nil"/>
              <w:left w:val="nil"/>
              <w:bottom w:val="single" w:sz="4" w:space="0" w:color="000000"/>
              <w:right w:val="nil"/>
              <w:tl2br w:val="nil"/>
              <w:tr2bl w:val="nil"/>
            </w:tcBorders>
            <w:tcMar>
              <w:left w:w="40" w:type="dxa"/>
              <w:right w:w="40" w:type="dxa"/>
            </w:tcMar>
            <w:vAlign w:val="bottom"/>
          </w:tcPr>
          <w:p w14:paraId="71F3FA0C"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December 31, 2024</w:t>
            </w:r>
          </w:p>
        </w:tc>
        <w:tc>
          <w:tcPr>
            <w:tcW w:w="180" w:type="dxa"/>
            <w:tcBorders>
              <w:top w:val="nil"/>
              <w:left w:val="nil"/>
              <w:bottom w:val="nil"/>
              <w:right w:val="nil"/>
              <w:tl2br w:val="nil"/>
              <w:tr2bl w:val="nil"/>
            </w:tcBorders>
            <w:tcMar>
              <w:left w:w="0" w:type="dxa"/>
              <w:right w:w="0" w:type="dxa"/>
            </w:tcMar>
            <w:vAlign w:val="bottom"/>
          </w:tcPr>
          <w:p w14:paraId="71F3FA0D"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0E"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Quoted Prices in Active Markets</w:t>
            </w:r>
          </w:p>
          <w:p w14:paraId="71F3FA0F"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(Level 1)</w:t>
            </w:r>
          </w:p>
        </w:tc>
        <w:tc>
          <w:tcPr>
            <w:tcW w:w="180" w:type="dxa"/>
            <w:tcBorders>
              <w:top w:val="nil"/>
              <w:left w:val="nil"/>
              <w:bottom w:val="nil"/>
              <w:right w:val="nil"/>
              <w:tl2br w:val="nil"/>
              <w:tr2bl w:val="nil"/>
            </w:tcBorders>
            <w:tcMar>
              <w:left w:w="0" w:type="dxa"/>
              <w:right w:w="0" w:type="dxa"/>
            </w:tcMar>
            <w:vAlign w:val="bottom"/>
          </w:tcPr>
          <w:p w14:paraId="71F3FA10"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11"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Significant Other Observable Inputs (Level 2)</w:t>
            </w:r>
          </w:p>
        </w:tc>
        <w:tc>
          <w:tcPr>
            <w:tcW w:w="240" w:type="dxa"/>
            <w:tcBorders>
              <w:top w:val="nil"/>
              <w:left w:val="nil"/>
              <w:bottom w:val="single" w:sz="4" w:space="0" w:color="000000"/>
              <w:right w:val="nil"/>
              <w:tl2br w:val="nil"/>
              <w:tr2bl w:val="nil"/>
            </w:tcBorders>
            <w:tcMar>
              <w:left w:w="0" w:type="dxa"/>
              <w:right w:w="0" w:type="dxa"/>
            </w:tcMar>
            <w:vAlign w:val="bottom"/>
          </w:tcPr>
          <w:p w14:paraId="71F3FA12"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13"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Significant Other Observable Inputs (Level 3)</w:t>
            </w:r>
          </w:p>
        </w:tc>
      </w:tr>
      <w:tr w:rsidR="00510CAA" w14:paraId="71F3FA1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nil"/>
              <w:right w:val="nil"/>
              <w:tl2br w:val="nil"/>
              <w:tr2bl w:val="nil"/>
            </w:tcBorders>
            <w:noWrap/>
            <w:tcMar>
              <w:left w:w="40" w:type="dxa"/>
              <w:right w:w="40" w:type="dxa"/>
            </w:tcMar>
            <w:vAlign w:val="bottom"/>
          </w:tcPr>
          <w:p w14:paraId="71F3FA15" w14:textId="77777777" w:rsidR="00510CAA" w:rsidRDefault="003A4815">
            <w:pPr>
              <w:keepNext/>
              <w:rPr>
                <w:rFonts w:ascii="Arial" w:eastAsia="Arial" w:hAnsi="Arial" w:cs="Arial"/>
                <w:b/>
                <w:color w:val="000000"/>
                <w:sz w:val="18"/>
              </w:rPr>
            </w:pPr>
            <w:r>
              <w:rPr>
                <w:rFonts w:ascii="Arial" w:eastAsia="Arial" w:hAnsi="Arial" w:cs="Arial"/>
                <w:b/>
                <w:color w:val="000000"/>
                <w:sz w:val="18"/>
              </w:rPr>
              <w:t>Assets</w:t>
            </w:r>
          </w:p>
        </w:tc>
        <w:tc>
          <w:tcPr>
            <w:tcW w:w="180" w:type="dxa"/>
            <w:tcBorders>
              <w:top w:val="nil"/>
              <w:left w:val="nil"/>
              <w:bottom w:val="nil"/>
              <w:right w:val="nil"/>
              <w:tl2br w:val="nil"/>
              <w:tr2bl w:val="nil"/>
            </w:tcBorders>
            <w:noWrap/>
            <w:tcMar>
              <w:left w:w="0" w:type="dxa"/>
              <w:right w:w="0" w:type="dxa"/>
            </w:tcMar>
            <w:vAlign w:val="bottom"/>
          </w:tcPr>
          <w:p w14:paraId="71F3FA16" w14:textId="77777777" w:rsidR="00510CAA" w:rsidRDefault="00510CAA">
            <w:pPr>
              <w:keepNext/>
              <w:rPr>
                <w:rFonts w:ascii="Arial" w:eastAsia="Arial" w:hAnsi="Arial" w:cs="Arial"/>
                <w:b/>
                <w:color w:val="000000"/>
                <w:sz w:val="18"/>
              </w:rPr>
            </w:pPr>
          </w:p>
        </w:tc>
        <w:tc>
          <w:tcPr>
            <w:tcW w:w="1350" w:type="dxa"/>
            <w:tcBorders>
              <w:top w:val="single" w:sz="4" w:space="0" w:color="000000"/>
              <w:left w:val="nil"/>
              <w:bottom w:val="nil"/>
              <w:right w:val="nil"/>
              <w:tl2br w:val="nil"/>
              <w:tr2bl w:val="nil"/>
            </w:tcBorders>
            <w:noWrap/>
            <w:tcMar>
              <w:left w:w="0" w:type="dxa"/>
              <w:right w:w="0" w:type="dxa"/>
            </w:tcMar>
            <w:vAlign w:val="bottom"/>
          </w:tcPr>
          <w:p w14:paraId="71F3FA17"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18"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19"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1A"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1B" w14:textId="77777777" w:rsidR="00510CAA" w:rsidRDefault="00510CAA">
            <w:pPr>
              <w:keepNext/>
              <w:rPr>
                <w:rFonts w:ascii="Arial" w:eastAsia="Arial" w:hAnsi="Arial" w:cs="Arial"/>
                <w:color w:val="000000"/>
                <w:sz w:val="18"/>
              </w:rPr>
            </w:pPr>
          </w:p>
        </w:tc>
        <w:tc>
          <w:tcPr>
            <w:tcW w:w="240" w:type="dxa"/>
            <w:tcBorders>
              <w:top w:val="single" w:sz="4" w:space="0" w:color="000000"/>
              <w:left w:val="nil"/>
              <w:bottom w:val="nil"/>
              <w:right w:val="nil"/>
              <w:tl2br w:val="nil"/>
              <w:tr2bl w:val="nil"/>
            </w:tcBorders>
            <w:noWrap/>
            <w:tcMar>
              <w:left w:w="0" w:type="dxa"/>
              <w:right w:w="0" w:type="dxa"/>
            </w:tcMar>
            <w:vAlign w:val="bottom"/>
          </w:tcPr>
          <w:p w14:paraId="71F3FA1C"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1D" w14:textId="77777777" w:rsidR="00510CAA" w:rsidRDefault="00510CAA">
            <w:pPr>
              <w:keepNext/>
              <w:rPr>
                <w:rFonts w:ascii="Arial" w:eastAsia="Arial" w:hAnsi="Arial" w:cs="Arial"/>
                <w:color w:val="000000"/>
                <w:sz w:val="18"/>
              </w:rPr>
            </w:pPr>
          </w:p>
        </w:tc>
      </w:tr>
      <w:tr w:rsidR="00510CAA" w14:paraId="71F3FA2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1F" w14:textId="77777777" w:rsidR="00510CAA" w:rsidRDefault="003A4815">
            <w:pPr>
              <w:keepNext/>
              <w:rPr>
                <w:rFonts w:ascii="Arial" w:eastAsia="Arial" w:hAnsi="Arial" w:cs="Arial"/>
                <w:b/>
                <w:color w:val="000000"/>
                <w:sz w:val="18"/>
              </w:rPr>
            </w:pPr>
            <w:r>
              <w:rPr>
                <w:rFonts w:ascii="Arial" w:eastAsia="Arial" w:hAnsi="Arial" w:cs="Arial"/>
                <w:b/>
                <w:color w:val="000000"/>
                <w:sz w:val="18"/>
              </w:rPr>
              <w:t>Recurring fair value measurements</w:t>
            </w:r>
          </w:p>
        </w:tc>
        <w:tc>
          <w:tcPr>
            <w:tcW w:w="180" w:type="dxa"/>
            <w:tcBorders>
              <w:top w:val="nil"/>
              <w:left w:val="nil"/>
              <w:bottom w:val="nil"/>
              <w:right w:val="nil"/>
              <w:tl2br w:val="nil"/>
              <w:tr2bl w:val="nil"/>
            </w:tcBorders>
            <w:noWrap/>
            <w:tcMar>
              <w:left w:w="0" w:type="dxa"/>
              <w:right w:w="0" w:type="dxa"/>
            </w:tcMar>
            <w:vAlign w:val="bottom"/>
          </w:tcPr>
          <w:p w14:paraId="71F3FA20"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21"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2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23"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2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25"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2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27" w14:textId="77777777" w:rsidR="00510CAA" w:rsidRDefault="00510CAA">
            <w:pPr>
              <w:keepNext/>
              <w:rPr>
                <w:rFonts w:ascii="Arial" w:eastAsia="Arial" w:hAnsi="Arial" w:cs="Arial"/>
                <w:color w:val="000000"/>
                <w:sz w:val="18"/>
              </w:rPr>
            </w:pPr>
          </w:p>
        </w:tc>
      </w:tr>
      <w:tr w:rsidR="00510CAA" w14:paraId="71F3FA3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29" w14:textId="77777777" w:rsidR="00510CAA" w:rsidRDefault="003A4815">
            <w:pPr>
              <w:keepNext/>
              <w:rPr>
                <w:rFonts w:ascii="Arial" w:eastAsia="Arial" w:hAnsi="Arial" w:cs="Arial"/>
                <w:color w:val="000000"/>
                <w:sz w:val="18"/>
              </w:rPr>
            </w:pPr>
            <w:r>
              <w:rPr>
                <w:rFonts w:ascii="Arial" w:eastAsia="Arial" w:hAnsi="Arial" w:cs="Arial"/>
                <w:color w:val="000000"/>
                <w:sz w:val="18"/>
              </w:rPr>
              <w:t>Investments in a related party</w:t>
            </w:r>
          </w:p>
        </w:tc>
        <w:tc>
          <w:tcPr>
            <w:tcW w:w="180" w:type="dxa"/>
            <w:tcBorders>
              <w:top w:val="nil"/>
              <w:left w:val="nil"/>
              <w:bottom w:val="nil"/>
              <w:right w:val="nil"/>
              <w:tl2br w:val="nil"/>
              <w:tr2bl w:val="nil"/>
            </w:tcBorders>
            <w:noWrap/>
            <w:tcMar>
              <w:left w:w="0" w:type="dxa"/>
              <w:right w:w="0" w:type="dxa"/>
            </w:tcMar>
            <w:vAlign w:val="bottom"/>
          </w:tcPr>
          <w:p w14:paraId="71F3FA2A" w14:textId="77777777" w:rsidR="00510CAA" w:rsidRDefault="00510CAA">
            <w:pPr>
              <w:keepNext/>
              <w:rPr>
                <w:rFonts w:ascii="Arial" w:eastAsia="Arial" w:hAnsi="Arial" w:cs="Arial"/>
                <w:color w:val="000000"/>
                <w:sz w:val="18"/>
              </w:rPr>
            </w:pPr>
          </w:p>
        </w:tc>
        <w:tc>
          <w:tcPr>
            <w:tcW w:w="1350" w:type="dxa"/>
            <w:tcBorders>
              <w:top w:val="nil"/>
              <w:left w:val="nil"/>
              <w:bottom w:val="nil"/>
              <w:right w:val="nil"/>
              <w:tl2br w:val="nil"/>
              <w:tr2bl w:val="nil"/>
            </w:tcBorders>
            <w:noWrap/>
            <w:tcMar>
              <w:left w:w="40" w:type="dxa"/>
              <w:right w:w="100" w:type="dxa"/>
            </w:tcMar>
            <w:vAlign w:val="bottom"/>
          </w:tcPr>
          <w:p w14:paraId="71F3FA2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4,415</w:t>
            </w:r>
          </w:p>
        </w:tc>
        <w:tc>
          <w:tcPr>
            <w:tcW w:w="180" w:type="dxa"/>
            <w:tcBorders>
              <w:top w:val="nil"/>
              <w:left w:val="nil"/>
              <w:bottom w:val="nil"/>
              <w:right w:val="nil"/>
              <w:tl2br w:val="nil"/>
              <w:tr2bl w:val="nil"/>
            </w:tcBorders>
            <w:noWrap/>
            <w:tcMar>
              <w:left w:w="0" w:type="dxa"/>
              <w:right w:w="0" w:type="dxa"/>
            </w:tcMar>
            <w:vAlign w:val="bottom"/>
          </w:tcPr>
          <w:p w14:paraId="71F3FA2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2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4,235</w:t>
            </w:r>
          </w:p>
        </w:tc>
        <w:tc>
          <w:tcPr>
            <w:tcW w:w="180" w:type="dxa"/>
            <w:tcBorders>
              <w:top w:val="nil"/>
              <w:left w:val="nil"/>
              <w:bottom w:val="nil"/>
              <w:right w:val="nil"/>
              <w:tl2br w:val="nil"/>
              <w:tr2bl w:val="nil"/>
            </w:tcBorders>
            <w:noWrap/>
            <w:tcMar>
              <w:left w:w="0" w:type="dxa"/>
              <w:right w:w="0" w:type="dxa"/>
            </w:tcMar>
            <w:vAlign w:val="bottom"/>
          </w:tcPr>
          <w:p w14:paraId="71F3FA2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2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0" w:type="dxa"/>
              <w:right w:w="0" w:type="dxa"/>
            </w:tcMar>
            <w:vAlign w:val="bottom"/>
          </w:tcPr>
          <w:p w14:paraId="71F3FA3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3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w:t>
            </w:r>
          </w:p>
        </w:tc>
      </w:tr>
      <w:tr w:rsidR="00510CAA" w14:paraId="71F3FA3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dotted" w:sz="8" w:space="0" w:color="000000"/>
              <w:right w:val="nil"/>
              <w:tl2br w:val="nil"/>
              <w:tr2bl w:val="nil"/>
            </w:tcBorders>
            <w:tcMar>
              <w:left w:w="40" w:type="dxa"/>
              <w:right w:w="40" w:type="dxa"/>
            </w:tcMar>
            <w:vAlign w:val="bottom"/>
          </w:tcPr>
          <w:p w14:paraId="71F3FA33" w14:textId="77777777" w:rsidR="00510CAA" w:rsidRDefault="003A4815">
            <w:pPr>
              <w:keepNext/>
              <w:rPr>
                <w:rFonts w:ascii="Arial" w:eastAsia="Arial" w:hAnsi="Arial" w:cs="Arial"/>
                <w:color w:val="000000"/>
                <w:sz w:val="18"/>
              </w:rPr>
            </w:pPr>
            <w:r>
              <w:rPr>
                <w:rFonts w:ascii="Arial" w:eastAsia="Arial" w:hAnsi="Arial" w:cs="Arial"/>
                <w:color w:val="000000"/>
                <w:sz w:val="18"/>
              </w:rPr>
              <w:t>Total recurring fair value measurements</w:t>
            </w:r>
          </w:p>
        </w:tc>
        <w:tc>
          <w:tcPr>
            <w:tcW w:w="180" w:type="dxa"/>
            <w:tcBorders>
              <w:top w:val="nil"/>
              <w:left w:val="nil"/>
              <w:bottom w:val="nil"/>
              <w:right w:val="nil"/>
              <w:tl2br w:val="nil"/>
              <w:tr2bl w:val="nil"/>
            </w:tcBorders>
            <w:noWrap/>
            <w:tcMar>
              <w:left w:w="40" w:type="dxa"/>
              <w:right w:w="100" w:type="dxa"/>
            </w:tcMar>
            <w:vAlign w:val="bottom"/>
          </w:tcPr>
          <w:p w14:paraId="71F3FA34"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3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4,415</w:t>
            </w:r>
          </w:p>
        </w:tc>
        <w:tc>
          <w:tcPr>
            <w:tcW w:w="180" w:type="dxa"/>
            <w:tcBorders>
              <w:top w:val="nil"/>
              <w:left w:val="nil"/>
              <w:bottom w:val="nil"/>
              <w:right w:val="nil"/>
              <w:tl2br w:val="nil"/>
              <w:tr2bl w:val="nil"/>
            </w:tcBorders>
            <w:noWrap/>
            <w:tcMar>
              <w:left w:w="40" w:type="dxa"/>
              <w:right w:w="100" w:type="dxa"/>
            </w:tcMar>
            <w:vAlign w:val="bottom"/>
          </w:tcPr>
          <w:p w14:paraId="71F3FA36"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3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4,235</w:t>
            </w:r>
          </w:p>
        </w:tc>
        <w:tc>
          <w:tcPr>
            <w:tcW w:w="180" w:type="dxa"/>
            <w:tcBorders>
              <w:top w:val="nil"/>
              <w:left w:val="nil"/>
              <w:bottom w:val="nil"/>
              <w:right w:val="nil"/>
              <w:tl2br w:val="nil"/>
              <w:tr2bl w:val="nil"/>
            </w:tcBorders>
            <w:noWrap/>
            <w:tcMar>
              <w:left w:w="40" w:type="dxa"/>
              <w:right w:w="100" w:type="dxa"/>
            </w:tcMar>
            <w:vAlign w:val="bottom"/>
          </w:tcPr>
          <w:p w14:paraId="71F3FA38"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3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40" w:type="dxa"/>
              <w:right w:w="100" w:type="dxa"/>
            </w:tcMar>
            <w:vAlign w:val="bottom"/>
          </w:tcPr>
          <w:p w14:paraId="71F3FA3A"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3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w:t>
            </w:r>
          </w:p>
        </w:tc>
      </w:tr>
      <w:tr w:rsidR="00510CAA" w14:paraId="71F3FA4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dotted" w:sz="8" w:space="0" w:color="000000"/>
              <w:left w:val="nil"/>
              <w:bottom w:val="nil"/>
              <w:right w:val="nil"/>
              <w:tl2br w:val="nil"/>
              <w:tr2bl w:val="nil"/>
            </w:tcBorders>
            <w:tcMar>
              <w:left w:w="0" w:type="dxa"/>
              <w:right w:w="0" w:type="dxa"/>
            </w:tcMar>
            <w:vAlign w:val="bottom"/>
          </w:tcPr>
          <w:p w14:paraId="71F3FA3D"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3E" w14:textId="77777777" w:rsidR="00510CAA" w:rsidRDefault="00510CAA">
            <w:pPr>
              <w:keepNext/>
              <w:rPr>
                <w:rFonts w:ascii="Arial" w:eastAsia="Arial" w:hAnsi="Arial" w:cs="Arial"/>
                <w:color w:val="000000"/>
                <w:sz w:val="18"/>
              </w:rPr>
            </w:pPr>
          </w:p>
        </w:tc>
        <w:tc>
          <w:tcPr>
            <w:tcW w:w="1350" w:type="dxa"/>
            <w:tcBorders>
              <w:top w:val="dotted" w:sz="8" w:space="0" w:color="000000"/>
              <w:left w:val="nil"/>
              <w:bottom w:val="nil"/>
              <w:right w:val="nil"/>
              <w:tl2br w:val="nil"/>
              <w:tr2bl w:val="nil"/>
            </w:tcBorders>
            <w:noWrap/>
            <w:tcMar>
              <w:left w:w="0" w:type="dxa"/>
              <w:right w:w="0" w:type="dxa"/>
            </w:tcMar>
            <w:vAlign w:val="bottom"/>
          </w:tcPr>
          <w:p w14:paraId="71F3FA3F"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40"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41"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42"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43"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44"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45" w14:textId="77777777" w:rsidR="00510CAA" w:rsidRDefault="00510CAA">
            <w:pPr>
              <w:keepNext/>
              <w:rPr>
                <w:rFonts w:ascii="Arial" w:eastAsia="Arial" w:hAnsi="Arial" w:cs="Arial"/>
                <w:color w:val="000000"/>
                <w:sz w:val="18"/>
              </w:rPr>
            </w:pPr>
          </w:p>
        </w:tc>
      </w:tr>
      <w:tr w:rsidR="00510CAA" w14:paraId="71F3FA5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47" w14:textId="77777777" w:rsidR="00510CAA" w:rsidRDefault="003A4815">
            <w:pPr>
              <w:keepNext/>
              <w:rPr>
                <w:rFonts w:ascii="Arial" w:eastAsia="Arial" w:hAnsi="Arial" w:cs="Arial"/>
                <w:b/>
                <w:color w:val="000000"/>
                <w:sz w:val="18"/>
              </w:rPr>
            </w:pPr>
            <w:r>
              <w:rPr>
                <w:rFonts w:ascii="Arial" w:eastAsia="Arial" w:hAnsi="Arial" w:cs="Arial"/>
                <w:b/>
                <w:color w:val="000000"/>
                <w:sz w:val="18"/>
              </w:rPr>
              <w:t>Liabilities</w:t>
            </w:r>
          </w:p>
        </w:tc>
        <w:tc>
          <w:tcPr>
            <w:tcW w:w="180" w:type="dxa"/>
            <w:tcBorders>
              <w:top w:val="nil"/>
              <w:left w:val="nil"/>
              <w:bottom w:val="nil"/>
              <w:right w:val="nil"/>
              <w:tl2br w:val="nil"/>
              <w:tr2bl w:val="nil"/>
            </w:tcBorders>
            <w:noWrap/>
            <w:tcMar>
              <w:left w:w="0" w:type="dxa"/>
              <w:right w:w="0" w:type="dxa"/>
            </w:tcMar>
            <w:vAlign w:val="bottom"/>
          </w:tcPr>
          <w:p w14:paraId="71F3FA48"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49"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4A"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4B"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4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4D"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4E"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4F" w14:textId="77777777" w:rsidR="00510CAA" w:rsidRDefault="00510CAA">
            <w:pPr>
              <w:keepNext/>
              <w:rPr>
                <w:rFonts w:ascii="Arial" w:eastAsia="Arial" w:hAnsi="Arial" w:cs="Arial"/>
                <w:color w:val="000000"/>
                <w:sz w:val="18"/>
              </w:rPr>
            </w:pPr>
          </w:p>
        </w:tc>
      </w:tr>
      <w:tr w:rsidR="00510CAA" w14:paraId="71F3FA5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51" w14:textId="77777777" w:rsidR="00510CAA" w:rsidRDefault="003A4815">
            <w:pPr>
              <w:keepNext/>
              <w:rPr>
                <w:rFonts w:ascii="Arial" w:eastAsia="Arial" w:hAnsi="Arial" w:cs="Arial"/>
                <w:b/>
                <w:color w:val="000000"/>
                <w:sz w:val="18"/>
              </w:rPr>
            </w:pPr>
            <w:r>
              <w:rPr>
                <w:rFonts w:ascii="Arial" w:eastAsia="Arial" w:hAnsi="Arial" w:cs="Arial"/>
                <w:b/>
                <w:color w:val="000000"/>
                <w:sz w:val="18"/>
              </w:rPr>
              <w:t>Recurring fair value measurements</w:t>
            </w:r>
          </w:p>
        </w:tc>
        <w:tc>
          <w:tcPr>
            <w:tcW w:w="180" w:type="dxa"/>
            <w:tcBorders>
              <w:top w:val="nil"/>
              <w:left w:val="nil"/>
              <w:bottom w:val="nil"/>
              <w:right w:val="nil"/>
              <w:tl2br w:val="nil"/>
              <w:tr2bl w:val="nil"/>
            </w:tcBorders>
            <w:noWrap/>
            <w:tcMar>
              <w:left w:w="0" w:type="dxa"/>
              <w:right w:w="0" w:type="dxa"/>
            </w:tcMar>
            <w:vAlign w:val="bottom"/>
          </w:tcPr>
          <w:p w14:paraId="71F3FA52"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53"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54"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55"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5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57"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58"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59" w14:textId="77777777" w:rsidR="00510CAA" w:rsidRDefault="00510CAA">
            <w:pPr>
              <w:keepNext/>
              <w:rPr>
                <w:rFonts w:ascii="Arial" w:eastAsia="Arial" w:hAnsi="Arial" w:cs="Arial"/>
                <w:color w:val="000000"/>
                <w:sz w:val="18"/>
              </w:rPr>
            </w:pPr>
          </w:p>
        </w:tc>
      </w:tr>
      <w:tr w:rsidR="00510CAA" w14:paraId="71F3FA6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5B" w14:textId="77777777" w:rsidR="00510CAA" w:rsidRDefault="003A4815">
            <w:pPr>
              <w:keepNext/>
              <w:rPr>
                <w:rFonts w:ascii="Arial" w:eastAsia="Arial" w:hAnsi="Arial" w:cs="Arial"/>
                <w:color w:val="000000"/>
                <w:sz w:val="18"/>
              </w:rPr>
            </w:pPr>
            <w:r>
              <w:rPr>
                <w:rFonts w:ascii="Arial" w:eastAsia="Arial" w:hAnsi="Arial" w:cs="Arial"/>
                <w:color w:val="000000"/>
                <w:sz w:val="18"/>
              </w:rPr>
              <w:t>Warrant liability</w:t>
            </w:r>
          </w:p>
        </w:tc>
        <w:tc>
          <w:tcPr>
            <w:tcW w:w="180" w:type="dxa"/>
            <w:tcBorders>
              <w:top w:val="nil"/>
              <w:left w:val="nil"/>
              <w:bottom w:val="nil"/>
              <w:right w:val="nil"/>
              <w:tl2br w:val="nil"/>
              <w:tr2bl w:val="nil"/>
            </w:tcBorders>
            <w:noWrap/>
            <w:tcMar>
              <w:left w:w="40" w:type="dxa"/>
              <w:right w:w="100" w:type="dxa"/>
            </w:tcMar>
            <w:vAlign w:val="bottom"/>
          </w:tcPr>
          <w:p w14:paraId="71F3FA5C"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nil"/>
              <w:left w:val="nil"/>
              <w:bottom w:val="nil"/>
              <w:right w:val="nil"/>
              <w:tl2br w:val="nil"/>
              <w:tr2bl w:val="nil"/>
            </w:tcBorders>
            <w:noWrap/>
            <w:tcMar>
              <w:left w:w="40" w:type="dxa"/>
              <w:right w:w="100" w:type="dxa"/>
            </w:tcMar>
            <w:vAlign w:val="bottom"/>
          </w:tcPr>
          <w:p w14:paraId="71F3FA5D"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1,802</w:t>
            </w:r>
          </w:p>
        </w:tc>
        <w:tc>
          <w:tcPr>
            <w:tcW w:w="180" w:type="dxa"/>
            <w:tcBorders>
              <w:top w:val="nil"/>
              <w:left w:val="nil"/>
              <w:bottom w:val="nil"/>
              <w:right w:val="nil"/>
              <w:tl2br w:val="nil"/>
              <w:tr2bl w:val="nil"/>
            </w:tcBorders>
            <w:noWrap/>
            <w:tcMar>
              <w:left w:w="40" w:type="dxa"/>
              <w:right w:w="100" w:type="dxa"/>
            </w:tcMar>
            <w:vAlign w:val="bottom"/>
          </w:tcPr>
          <w:p w14:paraId="71F3FA5E"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5F"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1,802</w:t>
            </w:r>
          </w:p>
        </w:tc>
        <w:tc>
          <w:tcPr>
            <w:tcW w:w="180" w:type="dxa"/>
            <w:tcBorders>
              <w:top w:val="nil"/>
              <w:left w:val="nil"/>
              <w:bottom w:val="nil"/>
              <w:right w:val="nil"/>
              <w:tl2br w:val="nil"/>
              <w:tr2bl w:val="nil"/>
            </w:tcBorders>
            <w:noWrap/>
            <w:tcMar>
              <w:left w:w="40" w:type="dxa"/>
              <w:right w:w="100" w:type="dxa"/>
            </w:tcMar>
            <w:vAlign w:val="bottom"/>
          </w:tcPr>
          <w:p w14:paraId="71F3FA60"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6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0" w:type="dxa"/>
              <w:right w:w="0" w:type="dxa"/>
            </w:tcMar>
            <w:vAlign w:val="bottom"/>
          </w:tcPr>
          <w:p w14:paraId="71F3FA62"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63" w14:textId="77777777" w:rsidR="00510CAA" w:rsidRDefault="00510CAA">
            <w:pPr>
              <w:keepNext/>
              <w:rPr>
                <w:rFonts w:ascii="Arial" w:eastAsia="Arial" w:hAnsi="Arial" w:cs="Arial"/>
                <w:color w:val="000000"/>
                <w:sz w:val="18"/>
              </w:rPr>
            </w:pPr>
          </w:p>
        </w:tc>
      </w:tr>
      <w:tr w:rsidR="00510CAA" w14:paraId="71F3FA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single" w:sz="4" w:space="0" w:color="000000"/>
              <w:right w:val="nil"/>
              <w:tl2br w:val="nil"/>
              <w:tr2bl w:val="nil"/>
            </w:tcBorders>
            <w:noWrap/>
            <w:tcMar>
              <w:left w:w="40" w:type="dxa"/>
              <w:right w:w="40" w:type="dxa"/>
            </w:tcMar>
            <w:vAlign w:val="bottom"/>
          </w:tcPr>
          <w:p w14:paraId="71F3FA65" w14:textId="77777777" w:rsidR="00510CAA" w:rsidRDefault="003A4815">
            <w:pPr>
              <w:keepNext/>
              <w:rPr>
                <w:rFonts w:ascii="Arial" w:eastAsia="Arial" w:hAnsi="Arial" w:cs="Arial"/>
                <w:color w:val="000000"/>
                <w:sz w:val="18"/>
              </w:rPr>
            </w:pPr>
            <w:r>
              <w:rPr>
                <w:rFonts w:ascii="Arial" w:eastAsia="Arial" w:hAnsi="Arial" w:cs="Arial"/>
                <w:color w:val="000000"/>
                <w:sz w:val="18"/>
              </w:rPr>
              <w:t>Interest rate swap, liability</w:t>
            </w:r>
          </w:p>
        </w:tc>
        <w:tc>
          <w:tcPr>
            <w:tcW w:w="180" w:type="dxa"/>
            <w:tcBorders>
              <w:top w:val="nil"/>
              <w:left w:val="nil"/>
              <w:bottom w:val="nil"/>
              <w:right w:val="nil"/>
              <w:tl2br w:val="nil"/>
              <w:tr2bl w:val="nil"/>
            </w:tcBorders>
            <w:noWrap/>
            <w:tcMar>
              <w:left w:w="0" w:type="dxa"/>
              <w:right w:w="0" w:type="dxa"/>
            </w:tcMar>
            <w:vAlign w:val="bottom"/>
          </w:tcPr>
          <w:p w14:paraId="71F3FA66" w14:textId="77777777" w:rsidR="00510CAA" w:rsidRDefault="00510CAA">
            <w:pPr>
              <w:keepNext/>
              <w:rPr>
                <w:rFonts w:ascii="Arial" w:eastAsia="Arial" w:hAnsi="Arial" w:cs="Arial"/>
                <w:color w:val="000000"/>
                <w:sz w:val="18"/>
              </w:rPr>
            </w:pPr>
          </w:p>
        </w:tc>
        <w:tc>
          <w:tcPr>
            <w:tcW w:w="1350" w:type="dxa"/>
            <w:tcBorders>
              <w:top w:val="nil"/>
              <w:left w:val="nil"/>
              <w:bottom w:val="single" w:sz="4" w:space="0" w:color="000000"/>
              <w:right w:val="nil"/>
              <w:tl2br w:val="nil"/>
              <w:tr2bl w:val="nil"/>
            </w:tcBorders>
            <w:noWrap/>
            <w:tcMar>
              <w:left w:w="40" w:type="dxa"/>
              <w:right w:w="100" w:type="dxa"/>
            </w:tcMar>
            <w:vAlign w:val="bottom"/>
          </w:tcPr>
          <w:p w14:paraId="71F3FA67"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165</w:t>
            </w:r>
          </w:p>
        </w:tc>
        <w:tc>
          <w:tcPr>
            <w:tcW w:w="180" w:type="dxa"/>
            <w:tcBorders>
              <w:top w:val="nil"/>
              <w:left w:val="nil"/>
              <w:bottom w:val="nil"/>
              <w:right w:val="nil"/>
              <w:tl2br w:val="nil"/>
              <w:tr2bl w:val="nil"/>
            </w:tcBorders>
            <w:noWrap/>
            <w:tcMar>
              <w:left w:w="0" w:type="dxa"/>
              <w:right w:w="0" w:type="dxa"/>
            </w:tcMar>
            <w:vAlign w:val="bottom"/>
          </w:tcPr>
          <w:p w14:paraId="71F3FA68"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100" w:type="dxa"/>
            </w:tcMar>
            <w:vAlign w:val="bottom"/>
          </w:tcPr>
          <w:p w14:paraId="71F3FA69"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A6A"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100" w:type="dxa"/>
            </w:tcMar>
            <w:vAlign w:val="bottom"/>
          </w:tcPr>
          <w:p w14:paraId="71F3FA6B"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165</w:t>
            </w:r>
          </w:p>
        </w:tc>
        <w:tc>
          <w:tcPr>
            <w:tcW w:w="240" w:type="dxa"/>
            <w:tcBorders>
              <w:top w:val="nil"/>
              <w:left w:val="nil"/>
              <w:bottom w:val="nil"/>
              <w:right w:val="nil"/>
              <w:tl2br w:val="nil"/>
              <w:tr2bl w:val="nil"/>
            </w:tcBorders>
            <w:noWrap/>
            <w:tcMar>
              <w:left w:w="0" w:type="dxa"/>
              <w:right w:w="0" w:type="dxa"/>
            </w:tcMar>
            <w:vAlign w:val="bottom"/>
          </w:tcPr>
          <w:p w14:paraId="71F3FA6C"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6D" w14:textId="77777777" w:rsidR="00510CAA" w:rsidRDefault="00510CAA">
            <w:pPr>
              <w:keepNext/>
              <w:rPr>
                <w:rFonts w:ascii="Arial" w:eastAsia="Arial" w:hAnsi="Arial" w:cs="Arial"/>
                <w:color w:val="000000"/>
                <w:sz w:val="18"/>
              </w:rPr>
            </w:pPr>
          </w:p>
        </w:tc>
      </w:tr>
      <w:tr w:rsidR="00510CAA" w14:paraId="71F3FA7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dotted" w:sz="8" w:space="0" w:color="000000"/>
              <w:right w:val="nil"/>
              <w:tl2br w:val="nil"/>
              <w:tr2bl w:val="nil"/>
            </w:tcBorders>
            <w:tcMar>
              <w:left w:w="40" w:type="dxa"/>
              <w:right w:w="40" w:type="dxa"/>
            </w:tcMar>
            <w:vAlign w:val="bottom"/>
          </w:tcPr>
          <w:p w14:paraId="71F3FA6F" w14:textId="77777777" w:rsidR="00510CAA" w:rsidRDefault="003A4815">
            <w:pPr>
              <w:keepNext/>
              <w:rPr>
                <w:rFonts w:ascii="Arial" w:eastAsia="Arial" w:hAnsi="Arial" w:cs="Arial"/>
                <w:color w:val="000000"/>
                <w:sz w:val="18"/>
              </w:rPr>
            </w:pPr>
            <w:r>
              <w:rPr>
                <w:rFonts w:ascii="Arial" w:eastAsia="Arial" w:hAnsi="Arial" w:cs="Arial"/>
                <w:color w:val="000000"/>
                <w:sz w:val="18"/>
              </w:rPr>
              <w:t>Total recurring fair value measurements</w:t>
            </w:r>
          </w:p>
        </w:tc>
        <w:tc>
          <w:tcPr>
            <w:tcW w:w="180" w:type="dxa"/>
            <w:tcBorders>
              <w:top w:val="nil"/>
              <w:left w:val="nil"/>
              <w:bottom w:val="nil"/>
              <w:right w:val="nil"/>
              <w:tl2br w:val="nil"/>
              <w:tr2bl w:val="nil"/>
            </w:tcBorders>
            <w:noWrap/>
            <w:tcMar>
              <w:left w:w="40" w:type="dxa"/>
              <w:right w:w="100" w:type="dxa"/>
            </w:tcMar>
            <w:vAlign w:val="bottom"/>
          </w:tcPr>
          <w:p w14:paraId="71F3FA70"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71"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1,967</w:t>
            </w:r>
          </w:p>
        </w:tc>
        <w:tc>
          <w:tcPr>
            <w:tcW w:w="180" w:type="dxa"/>
            <w:tcBorders>
              <w:top w:val="nil"/>
              <w:left w:val="nil"/>
              <w:bottom w:val="nil"/>
              <w:right w:val="nil"/>
              <w:tl2br w:val="nil"/>
              <w:tr2bl w:val="nil"/>
            </w:tcBorders>
            <w:noWrap/>
            <w:tcMar>
              <w:left w:w="40" w:type="dxa"/>
              <w:right w:w="100" w:type="dxa"/>
            </w:tcMar>
            <w:vAlign w:val="bottom"/>
          </w:tcPr>
          <w:p w14:paraId="71F3FA72"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73"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1,802</w:t>
            </w:r>
          </w:p>
        </w:tc>
        <w:tc>
          <w:tcPr>
            <w:tcW w:w="180" w:type="dxa"/>
            <w:tcBorders>
              <w:top w:val="nil"/>
              <w:left w:val="nil"/>
              <w:bottom w:val="nil"/>
              <w:right w:val="nil"/>
              <w:tl2br w:val="nil"/>
              <w:tr2bl w:val="nil"/>
            </w:tcBorders>
            <w:noWrap/>
            <w:tcMar>
              <w:left w:w="40" w:type="dxa"/>
              <w:right w:w="100" w:type="dxa"/>
            </w:tcMar>
            <w:vAlign w:val="bottom"/>
          </w:tcPr>
          <w:p w14:paraId="71F3FA74"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75"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165</w:t>
            </w:r>
          </w:p>
        </w:tc>
        <w:tc>
          <w:tcPr>
            <w:tcW w:w="240" w:type="dxa"/>
            <w:tcBorders>
              <w:top w:val="nil"/>
              <w:left w:val="nil"/>
              <w:bottom w:val="nil"/>
              <w:right w:val="nil"/>
              <w:tl2br w:val="nil"/>
              <w:tr2bl w:val="nil"/>
            </w:tcBorders>
            <w:noWrap/>
            <w:tcMar>
              <w:left w:w="0" w:type="dxa"/>
              <w:right w:w="0" w:type="dxa"/>
            </w:tcMar>
            <w:vAlign w:val="bottom"/>
          </w:tcPr>
          <w:p w14:paraId="71F3FA76"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77" w14:textId="77777777" w:rsidR="00510CAA" w:rsidRDefault="00510CAA">
            <w:pPr>
              <w:keepNext/>
              <w:rPr>
                <w:rFonts w:ascii="Arial" w:eastAsia="Arial" w:hAnsi="Arial" w:cs="Arial"/>
                <w:color w:val="000000"/>
                <w:sz w:val="18"/>
              </w:rPr>
            </w:pPr>
          </w:p>
        </w:tc>
      </w:tr>
      <w:tr w:rsidR="00510CAA" w14:paraId="71F3FA8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dotted" w:sz="8" w:space="0" w:color="000000"/>
              <w:left w:val="nil"/>
              <w:bottom w:val="nil"/>
              <w:right w:val="nil"/>
              <w:tl2br w:val="nil"/>
              <w:tr2bl w:val="nil"/>
            </w:tcBorders>
            <w:tcMar>
              <w:left w:w="0" w:type="dxa"/>
              <w:right w:w="0" w:type="dxa"/>
            </w:tcMar>
            <w:vAlign w:val="bottom"/>
          </w:tcPr>
          <w:p w14:paraId="71F3FA79"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7A" w14:textId="77777777" w:rsidR="00510CAA" w:rsidRDefault="00510CAA">
            <w:pPr>
              <w:keepNext/>
              <w:rPr>
                <w:rFonts w:ascii="Arial" w:eastAsia="Arial" w:hAnsi="Arial" w:cs="Arial"/>
                <w:color w:val="000000"/>
                <w:sz w:val="18"/>
              </w:rPr>
            </w:pPr>
          </w:p>
        </w:tc>
        <w:tc>
          <w:tcPr>
            <w:tcW w:w="1350" w:type="dxa"/>
            <w:tcBorders>
              <w:top w:val="dotted" w:sz="8" w:space="0" w:color="000000"/>
              <w:left w:val="nil"/>
              <w:bottom w:val="nil"/>
              <w:right w:val="nil"/>
              <w:tl2br w:val="nil"/>
              <w:tr2bl w:val="nil"/>
            </w:tcBorders>
            <w:noWrap/>
            <w:tcMar>
              <w:left w:w="0" w:type="dxa"/>
              <w:right w:w="0" w:type="dxa"/>
            </w:tcMar>
            <w:vAlign w:val="bottom"/>
          </w:tcPr>
          <w:p w14:paraId="71F3FA7B"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7C"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7D"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7E"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7F"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80"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81" w14:textId="77777777" w:rsidR="00510CAA" w:rsidRDefault="00510CAA">
            <w:pPr>
              <w:keepNext/>
              <w:rPr>
                <w:rFonts w:ascii="Arial" w:eastAsia="Arial" w:hAnsi="Arial" w:cs="Arial"/>
                <w:color w:val="000000"/>
                <w:sz w:val="18"/>
              </w:rPr>
            </w:pPr>
          </w:p>
        </w:tc>
      </w:tr>
      <w:tr w:rsidR="00510CAA" w14:paraId="71F3FA8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960"/>
        </w:trPr>
        <w:tc>
          <w:tcPr>
            <w:tcW w:w="3945" w:type="dxa"/>
            <w:tcBorders>
              <w:top w:val="nil"/>
              <w:left w:val="nil"/>
              <w:bottom w:val="single" w:sz="4" w:space="0" w:color="000000"/>
              <w:right w:val="nil"/>
              <w:tl2br w:val="nil"/>
              <w:tr2bl w:val="nil"/>
            </w:tcBorders>
            <w:noWrap/>
            <w:tcMar>
              <w:left w:w="0" w:type="dxa"/>
              <w:right w:w="0" w:type="dxa"/>
            </w:tcMar>
            <w:vAlign w:val="bottom"/>
          </w:tcPr>
          <w:p w14:paraId="71F3FA83" w14:textId="77777777" w:rsidR="00510CAA" w:rsidRDefault="00510CAA">
            <w:pPr>
              <w:keepNext/>
              <w:rPr>
                <w:rFonts w:ascii="Arial" w:eastAsia="Arial" w:hAnsi="Arial" w:cs="Arial"/>
                <w:b/>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84" w14:textId="77777777" w:rsidR="00510CAA" w:rsidRDefault="00510CAA">
            <w:pPr>
              <w:keepNext/>
              <w:rPr>
                <w:rFonts w:ascii="Arial" w:eastAsia="Arial" w:hAnsi="Arial" w:cs="Arial"/>
                <w:b/>
                <w:color w:val="000000"/>
                <w:sz w:val="18"/>
              </w:rPr>
            </w:pPr>
          </w:p>
        </w:tc>
        <w:tc>
          <w:tcPr>
            <w:tcW w:w="1350" w:type="dxa"/>
            <w:tcBorders>
              <w:top w:val="nil"/>
              <w:left w:val="nil"/>
              <w:bottom w:val="single" w:sz="4" w:space="0" w:color="000000"/>
              <w:right w:val="nil"/>
              <w:tl2br w:val="nil"/>
              <w:tr2bl w:val="nil"/>
            </w:tcBorders>
            <w:tcMar>
              <w:left w:w="40" w:type="dxa"/>
              <w:right w:w="40" w:type="dxa"/>
            </w:tcMar>
            <w:vAlign w:val="bottom"/>
          </w:tcPr>
          <w:p w14:paraId="71F3FA85"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December 31, 2025</w:t>
            </w:r>
          </w:p>
        </w:tc>
        <w:tc>
          <w:tcPr>
            <w:tcW w:w="180" w:type="dxa"/>
            <w:tcBorders>
              <w:top w:val="nil"/>
              <w:left w:val="nil"/>
              <w:bottom w:val="nil"/>
              <w:right w:val="nil"/>
              <w:tl2br w:val="nil"/>
              <w:tr2bl w:val="nil"/>
            </w:tcBorders>
            <w:tcMar>
              <w:left w:w="0" w:type="dxa"/>
              <w:right w:w="0" w:type="dxa"/>
            </w:tcMar>
            <w:vAlign w:val="bottom"/>
          </w:tcPr>
          <w:p w14:paraId="71F3FA86"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87"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Quoted Prices in Active Markets</w:t>
            </w:r>
          </w:p>
          <w:p w14:paraId="71F3FA88"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(Level 1)</w:t>
            </w:r>
          </w:p>
        </w:tc>
        <w:tc>
          <w:tcPr>
            <w:tcW w:w="180" w:type="dxa"/>
            <w:tcBorders>
              <w:top w:val="nil"/>
              <w:left w:val="nil"/>
              <w:bottom w:val="nil"/>
              <w:right w:val="nil"/>
              <w:tl2br w:val="nil"/>
              <w:tr2bl w:val="nil"/>
            </w:tcBorders>
            <w:tcMar>
              <w:left w:w="0" w:type="dxa"/>
              <w:right w:w="0" w:type="dxa"/>
            </w:tcMar>
            <w:vAlign w:val="bottom"/>
          </w:tcPr>
          <w:p w14:paraId="71F3FA89"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8A"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Significant Other Observable Inputs (Level 2)</w:t>
            </w:r>
          </w:p>
        </w:tc>
        <w:tc>
          <w:tcPr>
            <w:tcW w:w="240" w:type="dxa"/>
            <w:tcBorders>
              <w:top w:val="nil"/>
              <w:left w:val="nil"/>
              <w:bottom w:val="single" w:sz="4" w:space="0" w:color="000000"/>
              <w:right w:val="nil"/>
              <w:tl2br w:val="nil"/>
              <w:tr2bl w:val="nil"/>
            </w:tcBorders>
            <w:tcMar>
              <w:left w:w="0" w:type="dxa"/>
              <w:right w:w="0" w:type="dxa"/>
            </w:tcMar>
            <w:vAlign w:val="bottom"/>
          </w:tcPr>
          <w:p w14:paraId="71F3FA8B" w14:textId="77777777" w:rsidR="00510CAA" w:rsidRDefault="00510CAA">
            <w:pPr>
              <w:keepNext/>
              <w:jc w:val="center"/>
              <w:rPr>
                <w:rFonts w:ascii="Arial" w:eastAsia="Arial" w:hAnsi="Arial" w:cs="Arial"/>
                <w:b/>
                <w:color w:val="000000"/>
                <w:sz w:val="18"/>
              </w:rPr>
            </w:pPr>
          </w:p>
        </w:tc>
        <w:tc>
          <w:tcPr>
            <w:tcW w:w="1440" w:type="dxa"/>
            <w:tcBorders>
              <w:top w:val="nil"/>
              <w:left w:val="nil"/>
              <w:bottom w:val="single" w:sz="4" w:space="0" w:color="000000"/>
              <w:right w:val="nil"/>
              <w:tl2br w:val="nil"/>
              <w:tr2bl w:val="nil"/>
            </w:tcBorders>
            <w:tcMar>
              <w:left w:w="40" w:type="dxa"/>
              <w:right w:w="40" w:type="dxa"/>
            </w:tcMar>
            <w:vAlign w:val="bottom"/>
          </w:tcPr>
          <w:p w14:paraId="71F3FA8C" w14:textId="77777777" w:rsidR="00510CAA" w:rsidRDefault="003A4815">
            <w:pPr>
              <w:keepNext/>
              <w:jc w:val="center"/>
              <w:rPr>
                <w:rFonts w:ascii="Arial" w:eastAsia="Arial" w:hAnsi="Arial" w:cs="Arial"/>
                <w:b/>
                <w:color w:val="000000"/>
                <w:sz w:val="18"/>
              </w:rPr>
            </w:pPr>
            <w:r>
              <w:rPr>
                <w:rFonts w:ascii="Arial" w:eastAsia="Arial" w:hAnsi="Arial" w:cs="Arial"/>
                <w:b/>
                <w:color w:val="000000"/>
                <w:sz w:val="18"/>
              </w:rPr>
              <w:t>Significant Other Observable Inputs (Level 3)</w:t>
            </w:r>
          </w:p>
        </w:tc>
      </w:tr>
      <w:tr w:rsidR="00510CAA" w14:paraId="71F3FA9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nil"/>
              <w:right w:val="nil"/>
              <w:tl2br w:val="nil"/>
              <w:tr2bl w:val="nil"/>
            </w:tcBorders>
            <w:noWrap/>
            <w:tcMar>
              <w:left w:w="40" w:type="dxa"/>
              <w:right w:w="40" w:type="dxa"/>
            </w:tcMar>
            <w:vAlign w:val="bottom"/>
          </w:tcPr>
          <w:p w14:paraId="71F3FA8E" w14:textId="77777777" w:rsidR="00510CAA" w:rsidRDefault="003A4815">
            <w:pPr>
              <w:keepNext/>
              <w:rPr>
                <w:rFonts w:ascii="Arial" w:eastAsia="Arial" w:hAnsi="Arial" w:cs="Arial"/>
                <w:b/>
                <w:color w:val="000000"/>
                <w:sz w:val="18"/>
              </w:rPr>
            </w:pPr>
            <w:r>
              <w:rPr>
                <w:rFonts w:ascii="Arial" w:eastAsia="Arial" w:hAnsi="Arial" w:cs="Arial"/>
                <w:b/>
                <w:color w:val="000000"/>
                <w:sz w:val="18"/>
              </w:rPr>
              <w:t>Assets</w:t>
            </w:r>
          </w:p>
        </w:tc>
        <w:tc>
          <w:tcPr>
            <w:tcW w:w="180" w:type="dxa"/>
            <w:tcBorders>
              <w:top w:val="nil"/>
              <w:left w:val="nil"/>
              <w:bottom w:val="nil"/>
              <w:right w:val="nil"/>
              <w:tl2br w:val="nil"/>
              <w:tr2bl w:val="nil"/>
            </w:tcBorders>
            <w:noWrap/>
            <w:tcMar>
              <w:left w:w="0" w:type="dxa"/>
              <w:right w:w="0" w:type="dxa"/>
            </w:tcMar>
            <w:vAlign w:val="bottom"/>
          </w:tcPr>
          <w:p w14:paraId="71F3FA8F" w14:textId="77777777" w:rsidR="00510CAA" w:rsidRDefault="00510CAA">
            <w:pPr>
              <w:keepNext/>
              <w:rPr>
                <w:rFonts w:ascii="Arial" w:eastAsia="Arial" w:hAnsi="Arial" w:cs="Arial"/>
                <w:b/>
                <w:color w:val="000000"/>
                <w:sz w:val="18"/>
              </w:rPr>
            </w:pPr>
          </w:p>
        </w:tc>
        <w:tc>
          <w:tcPr>
            <w:tcW w:w="1350" w:type="dxa"/>
            <w:tcBorders>
              <w:top w:val="single" w:sz="4" w:space="0" w:color="000000"/>
              <w:left w:val="nil"/>
              <w:bottom w:val="nil"/>
              <w:right w:val="nil"/>
              <w:tl2br w:val="nil"/>
              <w:tr2bl w:val="nil"/>
            </w:tcBorders>
            <w:noWrap/>
            <w:tcMar>
              <w:left w:w="0" w:type="dxa"/>
              <w:right w:w="0" w:type="dxa"/>
            </w:tcMar>
            <w:vAlign w:val="bottom"/>
          </w:tcPr>
          <w:p w14:paraId="71F3FA90"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91"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92"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93"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94" w14:textId="77777777" w:rsidR="00510CAA" w:rsidRDefault="00510CAA">
            <w:pPr>
              <w:keepNext/>
              <w:rPr>
                <w:rFonts w:ascii="Arial" w:eastAsia="Arial" w:hAnsi="Arial" w:cs="Arial"/>
                <w:color w:val="000000"/>
                <w:sz w:val="18"/>
              </w:rPr>
            </w:pPr>
          </w:p>
        </w:tc>
        <w:tc>
          <w:tcPr>
            <w:tcW w:w="240" w:type="dxa"/>
            <w:tcBorders>
              <w:top w:val="single" w:sz="4" w:space="0" w:color="000000"/>
              <w:left w:val="nil"/>
              <w:bottom w:val="nil"/>
              <w:right w:val="nil"/>
              <w:tl2br w:val="nil"/>
              <w:tr2bl w:val="nil"/>
            </w:tcBorders>
            <w:noWrap/>
            <w:tcMar>
              <w:left w:w="0" w:type="dxa"/>
              <w:right w:w="0" w:type="dxa"/>
            </w:tcMar>
            <w:vAlign w:val="bottom"/>
          </w:tcPr>
          <w:p w14:paraId="71F3FA95" w14:textId="77777777" w:rsidR="00510CAA" w:rsidRDefault="00510CAA">
            <w:pPr>
              <w:keepNext/>
              <w:rPr>
                <w:rFonts w:ascii="Arial" w:eastAsia="Arial" w:hAnsi="Arial" w:cs="Arial"/>
                <w:color w:val="000000"/>
                <w:sz w:val="18"/>
              </w:rPr>
            </w:pPr>
          </w:p>
        </w:tc>
        <w:tc>
          <w:tcPr>
            <w:tcW w:w="1440" w:type="dxa"/>
            <w:tcBorders>
              <w:top w:val="single" w:sz="4" w:space="0" w:color="000000"/>
              <w:left w:val="nil"/>
              <w:bottom w:val="nil"/>
              <w:right w:val="nil"/>
              <w:tl2br w:val="nil"/>
              <w:tr2bl w:val="nil"/>
            </w:tcBorders>
            <w:noWrap/>
            <w:tcMar>
              <w:left w:w="0" w:type="dxa"/>
              <w:right w:w="0" w:type="dxa"/>
            </w:tcMar>
            <w:vAlign w:val="bottom"/>
          </w:tcPr>
          <w:p w14:paraId="71F3FA96" w14:textId="77777777" w:rsidR="00510CAA" w:rsidRDefault="00510CAA">
            <w:pPr>
              <w:keepNext/>
              <w:rPr>
                <w:rFonts w:ascii="Arial" w:eastAsia="Arial" w:hAnsi="Arial" w:cs="Arial"/>
                <w:color w:val="000000"/>
                <w:sz w:val="18"/>
              </w:rPr>
            </w:pPr>
          </w:p>
        </w:tc>
      </w:tr>
      <w:tr w:rsidR="00510CAA" w14:paraId="71F3FAA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98" w14:textId="77777777" w:rsidR="00510CAA" w:rsidRDefault="003A4815">
            <w:pPr>
              <w:keepNext/>
              <w:rPr>
                <w:rFonts w:ascii="Arial" w:eastAsia="Arial" w:hAnsi="Arial" w:cs="Arial"/>
                <w:b/>
                <w:color w:val="000000"/>
                <w:sz w:val="18"/>
              </w:rPr>
            </w:pPr>
            <w:r>
              <w:rPr>
                <w:rFonts w:ascii="Arial" w:eastAsia="Arial" w:hAnsi="Arial" w:cs="Arial"/>
                <w:b/>
                <w:color w:val="000000"/>
                <w:sz w:val="18"/>
              </w:rPr>
              <w:t>Recurring fair value measurements</w:t>
            </w:r>
          </w:p>
        </w:tc>
        <w:tc>
          <w:tcPr>
            <w:tcW w:w="180" w:type="dxa"/>
            <w:tcBorders>
              <w:top w:val="nil"/>
              <w:left w:val="nil"/>
              <w:bottom w:val="nil"/>
              <w:right w:val="nil"/>
              <w:tl2br w:val="nil"/>
              <w:tr2bl w:val="nil"/>
            </w:tcBorders>
            <w:noWrap/>
            <w:tcMar>
              <w:left w:w="0" w:type="dxa"/>
              <w:right w:w="0" w:type="dxa"/>
            </w:tcMar>
            <w:vAlign w:val="bottom"/>
          </w:tcPr>
          <w:p w14:paraId="71F3FA99"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9A"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9B"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9C"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9D"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9E"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9F"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A0" w14:textId="77777777" w:rsidR="00510CAA" w:rsidRDefault="00510CAA">
            <w:pPr>
              <w:keepNext/>
              <w:rPr>
                <w:rFonts w:ascii="Arial" w:eastAsia="Arial" w:hAnsi="Arial" w:cs="Arial"/>
                <w:color w:val="000000"/>
                <w:sz w:val="18"/>
              </w:rPr>
            </w:pPr>
          </w:p>
        </w:tc>
      </w:tr>
      <w:tr w:rsidR="00510CAA" w14:paraId="71F3FAA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A2" w14:textId="77777777" w:rsidR="00510CAA" w:rsidRDefault="003A4815">
            <w:pPr>
              <w:keepNext/>
              <w:rPr>
                <w:rFonts w:ascii="Arial" w:eastAsia="Arial" w:hAnsi="Arial" w:cs="Arial"/>
                <w:color w:val="000000"/>
                <w:sz w:val="18"/>
              </w:rPr>
            </w:pPr>
            <w:r>
              <w:rPr>
                <w:rFonts w:ascii="Arial" w:eastAsia="Arial" w:hAnsi="Arial" w:cs="Arial"/>
                <w:color w:val="000000"/>
                <w:sz w:val="18"/>
              </w:rPr>
              <w:t>Investments in equity securities</w:t>
            </w:r>
          </w:p>
        </w:tc>
        <w:tc>
          <w:tcPr>
            <w:tcW w:w="180" w:type="dxa"/>
            <w:tcBorders>
              <w:top w:val="nil"/>
              <w:left w:val="nil"/>
              <w:bottom w:val="nil"/>
              <w:right w:val="nil"/>
              <w:tl2br w:val="nil"/>
              <w:tr2bl w:val="nil"/>
            </w:tcBorders>
            <w:noWrap/>
            <w:tcMar>
              <w:left w:w="0" w:type="dxa"/>
              <w:right w:w="0" w:type="dxa"/>
            </w:tcMar>
            <w:vAlign w:val="bottom"/>
          </w:tcPr>
          <w:p w14:paraId="71F3FAA3" w14:textId="77777777" w:rsidR="00510CAA" w:rsidRDefault="00510CAA">
            <w:pPr>
              <w:keepNext/>
              <w:rPr>
                <w:rFonts w:ascii="Arial" w:eastAsia="Arial" w:hAnsi="Arial" w:cs="Arial"/>
                <w:color w:val="000000"/>
                <w:sz w:val="18"/>
              </w:rPr>
            </w:pPr>
          </w:p>
        </w:tc>
        <w:tc>
          <w:tcPr>
            <w:tcW w:w="1350" w:type="dxa"/>
            <w:tcBorders>
              <w:top w:val="nil"/>
              <w:left w:val="nil"/>
              <w:bottom w:val="nil"/>
              <w:right w:val="nil"/>
              <w:tl2br w:val="nil"/>
              <w:tr2bl w:val="nil"/>
            </w:tcBorders>
            <w:noWrap/>
            <w:tcMar>
              <w:left w:w="40" w:type="dxa"/>
              <w:right w:w="100" w:type="dxa"/>
            </w:tcMar>
            <w:vAlign w:val="bottom"/>
          </w:tcPr>
          <w:p w14:paraId="71F3FAA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118,194</w:t>
            </w:r>
          </w:p>
        </w:tc>
        <w:tc>
          <w:tcPr>
            <w:tcW w:w="180" w:type="dxa"/>
            <w:tcBorders>
              <w:top w:val="nil"/>
              <w:left w:val="nil"/>
              <w:bottom w:val="nil"/>
              <w:right w:val="nil"/>
              <w:tl2br w:val="nil"/>
              <w:tr2bl w:val="nil"/>
            </w:tcBorders>
            <w:noWrap/>
            <w:tcMar>
              <w:left w:w="0" w:type="dxa"/>
              <w:right w:w="0" w:type="dxa"/>
            </w:tcMar>
            <w:vAlign w:val="bottom"/>
          </w:tcPr>
          <w:p w14:paraId="71F3FAA5"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A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118,194</w:t>
            </w:r>
          </w:p>
        </w:tc>
        <w:tc>
          <w:tcPr>
            <w:tcW w:w="180" w:type="dxa"/>
            <w:tcBorders>
              <w:top w:val="nil"/>
              <w:left w:val="nil"/>
              <w:bottom w:val="nil"/>
              <w:right w:val="nil"/>
              <w:tl2br w:val="nil"/>
              <w:tr2bl w:val="nil"/>
            </w:tcBorders>
            <w:noWrap/>
            <w:tcMar>
              <w:left w:w="0" w:type="dxa"/>
              <w:right w:w="0" w:type="dxa"/>
            </w:tcMar>
            <w:vAlign w:val="bottom"/>
          </w:tcPr>
          <w:p w14:paraId="71F3FAA7"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A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0" w:type="dxa"/>
              <w:right w:w="0" w:type="dxa"/>
            </w:tcMar>
            <w:vAlign w:val="bottom"/>
          </w:tcPr>
          <w:p w14:paraId="71F3FAA9"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40" w:type="dxa"/>
              <w:right w:w="100" w:type="dxa"/>
            </w:tcMar>
            <w:vAlign w:val="bottom"/>
          </w:tcPr>
          <w:p w14:paraId="71F3FAA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r>
      <w:tr w:rsidR="00510CAA" w14:paraId="71F3FAB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AC" w14:textId="77777777" w:rsidR="00510CAA" w:rsidRDefault="003A4815">
            <w:pPr>
              <w:keepNext/>
              <w:rPr>
                <w:rFonts w:ascii="Arial" w:eastAsia="Arial" w:hAnsi="Arial" w:cs="Arial"/>
                <w:color w:val="000000"/>
                <w:sz w:val="18"/>
              </w:rPr>
            </w:pPr>
            <w:r>
              <w:rPr>
                <w:rFonts w:ascii="Arial" w:eastAsia="Arial" w:hAnsi="Arial" w:cs="Arial"/>
                <w:color w:val="000000"/>
                <w:sz w:val="18"/>
              </w:rPr>
              <w:t>Investments in related party</w:t>
            </w:r>
          </w:p>
        </w:tc>
        <w:tc>
          <w:tcPr>
            <w:tcW w:w="180" w:type="dxa"/>
            <w:tcBorders>
              <w:top w:val="nil"/>
              <w:left w:val="nil"/>
              <w:bottom w:val="nil"/>
              <w:right w:val="nil"/>
              <w:tl2br w:val="nil"/>
              <w:tr2bl w:val="nil"/>
            </w:tcBorders>
            <w:noWrap/>
            <w:tcMar>
              <w:left w:w="40" w:type="dxa"/>
              <w:right w:w="100" w:type="dxa"/>
            </w:tcMar>
            <w:vAlign w:val="bottom"/>
          </w:tcPr>
          <w:p w14:paraId="71F3FAA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nil"/>
              <w:left w:val="nil"/>
              <w:bottom w:val="nil"/>
              <w:right w:val="nil"/>
              <w:tl2br w:val="nil"/>
              <w:tr2bl w:val="nil"/>
            </w:tcBorders>
            <w:noWrap/>
            <w:tcMar>
              <w:left w:w="40" w:type="dxa"/>
              <w:right w:w="100" w:type="dxa"/>
            </w:tcMar>
            <w:vAlign w:val="bottom"/>
          </w:tcPr>
          <w:p w14:paraId="71F3FAA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338</w:t>
            </w:r>
          </w:p>
        </w:tc>
        <w:tc>
          <w:tcPr>
            <w:tcW w:w="180" w:type="dxa"/>
            <w:tcBorders>
              <w:top w:val="nil"/>
              <w:left w:val="nil"/>
              <w:bottom w:val="nil"/>
              <w:right w:val="nil"/>
              <w:tl2br w:val="nil"/>
              <w:tr2bl w:val="nil"/>
            </w:tcBorders>
            <w:noWrap/>
            <w:tcMar>
              <w:left w:w="40" w:type="dxa"/>
              <w:right w:w="100" w:type="dxa"/>
            </w:tcMar>
            <w:vAlign w:val="bottom"/>
          </w:tcPr>
          <w:p w14:paraId="71F3FAAF"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B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158</w:t>
            </w:r>
          </w:p>
        </w:tc>
        <w:tc>
          <w:tcPr>
            <w:tcW w:w="180" w:type="dxa"/>
            <w:tcBorders>
              <w:top w:val="nil"/>
              <w:left w:val="nil"/>
              <w:bottom w:val="nil"/>
              <w:right w:val="nil"/>
              <w:tl2br w:val="nil"/>
              <w:tr2bl w:val="nil"/>
            </w:tcBorders>
            <w:noWrap/>
            <w:tcMar>
              <w:left w:w="40" w:type="dxa"/>
              <w:right w:w="100" w:type="dxa"/>
            </w:tcMar>
            <w:vAlign w:val="bottom"/>
          </w:tcPr>
          <w:p w14:paraId="71F3FAB1"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B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40" w:type="dxa"/>
              <w:right w:w="100" w:type="dxa"/>
            </w:tcMar>
            <w:vAlign w:val="bottom"/>
          </w:tcPr>
          <w:p w14:paraId="71F3FAB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B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w:t>
            </w:r>
          </w:p>
        </w:tc>
      </w:tr>
      <w:tr w:rsidR="00510CAA" w14:paraId="71F3FAB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dotted" w:sz="8" w:space="0" w:color="000000"/>
              <w:right w:val="nil"/>
              <w:tl2br w:val="nil"/>
              <w:tr2bl w:val="nil"/>
            </w:tcBorders>
            <w:tcMar>
              <w:left w:w="40" w:type="dxa"/>
              <w:right w:w="40" w:type="dxa"/>
            </w:tcMar>
            <w:vAlign w:val="bottom"/>
          </w:tcPr>
          <w:p w14:paraId="71F3FAB6" w14:textId="77777777" w:rsidR="00510CAA" w:rsidRDefault="003A4815">
            <w:pPr>
              <w:keepNext/>
              <w:rPr>
                <w:rFonts w:ascii="Arial" w:eastAsia="Arial" w:hAnsi="Arial" w:cs="Arial"/>
                <w:color w:val="000000"/>
                <w:sz w:val="18"/>
              </w:rPr>
            </w:pPr>
            <w:r>
              <w:rPr>
                <w:rFonts w:ascii="Arial" w:eastAsia="Arial" w:hAnsi="Arial" w:cs="Arial"/>
                <w:color w:val="000000"/>
                <w:sz w:val="18"/>
              </w:rPr>
              <w:t>Total recurring fair value measurements</w:t>
            </w:r>
          </w:p>
        </w:tc>
        <w:tc>
          <w:tcPr>
            <w:tcW w:w="180" w:type="dxa"/>
            <w:tcBorders>
              <w:top w:val="nil"/>
              <w:left w:val="nil"/>
              <w:bottom w:val="nil"/>
              <w:right w:val="nil"/>
              <w:tl2br w:val="nil"/>
              <w:tr2bl w:val="nil"/>
            </w:tcBorders>
            <w:noWrap/>
            <w:tcMar>
              <w:left w:w="40" w:type="dxa"/>
              <w:right w:w="100" w:type="dxa"/>
            </w:tcMar>
            <w:vAlign w:val="bottom"/>
          </w:tcPr>
          <w:p w14:paraId="71F3FAB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B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118,532</w:t>
            </w:r>
          </w:p>
        </w:tc>
        <w:tc>
          <w:tcPr>
            <w:tcW w:w="180" w:type="dxa"/>
            <w:tcBorders>
              <w:top w:val="nil"/>
              <w:left w:val="nil"/>
              <w:bottom w:val="nil"/>
              <w:right w:val="nil"/>
              <w:tl2br w:val="nil"/>
              <w:tr2bl w:val="nil"/>
            </w:tcBorders>
            <w:noWrap/>
            <w:tcMar>
              <w:left w:w="40" w:type="dxa"/>
              <w:right w:w="100" w:type="dxa"/>
            </w:tcMar>
            <w:vAlign w:val="bottom"/>
          </w:tcPr>
          <w:p w14:paraId="71F3FAB9"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B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118,352</w:t>
            </w:r>
          </w:p>
        </w:tc>
        <w:tc>
          <w:tcPr>
            <w:tcW w:w="180" w:type="dxa"/>
            <w:tcBorders>
              <w:top w:val="nil"/>
              <w:left w:val="nil"/>
              <w:bottom w:val="nil"/>
              <w:right w:val="nil"/>
              <w:tl2br w:val="nil"/>
              <w:tr2bl w:val="nil"/>
            </w:tcBorders>
            <w:noWrap/>
            <w:tcMar>
              <w:left w:w="40" w:type="dxa"/>
              <w:right w:w="100" w:type="dxa"/>
            </w:tcMar>
            <w:vAlign w:val="bottom"/>
          </w:tcPr>
          <w:p w14:paraId="71F3FABB"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B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40" w:type="dxa"/>
              <w:right w:w="100" w:type="dxa"/>
            </w:tcMar>
            <w:vAlign w:val="bottom"/>
          </w:tcPr>
          <w:p w14:paraId="71F3FABD"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B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180</w:t>
            </w:r>
          </w:p>
        </w:tc>
      </w:tr>
      <w:tr w:rsidR="00510CAA" w14:paraId="71F3FAC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dotted" w:sz="8" w:space="0" w:color="000000"/>
              <w:left w:val="nil"/>
              <w:bottom w:val="nil"/>
              <w:right w:val="nil"/>
              <w:tl2br w:val="nil"/>
              <w:tr2bl w:val="nil"/>
            </w:tcBorders>
            <w:tcMar>
              <w:left w:w="0" w:type="dxa"/>
              <w:right w:w="0" w:type="dxa"/>
            </w:tcMar>
            <w:vAlign w:val="bottom"/>
          </w:tcPr>
          <w:p w14:paraId="71F3FAC0"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C1" w14:textId="77777777" w:rsidR="00510CAA" w:rsidRDefault="00510CAA">
            <w:pPr>
              <w:keepNext/>
              <w:rPr>
                <w:rFonts w:ascii="Arial" w:eastAsia="Arial" w:hAnsi="Arial" w:cs="Arial"/>
                <w:color w:val="000000"/>
                <w:sz w:val="18"/>
              </w:rPr>
            </w:pPr>
          </w:p>
        </w:tc>
        <w:tc>
          <w:tcPr>
            <w:tcW w:w="1350" w:type="dxa"/>
            <w:tcBorders>
              <w:top w:val="dotted" w:sz="8" w:space="0" w:color="000000"/>
              <w:left w:val="nil"/>
              <w:bottom w:val="nil"/>
              <w:right w:val="nil"/>
              <w:tl2br w:val="nil"/>
              <w:tr2bl w:val="nil"/>
            </w:tcBorders>
            <w:noWrap/>
            <w:tcMar>
              <w:left w:w="0" w:type="dxa"/>
              <w:right w:w="0" w:type="dxa"/>
            </w:tcMar>
            <w:vAlign w:val="bottom"/>
          </w:tcPr>
          <w:p w14:paraId="71F3FAC2"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C3"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C4"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C5"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C6"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C7" w14:textId="77777777" w:rsidR="00510CAA" w:rsidRDefault="00510CAA">
            <w:pPr>
              <w:keepNext/>
              <w:rPr>
                <w:rFonts w:ascii="Arial" w:eastAsia="Arial" w:hAnsi="Arial" w:cs="Arial"/>
                <w:color w:val="000000"/>
                <w:sz w:val="18"/>
              </w:rPr>
            </w:pPr>
          </w:p>
        </w:tc>
        <w:tc>
          <w:tcPr>
            <w:tcW w:w="1440" w:type="dxa"/>
            <w:tcBorders>
              <w:top w:val="dotted" w:sz="8" w:space="0" w:color="000000"/>
              <w:left w:val="nil"/>
              <w:bottom w:val="nil"/>
              <w:right w:val="nil"/>
              <w:tl2br w:val="nil"/>
              <w:tr2bl w:val="nil"/>
            </w:tcBorders>
            <w:noWrap/>
            <w:tcMar>
              <w:left w:w="0" w:type="dxa"/>
              <w:right w:w="0" w:type="dxa"/>
            </w:tcMar>
            <w:vAlign w:val="bottom"/>
          </w:tcPr>
          <w:p w14:paraId="71F3FAC8" w14:textId="77777777" w:rsidR="00510CAA" w:rsidRDefault="00510CAA">
            <w:pPr>
              <w:keepNext/>
              <w:rPr>
                <w:rFonts w:ascii="Arial" w:eastAsia="Arial" w:hAnsi="Arial" w:cs="Arial"/>
                <w:color w:val="000000"/>
                <w:sz w:val="18"/>
              </w:rPr>
            </w:pPr>
          </w:p>
        </w:tc>
      </w:tr>
      <w:tr w:rsidR="00510CAA" w14:paraId="71F3FAD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CA" w14:textId="77777777" w:rsidR="00510CAA" w:rsidRDefault="003A4815">
            <w:pPr>
              <w:keepNext/>
              <w:rPr>
                <w:rFonts w:ascii="Arial" w:eastAsia="Arial" w:hAnsi="Arial" w:cs="Arial"/>
                <w:b/>
                <w:color w:val="000000"/>
                <w:sz w:val="18"/>
              </w:rPr>
            </w:pPr>
            <w:r>
              <w:rPr>
                <w:rFonts w:ascii="Arial" w:eastAsia="Arial" w:hAnsi="Arial" w:cs="Arial"/>
                <w:b/>
                <w:color w:val="000000"/>
                <w:sz w:val="18"/>
              </w:rPr>
              <w:t>Liabilities</w:t>
            </w:r>
          </w:p>
        </w:tc>
        <w:tc>
          <w:tcPr>
            <w:tcW w:w="180" w:type="dxa"/>
            <w:tcBorders>
              <w:top w:val="nil"/>
              <w:left w:val="nil"/>
              <w:bottom w:val="nil"/>
              <w:right w:val="nil"/>
              <w:tl2br w:val="nil"/>
              <w:tr2bl w:val="nil"/>
            </w:tcBorders>
            <w:noWrap/>
            <w:tcMar>
              <w:left w:w="0" w:type="dxa"/>
              <w:right w:w="0" w:type="dxa"/>
            </w:tcMar>
            <w:vAlign w:val="bottom"/>
          </w:tcPr>
          <w:p w14:paraId="71F3FACB"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CC"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CD"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CE"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CF"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D0"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D1"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D2" w14:textId="77777777" w:rsidR="00510CAA" w:rsidRDefault="00510CAA">
            <w:pPr>
              <w:keepNext/>
              <w:rPr>
                <w:rFonts w:ascii="Arial" w:eastAsia="Arial" w:hAnsi="Arial" w:cs="Arial"/>
                <w:color w:val="000000"/>
                <w:sz w:val="18"/>
              </w:rPr>
            </w:pPr>
          </w:p>
        </w:tc>
      </w:tr>
      <w:tr w:rsidR="00510CAA" w14:paraId="71F3FAD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D4" w14:textId="77777777" w:rsidR="00510CAA" w:rsidRDefault="003A4815">
            <w:pPr>
              <w:keepNext/>
              <w:rPr>
                <w:rFonts w:ascii="Arial" w:eastAsia="Arial" w:hAnsi="Arial" w:cs="Arial"/>
                <w:b/>
                <w:color w:val="000000"/>
                <w:sz w:val="18"/>
              </w:rPr>
            </w:pPr>
            <w:r>
              <w:rPr>
                <w:rFonts w:ascii="Arial" w:eastAsia="Arial" w:hAnsi="Arial" w:cs="Arial"/>
                <w:b/>
                <w:color w:val="000000"/>
                <w:sz w:val="18"/>
              </w:rPr>
              <w:t>Recurring fair value measurements</w:t>
            </w:r>
          </w:p>
        </w:tc>
        <w:tc>
          <w:tcPr>
            <w:tcW w:w="180" w:type="dxa"/>
            <w:tcBorders>
              <w:top w:val="nil"/>
              <w:left w:val="nil"/>
              <w:bottom w:val="nil"/>
              <w:right w:val="nil"/>
              <w:tl2br w:val="nil"/>
              <w:tr2bl w:val="nil"/>
            </w:tcBorders>
            <w:noWrap/>
            <w:tcMar>
              <w:left w:w="0" w:type="dxa"/>
              <w:right w:w="0" w:type="dxa"/>
            </w:tcMar>
            <w:vAlign w:val="bottom"/>
          </w:tcPr>
          <w:p w14:paraId="71F3FAD5" w14:textId="77777777" w:rsidR="00510CAA" w:rsidRDefault="00510CAA">
            <w:pPr>
              <w:keepNext/>
              <w:rPr>
                <w:rFonts w:ascii="Arial" w:eastAsia="Arial" w:hAnsi="Arial" w:cs="Arial"/>
                <w:b/>
                <w:color w:val="000000"/>
                <w:sz w:val="18"/>
              </w:rPr>
            </w:pPr>
          </w:p>
        </w:tc>
        <w:tc>
          <w:tcPr>
            <w:tcW w:w="1350" w:type="dxa"/>
            <w:tcBorders>
              <w:top w:val="nil"/>
              <w:left w:val="nil"/>
              <w:bottom w:val="nil"/>
              <w:right w:val="nil"/>
              <w:tl2br w:val="nil"/>
              <w:tr2bl w:val="nil"/>
            </w:tcBorders>
            <w:noWrap/>
            <w:tcMar>
              <w:left w:w="0" w:type="dxa"/>
              <w:right w:w="0" w:type="dxa"/>
            </w:tcMar>
            <w:vAlign w:val="bottom"/>
          </w:tcPr>
          <w:p w14:paraId="71F3FAD6"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D7"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D8" w14:textId="77777777" w:rsidR="00510CAA" w:rsidRDefault="00510CAA">
            <w:pPr>
              <w:keepNext/>
              <w:rPr>
                <w:rFonts w:ascii="Arial" w:eastAsia="Arial" w:hAnsi="Arial" w:cs="Arial"/>
                <w:color w:val="000000"/>
                <w:sz w:val="18"/>
              </w:rPr>
            </w:pPr>
          </w:p>
        </w:tc>
        <w:tc>
          <w:tcPr>
            <w:tcW w:w="180" w:type="dxa"/>
            <w:tcBorders>
              <w:top w:val="nil"/>
              <w:left w:val="nil"/>
              <w:bottom w:val="nil"/>
              <w:right w:val="nil"/>
              <w:tl2br w:val="nil"/>
              <w:tr2bl w:val="nil"/>
            </w:tcBorders>
            <w:noWrap/>
            <w:tcMar>
              <w:left w:w="0" w:type="dxa"/>
              <w:right w:w="0" w:type="dxa"/>
            </w:tcMar>
            <w:vAlign w:val="bottom"/>
          </w:tcPr>
          <w:p w14:paraId="71F3FAD9"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DA" w14:textId="77777777" w:rsidR="00510CAA" w:rsidRDefault="00510CAA">
            <w:pPr>
              <w:keepNext/>
              <w:rPr>
                <w:rFonts w:ascii="Arial" w:eastAsia="Arial" w:hAnsi="Arial" w:cs="Arial"/>
                <w:color w:val="000000"/>
                <w:sz w:val="18"/>
              </w:rPr>
            </w:pPr>
          </w:p>
        </w:tc>
        <w:tc>
          <w:tcPr>
            <w:tcW w:w="240" w:type="dxa"/>
            <w:tcBorders>
              <w:top w:val="nil"/>
              <w:left w:val="nil"/>
              <w:bottom w:val="nil"/>
              <w:right w:val="nil"/>
              <w:tl2br w:val="nil"/>
              <w:tr2bl w:val="nil"/>
            </w:tcBorders>
            <w:noWrap/>
            <w:tcMar>
              <w:left w:w="0" w:type="dxa"/>
              <w:right w:w="0" w:type="dxa"/>
            </w:tcMar>
            <w:vAlign w:val="bottom"/>
          </w:tcPr>
          <w:p w14:paraId="71F3FADB"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DC" w14:textId="77777777" w:rsidR="00510CAA" w:rsidRDefault="00510CAA">
            <w:pPr>
              <w:keepNext/>
              <w:rPr>
                <w:rFonts w:ascii="Arial" w:eastAsia="Arial" w:hAnsi="Arial" w:cs="Arial"/>
                <w:color w:val="000000"/>
                <w:sz w:val="18"/>
              </w:rPr>
            </w:pPr>
          </w:p>
        </w:tc>
      </w:tr>
      <w:tr w:rsidR="00510CAA" w14:paraId="71F3FAE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nil"/>
              <w:right w:val="nil"/>
              <w:tl2br w:val="nil"/>
              <w:tr2bl w:val="nil"/>
            </w:tcBorders>
            <w:noWrap/>
            <w:tcMar>
              <w:left w:w="40" w:type="dxa"/>
              <w:right w:w="40" w:type="dxa"/>
            </w:tcMar>
            <w:vAlign w:val="bottom"/>
          </w:tcPr>
          <w:p w14:paraId="71F3FADE" w14:textId="77777777" w:rsidR="00510CAA" w:rsidRDefault="003A4815">
            <w:pPr>
              <w:keepNext/>
              <w:rPr>
                <w:rFonts w:ascii="Arial" w:eastAsia="Arial" w:hAnsi="Arial" w:cs="Arial"/>
                <w:color w:val="000000"/>
                <w:sz w:val="18"/>
              </w:rPr>
            </w:pPr>
            <w:r>
              <w:rPr>
                <w:rFonts w:ascii="Arial" w:eastAsia="Arial" w:hAnsi="Arial" w:cs="Arial"/>
                <w:color w:val="000000"/>
                <w:sz w:val="18"/>
              </w:rPr>
              <w:t>Warrant liability</w:t>
            </w:r>
          </w:p>
        </w:tc>
        <w:tc>
          <w:tcPr>
            <w:tcW w:w="180" w:type="dxa"/>
            <w:tcBorders>
              <w:top w:val="nil"/>
              <w:left w:val="nil"/>
              <w:bottom w:val="nil"/>
              <w:right w:val="nil"/>
              <w:tl2br w:val="nil"/>
              <w:tr2bl w:val="nil"/>
            </w:tcBorders>
            <w:noWrap/>
            <w:tcMar>
              <w:left w:w="40" w:type="dxa"/>
              <w:right w:w="100" w:type="dxa"/>
            </w:tcMar>
            <w:vAlign w:val="bottom"/>
          </w:tcPr>
          <w:p w14:paraId="71F3FADF"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nil"/>
              <w:left w:val="nil"/>
              <w:bottom w:val="nil"/>
              <w:right w:val="nil"/>
              <w:tl2br w:val="nil"/>
              <w:tr2bl w:val="nil"/>
            </w:tcBorders>
            <w:noWrap/>
            <w:tcMar>
              <w:left w:w="40" w:type="dxa"/>
              <w:right w:w="100" w:type="dxa"/>
            </w:tcMar>
            <w:vAlign w:val="bottom"/>
          </w:tcPr>
          <w:p w14:paraId="71F3FAE0"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1,330</w:t>
            </w:r>
          </w:p>
        </w:tc>
        <w:tc>
          <w:tcPr>
            <w:tcW w:w="180" w:type="dxa"/>
            <w:tcBorders>
              <w:top w:val="nil"/>
              <w:left w:val="nil"/>
              <w:bottom w:val="nil"/>
              <w:right w:val="nil"/>
              <w:tl2br w:val="nil"/>
              <w:tr2bl w:val="nil"/>
            </w:tcBorders>
            <w:noWrap/>
            <w:tcMar>
              <w:left w:w="40" w:type="dxa"/>
              <w:right w:w="100" w:type="dxa"/>
            </w:tcMar>
            <w:vAlign w:val="bottom"/>
          </w:tcPr>
          <w:p w14:paraId="71F3FAE1"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E2"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1,330</w:t>
            </w:r>
          </w:p>
        </w:tc>
        <w:tc>
          <w:tcPr>
            <w:tcW w:w="180" w:type="dxa"/>
            <w:tcBorders>
              <w:top w:val="nil"/>
              <w:left w:val="nil"/>
              <w:bottom w:val="nil"/>
              <w:right w:val="nil"/>
              <w:tl2br w:val="nil"/>
              <w:tr2bl w:val="nil"/>
            </w:tcBorders>
            <w:noWrap/>
            <w:tcMar>
              <w:left w:w="40" w:type="dxa"/>
              <w:right w:w="100" w:type="dxa"/>
            </w:tcMar>
            <w:vAlign w:val="bottom"/>
          </w:tcPr>
          <w:p w14:paraId="71F3FAE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nil"/>
              <w:left w:val="nil"/>
              <w:bottom w:val="nil"/>
              <w:right w:val="nil"/>
              <w:tl2br w:val="nil"/>
              <w:tr2bl w:val="nil"/>
            </w:tcBorders>
            <w:noWrap/>
            <w:tcMar>
              <w:left w:w="40" w:type="dxa"/>
              <w:right w:w="100" w:type="dxa"/>
            </w:tcMar>
            <w:vAlign w:val="bottom"/>
          </w:tcPr>
          <w:p w14:paraId="71F3FAE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240" w:type="dxa"/>
            <w:tcBorders>
              <w:top w:val="nil"/>
              <w:left w:val="nil"/>
              <w:bottom w:val="nil"/>
              <w:right w:val="nil"/>
              <w:tl2br w:val="nil"/>
              <w:tr2bl w:val="nil"/>
            </w:tcBorders>
            <w:noWrap/>
            <w:tcMar>
              <w:left w:w="0" w:type="dxa"/>
              <w:right w:w="0" w:type="dxa"/>
            </w:tcMar>
            <w:vAlign w:val="bottom"/>
          </w:tcPr>
          <w:p w14:paraId="71F3FAE5"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E6" w14:textId="77777777" w:rsidR="00510CAA" w:rsidRDefault="00510CAA">
            <w:pPr>
              <w:keepNext/>
              <w:rPr>
                <w:rFonts w:ascii="Arial" w:eastAsia="Arial" w:hAnsi="Arial" w:cs="Arial"/>
                <w:color w:val="000000"/>
                <w:sz w:val="18"/>
              </w:rPr>
            </w:pPr>
          </w:p>
        </w:tc>
      </w:tr>
      <w:tr w:rsidR="00510CAA" w14:paraId="71F3FAF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nil"/>
              <w:left w:val="nil"/>
              <w:bottom w:val="single" w:sz="4" w:space="0" w:color="000000"/>
              <w:right w:val="nil"/>
              <w:tl2br w:val="nil"/>
              <w:tr2bl w:val="nil"/>
            </w:tcBorders>
            <w:noWrap/>
            <w:tcMar>
              <w:left w:w="40" w:type="dxa"/>
              <w:right w:w="40" w:type="dxa"/>
            </w:tcMar>
            <w:vAlign w:val="bottom"/>
          </w:tcPr>
          <w:p w14:paraId="71F3FAE8" w14:textId="77777777" w:rsidR="00510CAA" w:rsidRDefault="003A4815">
            <w:pPr>
              <w:keepNext/>
              <w:rPr>
                <w:rFonts w:ascii="Arial" w:eastAsia="Arial" w:hAnsi="Arial" w:cs="Arial"/>
                <w:color w:val="000000"/>
                <w:sz w:val="18"/>
              </w:rPr>
            </w:pPr>
            <w:r>
              <w:rPr>
                <w:rFonts w:ascii="Arial" w:eastAsia="Arial" w:hAnsi="Arial" w:cs="Arial"/>
                <w:color w:val="000000"/>
                <w:sz w:val="18"/>
              </w:rPr>
              <w:t>Interest rate swap, liability</w:t>
            </w:r>
          </w:p>
        </w:tc>
        <w:tc>
          <w:tcPr>
            <w:tcW w:w="180" w:type="dxa"/>
            <w:tcBorders>
              <w:top w:val="nil"/>
              <w:left w:val="nil"/>
              <w:bottom w:val="nil"/>
              <w:right w:val="nil"/>
              <w:tl2br w:val="nil"/>
              <w:tr2bl w:val="nil"/>
            </w:tcBorders>
            <w:noWrap/>
            <w:tcMar>
              <w:left w:w="0" w:type="dxa"/>
              <w:right w:w="0" w:type="dxa"/>
            </w:tcMar>
            <w:vAlign w:val="bottom"/>
          </w:tcPr>
          <w:p w14:paraId="71F3FAE9" w14:textId="77777777" w:rsidR="00510CAA" w:rsidRDefault="00510CAA">
            <w:pPr>
              <w:keepNext/>
              <w:rPr>
                <w:rFonts w:ascii="Arial" w:eastAsia="Arial" w:hAnsi="Arial" w:cs="Arial"/>
                <w:color w:val="000000"/>
                <w:sz w:val="18"/>
              </w:rPr>
            </w:pPr>
          </w:p>
        </w:tc>
        <w:tc>
          <w:tcPr>
            <w:tcW w:w="1350" w:type="dxa"/>
            <w:tcBorders>
              <w:top w:val="nil"/>
              <w:left w:val="nil"/>
              <w:bottom w:val="single" w:sz="4" w:space="0" w:color="000000"/>
              <w:right w:val="nil"/>
              <w:tl2br w:val="nil"/>
              <w:tr2bl w:val="nil"/>
            </w:tcBorders>
            <w:noWrap/>
            <w:tcMar>
              <w:left w:w="40" w:type="dxa"/>
              <w:right w:w="100" w:type="dxa"/>
            </w:tcMar>
            <w:vAlign w:val="bottom"/>
          </w:tcPr>
          <w:p w14:paraId="71F3FAEA"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361</w:t>
            </w:r>
          </w:p>
        </w:tc>
        <w:tc>
          <w:tcPr>
            <w:tcW w:w="180" w:type="dxa"/>
            <w:tcBorders>
              <w:top w:val="nil"/>
              <w:left w:val="nil"/>
              <w:bottom w:val="nil"/>
              <w:right w:val="nil"/>
              <w:tl2br w:val="nil"/>
              <w:tr2bl w:val="nil"/>
            </w:tcBorders>
            <w:noWrap/>
            <w:tcMar>
              <w:left w:w="0" w:type="dxa"/>
              <w:right w:w="0" w:type="dxa"/>
            </w:tcMar>
            <w:vAlign w:val="bottom"/>
          </w:tcPr>
          <w:p w14:paraId="71F3FAEB"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100" w:type="dxa"/>
            </w:tcMar>
            <w:vAlign w:val="bottom"/>
          </w:tcPr>
          <w:p w14:paraId="71F3FAEC"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w:t>
            </w:r>
          </w:p>
        </w:tc>
        <w:tc>
          <w:tcPr>
            <w:tcW w:w="180" w:type="dxa"/>
            <w:tcBorders>
              <w:top w:val="nil"/>
              <w:left w:val="nil"/>
              <w:bottom w:val="nil"/>
              <w:right w:val="nil"/>
              <w:tl2br w:val="nil"/>
              <w:tr2bl w:val="nil"/>
            </w:tcBorders>
            <w:noWrap/>
            <w:tcMar>
              <w:left w:w="0" w:type="dxa"/>
              <w:right w:w="0" w:type="dxa"/>
            </w:tcMar>
            <w:vAlign w:val="bottom"/>
          </w:tcPr>
          <w:p w14:paraId="71F3FAED" w14:textId="77777777" w:rsidR="00510CAA" w:rsidRDefault="00510CAA">
            <w:pPr>
              <w:keepNext/>
              <w:rPr>
                <w:rFonts w:ascii="Arial" w:eastAsia="Arial" w:hAnsi="Arial" w:cs="Arial"/>
                <w:color w:val="000000"/>
                <w:sz w:val="18"/>
              </w:rPr>
            </w:pPr>
          </w:p>
        </w:tc>
        <w:tc>
          <w:tcPr>
            <w:tcW w:w="1440" w:type="dxa"/>
            <w:tcBorders>
              <w:top w:val="nil"/>
              <w:left w:val="nil"/>
              <w:bottom w:val="single" w:sz="4" w:space="0" w:color="000000"/>
              <w:right w:val="nil"/>
              <w:tl2br w:val="nil"/>
              <w:tr2bl w:val="nil"/>
            </w:tcBorders>
            <w:noWrap/>
            <w:tcMar>
              <w:left w:w="40" w:type="dxa"/>
              <w:right w:w="100" w:type="dxa"/>
            </w:tcMar>
            <w:vAlign w:val="bottom"/>
          </w:tcPr>
          <w:p w14:paraId="71F3FAEE"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361</w:t>
            </w:r>
          </w:p>
        </w:tc>
        <w:tc>
          <w:tcPr>
            <w:tcW w:w="240" w:type="dxa"/>
            <w:tcBorders>
              <w:top w:val="nil"/>
              <w:left w:val="nil"/>
              <w:bottom w:val="nil"/>
              <w:right w:val="nil"/>
              <w:tl2br w:val="nil"/>
              <w:tr2bl w:val="nil"/>
            </w:tcBorders>
            <w:noWrap/>
            <w:tcMar>
              <w:left w:w="0" w:type="dxa"/>
              <w:right w:w="0" w:type="dxa"/>
            </w:tcMar>
            <w:vAlign w:val="bottom"/>
          </w:tcPr>
          <w:p w14:paraId="71F3FAEF"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F0" w14:textId="77777777" w:rsidR="00510CAA" w:rsidRDefault="00510CAA">
            <w:pPr>
              <w:keepNext/>
              <w:rPr>
                <w:rFonts w:ascii="Arial" w:eastAsia="Arial" w:hAnsi="Arial" w:cs="Arial"/>
                <w:color w:val="000000"/>
                <w:sz w:val="18"/>
              </w:rPr>
            </w:pPr>
          </w:p>
        </w:tc>
      </w:tr>
      <w:tr w:rsidR="00510CAA" w14:paraId="71F3FA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240"/>
        </w:trPr>
        <w:tc>
          <w:tcPr>
            <w:tcW w:w="3945" w:type="dxa"/>
            <w:tcBorders>
              <w:top w:val="single" w:sz="4" w:space="0" w:color="000000"/>
              <w:left w:val="nil"/>
              <w:bottom w:val="dotted" w:sz="8" w:space="0" w:color="000000"/>
              <w:right w:val="nil"/>
              <w:tl2br w:val="nil"/>
              <w:tr2bl w:val="nil"/>
            </w:tcBorders>
            <w:tcMar>
              <w:left w:w="40" w:type="dxa"/>
              <w:right w:w="40" w:type="dxa"/>
            </w:tcMar>
            <w:vAlign w:val="bottom"/>
          </w:tcPr>
          <w:p w14:paraId="71F3FAF2" w14:textId="77777777" w:rsidR="00510CAA" w:rsidRDefault="003A4815">
            <w:pPr>
              <w:keepNext/>
              <w:rPr>
                <w:rFonts w:ascii="Arial" w:eastAsia="Arial" w:hAnsi="Arial" w:cs="Arial"/>
                <w:color w:val="000000"/>
                <w:sz w:val="18"/>
              </w:rPr>
            </w:pPr>
            <w:r>
              <w:rPr>
                <w:rFonts w:ascii="Arial" w:eastAsia="Arial" w:hAnsi="Arial" w:cs="Arial"/>
                <w:color w:val="000000"/>
                <w:sz w:val="18"/>
              </w:rPr>
              <w:t>Total recurring fair value measurements</w:t>
            </w:r>
          </w:p>
        </w:tc>
        <w:tc>
          <w:tcPr>
            <w:tcW w:w="180" w:type="dxa"/>
            <w:tcBorders>
              <w:top w:val="nil"/>
              <w:left w:val="nil"/>
              <w:bottom w:val="nil"/>
              <w:right w:val="nil"/>
              <w:tl2br w:val="nil"/>
              <w:tr2bl w:val="nil"/>
            </w:tcBorders>
            <w:noWrap/>
            <w:tcMar>
              <w:left w:w="40" w:type="dxa"/>
              <w:right w:w="100" w:type="dxa"/>
            </w:tcMar>
            <w:vAlign w:val="bottom"/>
          </w:tcPr>
          <w:p w14:paraId="71F3FAF3"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35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F4"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1,691</w:t>
            </w:r>
          </w:p>
        </w:tc>
        <w:tc>
          <w:tcPr>
            <w:tcW w:w="180" w:type="dxa"/>
            <w:tcBorders>
              <w:top w:val="nil"/>
              <w:left w:val="nil"/>
              <w:bottom w:val="nil"/>
              <w:right w:val="nil"/>
              <w:tl2br w:val="nil"/>
              <w:tr2bl w:val="nil"/>
            </w:tcBorders>
            <w:noWrap/>
            <w:tcMar>
              <w:left w:w="40" w:type="dxa"/>
              <w:right w:w="100" w:type="dxa"/>
            </w:tcMar>
            <w:vAlign w:val="bottom"/>
          </w:tcPr>
          <w:p w14:paraId="71F3FAF5"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F6"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1,330</w:t>
            </w:r>
          </w:p>
        </w:tc>
        <w:tc>
          <w:tcPr>
            <w:tcW w:w="180" w:type="dxa"/>
            <w:tcBorders>
              <w:top w:val="nil"/>
              <w:left w:val="nil"/>
              <w:bottom w:val="nil"/>
              <w:right w:val="nil"/>
              <w:tl2br w:val="nil"/>
              <w:tr2bl w:val="nil"/>
            </w:tcBorders>
            <w:noWrap/>
            <w:tcMar>
              <w:left w:w="40" w:type="dxa"/>
              <w:right w:w="100" w:type="dxa"/>
            </w:tcMar>
            <w:vAlign w:val="bottom"/>
          </w:tcPr>
          <w:p w14:paraId="71F3FAF7" w14:textId="77777777" w:rsidR="00510CAA" w:rsidRDefault="003A4815">
            <w:pPr>
              <w:keepNext/>
              <w:rPr>
                <w:rFonts w:ascii="Arial" w:eastAsia="Arial" w:hAnsi="Arial" w:cs="Arial"/>
                <w:color w:val="000000"/>
                <w:sz w:val="18"/>
              </w:rPr>
            </w:pPr>
            <w:r>
              <w:rPr>
                <w:rFonts w:ascii="Arial" w:eastAsia="Arial" w:hAnsi="Arial" w:cs="Arial"/>
                <w:color w:val="000000"/>
                <w:sz w:val="18"/>
              </w:rPr>
              <w:t>$</w:t>
            </w:r>
          </w:p>
        </w:tc>
        <w:tc>
          <w:tcPr>
            <w:tcW w:w="1440" w:type="dxa"/>
            <w:tcBorders>
              <w:top w:val="single" w:sz="4" w:space="0" w:color="000000"/>
              <w:left w:val="nil"/>
              <w:bottom w:val="dotted" w:sz="8" w:space="0" w:color="000000"/>
              <w:right w:val="nil"/>
              <w:tl2br w:val="nil"/>
              <w:tr2bl w:val="nil"/>
            </w:tcBorders>
            <w:noWrap/>
            <w:tcMar>
              <w:left w:w="40" w:type="dxa"/>
              <w:right w:w="100" w:type="dxa"/>
            </w:tcMar>
            <w:vAlign w:val="bottom"/>
          </w:tcPr>
          <w:p w14:paraId="71F3FAF8" w14:textId="77777777" w:rsidR="00510CAA" w:rsidRDefault="003A4815">
            <w:pPr>
              <w:keepNext/>
              <w:jc w:val="right"/>
              <w:rPr>
                <w:rFonts w:ascii="Arial" w:eastAsia="Arial" w:hAnsi="Arial" w:cs="Arial"/>
                <w:color w:val="000000"/>
                <w:sz w:val="18"/>
              </w:rPr>
            </w:pPr>
            <w:r>
              <w:rPr>
                <w:rFonts w:ascii="Arial" w:eastAsia="Arial" w:hAnsi="Arial" w:cs="Arial"/>
                <w:color w:val="000000"/>
                <w:sz w:val="18"/>
              </w:rPr>
              <w:t>361</w:t>
            </w:r>
          </w:p>
        </w:tc>
        <w:tc>
          <w:tcPr>
            <w:tcW w:w="240" w:type="dxa"/>
            <w:tcBorders>
              <w:top w:val="nil"/>
              <w:left w:val="nil"/>
              <w:bottom w:val="nil"/>
              <w:right w:val="nil"/>
              <w:tl2br w:val="nil"/>
              <w:tr2bl w:val="nil"/>
            </w:tcBorders>
            <w:noWrap/>
            <w:tcMar>
              <w:left w:w="0" w:type="dxa"/>
              <w:right w:w="0" w:type="dxa"/>
            </w:tcMar>
            <w:vAlign w:val="bottom"/>
          </w:tcPr>
          <w:p w14:paraId="71F3FAF9" w14:textId="77777777" w:rsidR="00510CAA" w:rsidRDefault="00510CAA">
            <w:pPr>
              <w:keepNext/>
              <w:rPr>
                <w:rFonts w:ascii="Arial" w:eastAsia="Arial" w:hAnsi="Arial" w:cs="Arial"/>
                <w:color w:val="000000"/>
                <w:sz w:val="18"/>
              </w:rPr>
            </w:pPr>
          </w:p>
        </w:tc>
        <w:tc>
          <w:tcPr>
            <w:tcW w:w="1440" w:type="dxa"/>
            <w:tcBorders>
              <w:top w:val="nil"/>
              <w:left w:val="nil"/>
              <w:bottom w:val="nil"/>
              <w:right w:val="nil"/>
              <w:tl2br w:val="nil"/>
              <w:tr2bl w:val="nil"/>
            </w:tcBorders>
            <w:noWrap/>
            <w:tcMar>
              <w:left w:w="0" w:type="dxa"/>
              <w:right w:w="0" w:type="dxa"/>
            </w:tcMar>
            <w:vAlign w:val="bottom"/>
          </w:tcPr>
          <w:p w14:paraId="71F3FAFA" w14:textId="77777777" w:rsidR="00510CAA" w:rsidRDefault="00510CAA">
            <w:pPr>
              <w:keepNext/>
              <w:rPr>
                <w:rFonts w:ascii="Arial" w:eastAsia="Arial" w:hAnsi="Arial" w:cs="Arial"/>
                <w:color w:val="000000"/>
                <w:sz w:val="18"/>
              </w:rPr>
            </w:pPr>
          </w:p>
        </w:tc>
      </w:tr>
    </w:tbl>
    <w:p w14:paraId="71F3FAFC" w14:textId="77777777" w:rsidR="00510CAA" w:rsidRDefault="00510CAA">
      <w:pPr>
        <w:pBdr>
          <w:top w:val="nil"/>
          <w:left w:val="nil"/>
          <w:bottom w:val="nil"/>
          <w:right w:val="nil"/>
          <w:between w:val="nil"/>
          <w:bar w:val="nil"/>
        </w:pBdr>
        <w:rPr>
          <w:rFonts w:ascii="Arial" w:eastAsia="Arial" w:hAnsi="Arial" w:cs="Arial"/>
          <w:bdr w:val="nil"/>
          <w:lang w:val="en-US"/>
        </w:rPr>
      </w:pPr>
    </w:p>
    <w:p w14:paraId="71F3FAFD" w14:textId="77777777" w:rsidR="00D26295" w:rsidRPr="007431F1" w:rsidRDefault="003A4815" w:rsidP="00A76020">
      <w:pPr>
        <w:pStyle w:val="Header1notes"/>
        <w:keepLines/>
        <w:pBdr>
          <w:top w:val="nil"/>
          <w:left w:val="nil"/>
          <w:bottom w:val="nil"/>
          <w:right w:val="nil"/>
          <w:between w:val="nil"/>
          <w:bar w:val="nil"/>
        </w:pBdr>
        <w:spacing w:before="0" w:after="0"/>
        <w:ind w:left="567" w:hanging="567"/>
        <w:rPr>
          <w:rFonts w:ascii="Arial" w:eastAsia="Arial" w:hAnsi="Arial" w:cs="Arial"/>
          <w:szCs w:val="22"/>
          <w:bdr w:val="nil"/>
        </w:rPr>
      </w:pPr>
      <w:bookmarkStart w:id="890" w:name="RG_MARKER_23101"/>
      <w:bookmarkStart w:id="891" w:name="RG_MARKER_23100"/>
      <w:bookmarkStart w:id="892" w:name="_Hlk176887198"/>
      <w:bookmarkStart w:id="893" w:name="_Ref190574761"/>
      <w:bookmarkStart w:id="894" w:name="XBRL_TS_55695072d3f544709b46c5ae3e6b237d"/>
      <w:r w:rsidRPr="007431F1">
        <w:rPr>
          <w:rFonts w:ascii="Arial" w:eastAsia="Arial" w:hAnsi="Arial" w:cs="Arial"/>
          <w:szCs w:val="22"/>
        </w:rPr>
        <w:t>16</w:t>
      </w:r>
      <w:bookmarkEnd w:id="890"/>
      <w:bookmarkEnd w:id="891"/>
      <w:bookmarkEnd w:id="892"/>
      <w:r w:rsidRPr="007431F1">
        <w:rPr>
          <w:rFonts w:ascii="Arial" w:eastAsia="Arial" w:hAnsi="Arial" w:cs="Arial"/>
          <w:szCs w:val="22"/>
        </w:rPr>
        <w:t>.</w:t>
      </w:r>
      <w:r w:rsidRPr="007431F1">
        <w:rPr>
          <w:rFonts w:ascii="Arial" w:eastAsia="Arial" w:hAnsi="Arial" w:cs="Arial"/>
          <w:szCs w:val="22"/>
        </w:rPr>
        <w:tab/>
        <w:t>Subsequent Events</w:t>
      </w:r>
      <w:bookmarkEnd w:id="893"/>
    </w:p>
    <w:p w14:paraId="71F3FAFE" w14:textId="77777777" w:rsidR="00653972" w:rsidRPr="003C07A6" w:rsidRDefault="00653972" w:rsidP="003C07A6">
      <w:pPr>
        <w:pStyle w:val="ListParagraph"/>
        <w:pBdr>
          <w:top w:val="nil"/>
          <w:left w:val="nil"/>
          <w:bottom w:val="nil"/>
          <w:right w:val="nil"/>
          <w:between w:val="nil"/>
          <w:bar w:val="nil"/>
        </w:pBdr>
        <w:ind w:left="502"/>
        <w:jc w:val="both"/>
        <w:rPr>
          <w:rFonts w:ascii="Arial" w:eastAsia="Arial" w:hAnsi="Arial" w:cs="Arial"/>
          <w:b/>
          <w:bCs/>
          <w:color w:val="000000"/>
          <w:bdr w:val="nil"/>
          <w:lang w:val="en-US" w:eastAsia="el-GR"/>
        </w:rPr>
      </w:pPr>
    </w:p>
    <w:p w14:paraId="71F3FAFF" w14:textId="77777777" w:rsidR="00097A59" w:rsidRPr="00DB7AFE" w:rsidRDefault="003A4815" w:rsidP="00097A59">
      <w:pPr>
        <w:pStyle w:val="ListParagraph"/>
        <w:numPr>
          <w:ilvl w:val="0"/>
          <w:numId w:val="27"/>
        </w:numPr>
        <w:pBdr>
          <w:top w:val="nil"/>
          <w:left w:val="nil"/>
          <w:bottom w:val="nil"/>
          <w:right w:val="nil"/>
          <w:between w:val="nil"/>
          <w:bar w:val="nil"/>
        </w:pBdr>
        <w:jc w:val="both"/>
        <w:rPr>
          <w:rFonts w:ascii="Arial" w:eastAsia="Arial" w:hAnsi="Arial" w:cs="Arial"/>
          <w:bdr w:val="nil"/>
          <w:lang w:val="en-US" w:bidi="en-US"/>
        </w:rPr>
      </w:pPr>
      <w:bookmarkStart w:id="895" w:name="_Ref191789497"/>
      <w:r w:rsidRPr="007431F1">
        <w:rPr>
          <w:rFonts w:ascii="Arial" w:eastAsia="Arial" w:hAnsi="Arial" w:cs="Arial"/>
          <w:b/>
          <w:i/>
          <w:bdr w:val="none" w:sz="0" w:space="0" w:color="auto" w:frame="1"/>
          <w:lang w:val="en-US" w:bidi="en-US"/>
        </w:rPr>
        <w:t>Series B Preferred Stock Dividends</w:t>
      </w:r>
      <w:r w:rsidRPr="007431F1">
        <w:rPr>
          <w:rFonts w:ascii="Arial" w:eastAsia="Arial" w:hAnsi="Arial" w:cs="Arial"/>
          <w:lang w:val="en-GB" w:bidi="en-US"/>
        </w:rPr>
        <w:t xml:space="preserve">: On </w:t>
      </w:r>
      <w:r>
        <w:rPr>
          <w:rFonts w:ascii="Arial" w:eastAsia="Arial" w:hAnsi="Arial" w:cs="Arial"/>
          <w:lang w:val="en-GB" w:bidi="en-US"/>
        </w:rPr>
        <w:t>January</w:t>
      </w:r>
      <w:r w:rsidRPr="007431F1">
        <w:rPr>
          <w:rFonts w:ascii="Arial" w:eastAsia="Arial" w:hAnsi="Arial" w:cs="Arial"/>
          <w:lang w:val="en-GB" w:bidi="en-US"/>
        </w:rPr>
        <w:t xml:space="preserve"> 15, 202</w:t>
      </w:r>
      <w:r>
        <w:rPr>
          <w:rFonts w:ascii="Arial" w:eastAsia="Arial" w:hAnsi="Arial" w:cs="Arial"/>
          <w:lang w:val="en-GB" w:bidi="en-US"/>
        </w:rPr>
        <w:t>6</w:t>
      </w:r>
      <w:r w:rsidRPr="007431F1">
        <w:rPr>
          <w:rFonts w:ascii="Arial" w:eastAsia="Arial" w:hAnsi="Arial" w:cs="Arial"/>
          <w:lang w:val="en-GB" w:bidi="en-US"/>
        </w:rPr>
        <w:t xml:space="preserve">, the Company paid a quarterly </w:t>
      </w:r>
      <w:r w:rsidRPr="00DB7AFE">
        <w:rPr>
          <w:rFonts w:ascii="Arial" w:eastAsia="Arial" w:hAnsi="Arial" w:cs="Arial"/>
          <w:lang w:val="en-GB" w:bidi="en-US"/>
        </w:rPr>
        <w:t>dividend on its series B preferred stock, amounting to $</w:t>
      </w:r>
      <w:bookmarkStart w:id="896" w:name="XBRL_CS_4b8906ba065a4a39bc2d0570d3620620"/>
      <w:r w:rsidRPr="00DB7AFE">
        <w:rPr>
          <w:rFonts w:ascii="Arial" w:eastAsia="Arial" w:hAnsi="Arial" w:cs="Arial"/>
          <w:lang w:val="en-GB" w:bidi="en-US"/>
        </w:rPr>
        <w:t>0.5546875</w:t>
      </w:r>
      <w:bookmarkEnd w:id="896"/>
      <w:r w:rsidRPr="00DB7AFE">
        <w:rPr>
          <w:rFonts w:ascii="Arial" w:eastAsia="Arial" w:hAnsi="Arial" w:cs="Arial"/>
          <w:lang w:val="en-GB" w:bidi="en-US"/>
        </w:rPr>
        <w:t xml:space="preserve"> per share, or $</w:t>
      </w:r>
      <w:bookmarkStart w:id="897" w:name="XBRL_CS_2895fd859890421897ddd64bf5899def"/>
      <w:r w:rsidRPr="00DB7AFE">
        <w:rPr>
          <w:rFonts w:ascii="Arial" w:eastAsia="Arial" w:hAnsi="Arial" w:cs="Arial"/>
          <w:lang w:val="en-GB" w:bidi="en-US"/>
        </w:rPr>
        <w:t>1,442</w:t>
      </w:r>
      <w:bookmarkEnd w:id="897"/>
      <w:r w:rsidRPr="00DB7AFE">
        <w:rPr>
          <w:rFonts w:ascii="Arial" w:eastAsia="Arial" w:hAnsi="Arial" w:cs="Arial"/>
          <w:lang w:val="en-GB" w:bidi="en-US"/>
        </w:rPr>
        <w:t>, to its stockholders of record as of January 14, 2026</w:t>
      </w:r>
      <w:r w:rsidRPr="00DB7AFE">
        <w:rPr>
          <w:rFonts w:ascii="Arial" w:eastAsia="Arial" w:hAnsi="Arial" w:cs="Arial"/>
          <w:bdr w:val="none" w:sz="0" w:space="0" w:color="auto" w:frame="1"/>
          <w:lang w:val="en-US" w:bidi="en-US"/>
        </w:rPr>
        <w:t>.</w:t>
      </w:r>
      <w:r w:rsidRPr="00DB7AFE">
        <w:rPr>
          <w:rFonts w:ascii="Arial" w:eastAsia="Arial" w:hAnsi="Arial" w:cs="Arial"/>
          <w:lang w:val="en-GB" w:bidi="en-US"/>
        </w:rPr>
        <w:t xml:space="preserve">   </w:t>
      </w:r>
    </w:p>
    <w:p w14:paraId="71F3FB00" w14:textId="77777777" w:rsidR="00097A59" w:rsidRPr="00097A59" w:rsidRDefault="00097A59" w:rsidP="00097A59">
      <w:pPr>
        <w:pStyle w:val="ListParagraph"/>
        <w:pBdr>
          <w:top w:val="nil"/>
          <w:left w:val="nil"/>
          <w:bottom w:val="nil"/>
          <w:right w:val="nil"/>
          <w:between w:val="nil"/>
          <w:bar w:val="nil"/>
        </w:pBdr>
        <w:ind w:left="502"/>
        <w:jc w:val="both"/>
        <w:rPr>
          <w:rFonts w:ascii="Arial" w:eastAsia="Arial" w:hAnsi="Arial" w:cs="Arial"/>
          <w:b/>
          <w:bCs/>
          <w:color w:val="000000"/>
          <w:bdr w:val="nil"/>
          <w:lang w:val="en-US" w:eastAsia="el-GR"/>
        </w:rPr>
      </w:pPr>
    </w:p>
    <w:p w14:paraId="71F3FB01" w14:textId="77777777" w:rsidR="008F61D9" w:rsidRPr="00C92D2C" w:rsidRDefault="003A4815" w:rsidP="008F61D9">
      <w:pPr>
        <w:pStyle w:val="ListParagraph"/>
        <w:numPr>
          <w:ilvl w:val="0"/>
          <w:numId w:val="27"/>
        </w:numPr>
        <w:pBdr>
          <w:top w:val="nil"/>
          <w:left w:val="nil"/>
          <w:bottom w:val="nil"/>
          <w:right w:val="nil"/>
          <w:between w:val="nil"/>
          <w:bar w:val="nil"/>
        </w:pBdr>
        <w:jc w:val="both"/>
        <w:rPr>
          <w:rFonts w:ascii="Arial" w:eastAsia="Arial" w:hAnsi="Arial" w:cs="Arial"/>
          <w:b/>
          <w:bCs/>
          <w:color w:val="000000"/>
          <w:bdr w:val="nil"/>
          <w:lang w:val="en-US" w:eastAsia="el-GR"/>
        </w:rPr>
      </w:pPr>
      <w:r w:rsidRPr="00C92D2C">
        <w:rPr>
          <w:rFonts w:ascii="Arial" w:eastAsia="Arial" w:hAnsi="Arial" w:cs="Arial"/>
          <w:b/>
          <w:bCs/>
          <w:i/>
          <w:iCs/>
          <w:color w:val="000000"/>
          <w:lang w:val="en-US" w:eastAsia="el-GR"/>
        </w:rPr>
        <w:t>Sale of</w:t>
      </w:r>
      <w:r w:rsidR="00ED7596">
        <w:rPr>
          <w:rFonts w:ascii="Arial" w:eastAsia="Arial" w:hAnsi="Arial" w:cs="Arial"/>
          <w:b/>
          <w:bCs/>
          <w:i/>
          <w:iCs/>
          <w:color w:val="000000"/>
          <w:lang w:val="en-US" w:eastAsia="el-GR"/>
        </w:rPr>
        <w:t xml:space="preserve"> DSI</w:t>
      </w:r>
      <w:r w:rsidRPr="00C92D2C">
        <w:rPr>
          <w:rFonts w:ascii="Arial" w:eastAsia="Arial" w:hAnsi="Arial" w:cs="Arial"/>
          <w:b/>
          <w:bCs/>
          <w:i/>
          <w:iCs/>
          <w:color w:val="000000"/>
          <w:lang w:val="en-US" w:eastAsia="el-GR"/>
        </w:rPr>
        <w:t xml:space="preserve"> Drammen</w:t>
      </w:r>
      <w:r w:rsidR="008B1C8D">
        <w:rPr>
          <w:rFonts w:ascii="Arial" w:eastAsia="Arial" w:hAnsi="Arial" w:cs="Arial"/>
          <w:b/>
          <w:bCs/>
          <w:i/>
          <w:iCs/>
          <w:color w:val="000000"/>
          <w:lang w:val="en-US" w:eastAsia="el-GR"/>
        </w:rPr>
        <w:t xml:space="preserve"> and return of capital</w:t>
      </w:r>
      <w:r w:rsidRPr="00C92D2C">
        <w:rPr>
          <w:rFonts w:ascii="Arial" w:eastAsia="Arial" w:hAnsi="Arial" w:cs="Arial"/>
          <w:b/>
          <w:bCs/>
          <w:color w:val="000000"/>
          <w:lang w:val="en-US" w:eastAsia="el-GR"/>
        </w:rPr>
        <w:t>:</w:t>
      </w:r>
      <w:r w:rsidR="005B39B6" w:rsidRPr="005B39B6">
        <w:rPr>
          <w:rFonts w:ascii="Arial" w:eastAsia="Arial" w:hAnsi="Arial" w:cs="Arial"/>
          <w:lang w:val="en-US" w:bidi="en-US"/>
        </w:rPr>
        <w:t xml:space="preserve"> </w:t>
      </w:r>
      <w:r w:rsidR="008B1C8D">
        <w:rPr>
          <w:rFonts w:ascii="Arial" w:eastAsia="Arial" w:hAnsi="Arial" w:cs="Arial"/>
          <w:lang w:val="en-US" w:bidi="en-US"/>
        </w:rPr>
        <w:t xml:space="preserve">Following the sale of the vessel </w:t>
      </w:r>
      <w:r w:rsidR="00ED7596">
        <w:rPr>
          <w:rFonts w:ascii="Arial" w:eastAsia="Arial" w:hAnsi="Arial" w:cs="Arial"/>
          <w:lang w:val="en-US" w:bidi="en-US"/>
        </w:rPr>
        <w:t xml:space="preserve">DSI </w:t>
      </w:r>
      <w:r w:rsidR="008B1C8D">
        <w:rPr>
          <w:rFonts w:ascii="Arial" w:eastAsia="Arial" w:hAnsi="Arial" w:cs="Arial"/>
          <w:lang w:val="en-US" w:bidi="en-US"/>
        </w:rPr>
        <w:t xml:space="preserve">Drammen by Bergen and its delivery to its new owners, </w:t>
      </w:r>
      <w:r w:rsidR="005B0EFA">
        <w:rPr>
          <w:rFonts w:ascii="Arial" w:eastAsia="Arial" w:hAnsi="Arial" w:cs="Arial"/>
          <w:lang w:val="en-US" w:bidi="en-US"/>
        </w:rPr>
        <w:t xml:space="preserve">Bergen distributed </w:t>
      </w:r>
      <w:r w:rsidR="008B1C8D" w:rsidRPr="005B39B6">
        <w:rPr>
          <w:rFonts w:ascii="Arial" w:eastAsia="Arial" w:hAnsi="Arial" w:cs="Arial"/>
          <w:lang w:val="en-US" w:bidi="en-US"/>
        </w:rPr>
        <w:t>$</w:t>
      </w:r>
      <w:bookmarkStart w:id="898" w:name="XBRL_CS_2842a47ec59e43c0a5545e5ee62bf5d3"/>
      <w:r w:rsidR="008B1C8D" w:rsidRPr="005B39B6">
        <w:rPr>
          <w:rFonts w:ascii="Arial" w:eastAsia="Arial" w:hAnsi="Arial" w:cs="Arial"/>
          <w:lang w:val="en-US" w:bidi="en-US"/>
        </w:rPr>
        <w:t>3</w:t>
      </w:r>
      <w:r w:rsidR="008B1C8D">
        <w:rPr>
          <w:rFonts w:ascii="Arial" w:eastAsia="Arial" w:hAnsi="Arial" w:cs="Arial"/>
          <w:lang w:val="en-US" w:bidi="en-US"/>
        </w:rPr>
        <w:t>,675</w:t>
      </w:r>
      <w:bookmarkEnd w:id="898"/>
      <w:r w:rsidR="008B1C8D">
        <w:rPr>
          <w:rFonts w:ascii="Arial" w:eastAsia="Arial" w:hAnsi="Arial" w:cs="Arial"/>
          <w:lang w:val="en-US" w:bidi="en-US"/>
        </w:rPr>
        <w:t xml:space="preserve"> </w:t>
      </w:r>
      <w:r w:rsidR="005B0EFA">
        <w:rPr>
          <w:rFonts w:ascii="Arial" w:eastAsia="Arial" w:hAnsi="Arial" w:cs="Arial"/>
          <w:lang w:val="en-US" w:bidi="en-US"/>
        </w:rPr>
        <w:t>to the Company</w:t>
      </w:r>
      <w:r w:rsidR="005B39B6" w:rsidRPr="005B39B6">
        <w:rPr>
          <w:rFonts w:ascii="Arial" w:eastAsia="Arial" w:hAnsi="Arial" w:cs="Arial"/>
          <w:lang w:val="en-US" w:bidi="en-US"/>
        </w:rPr>
        <w:t xml:space="preserve"> </w:t>
      </w:r>
      <w:r w:rsidR="008B1C8D">
        <w:rPr>
          <w:rFonts w:ascii="Arial" w:eastAsia="Arial" w:hAnsi="Arial" w:cs="Arial"/>
          <w:lang w:val="en-US" w:bidi="en-US"/>
        </w:rPr>
        <w:t>o</w:t>
      </w:r>
      <w:r w:rsidR="008B1C8D" w:rsidRPr="005B39B6">
        <w:rPr>
          <w:rFonts w:ascii="Arial" w:eastAsia="Arial" w:hAnsi="Arial" w:cs="Arial"/>
          <w:lang w:val="en-US" w:bidi="en-US"/>
        </w:rPr>
        <w:t xml:space="preserve">n January 29, 2026, </w:t>
      </w:r>
      <w:r w:rsidR="005B0EFA">
        <w:rPr>
          <w:rFonts w:ascii="Arial" w:eastAsia="Arial" w:hAnsi="Arial" w:cs="Arial"/>
          <w:lang w:val="en-US" w:bidi="en-US"/>
        </w:rPr>
        <w:t>as return of capital</w:t>
      </w:r>
      <w:r w:rsidR="008B1C8D">
        <w:rPr>
          <w:rFonts w:ascii="Arial" w:eastAsia="Arial" w:hAnsi="Arial" w:cs="Arial"/>
          <w:lang w:val="en-US" w:bidi="en-US"/>
        </w:rPr>
        <w:t>, which reduced the carrying amount of the equity method investment</w:t>
      </w:r>
      <w:r w:rsidR="00097A59">
        <w:rPr>
          <w:rFonts w:ascii="Arial" w:eastAsia="Arial" w:hAnsi="Arial" w:cs="Arial"/>
          <w:lang w:val="en-US" w:bidi="en-US"/>
        </w:rPr>
        <w:t xml:space="preserve"> (Note 4)</w:t>
      </w:r>
      <w:r w:rsidR="005B39B6" w:rsidRPr="005B39B6">
        <w:rPr>
          <w:rFonts w:ascii="Arial" w:eastAsia="Arial" w:hAnsi="Arial" w:cs="Arial"/>
          <w:lang w:val="en-US" w:bidi="en-US"/>
        </w:rPr>
        <w:t>.</w:t>
      </w:r>
      <w:r w:rsidR="00085971">
        <w:rPr>
          <w:rFonts w:ascii="Arial" w:eastAsia="Arial" w:hAnsi="Arial" w:cs="Arial"/>
          <w:lang w:val="en-US" w:bidi="en-US"/>
        </w:rPr>
        <w:t xml:space="preserve"> </w:t>
      </w:r>
      <w:r w:rsidR="00097A59">
        <w:rPr>
          <w:rFonts w:ascii="Arial" w:eastAsia="Arial" w:hAnsi="Arial" w:cs="Arial"/>
          <w:lang w:val="en-US" w:bidi="en-US"/>
        </w:rPr>
        <w:t>Upon completion of the vessel</w:t>
      </w:r>
      <w:r w:rsidR="00085971" w:rsidRPr="00085971">
        <w:rPr>
          <w:rFonts w:ascii="Arial" w:eastAsia="Arial" w:hAnsi="Arial" w:cs="Arial"/>
          <w:lang w:val="en-US" w:bidi="en-US"/>
        </w:rPr>
        <w:t xml:space="preserve"> sale and the full repayment of </w:t>
      </w:r>
      <w:r w:rsidR="00097A59">
        <w:rPr>
          <w:rFonts w:ascii="Arial" w:eastAsia="Arial" w:hAnsi="Arial" w:cs="Arial"/>
          <w:lang w:val="en-US" w:bidi="en-US"/>
        </w:rPr>
        <w:t>Bergen’s</w:t>
      </w:r>
      <w:r w:rsidR="00085971" w:rsidRPr="00085971">
        <w:rPr>
          <w:rFonts w:ascii="Arial" w:eastAsia="Arial" w:hAnsi="Arial" w:cs="Arial"/>
          <w:lang w:val="en-US" w:bidi="en-US"/>
        </w:rPr>
        <w:t xml:space="preserve"> loan</w:t>
      </w:r>
      <w:r w:rsidR="00097A59">
        <w:rPr>
          <w:rFonts w:ascii="Arial" w:eastAsia="Arial" w:hAnsi="Arial" w:cs="Arial"/>
          <w:lang w:val="en-US" w:bidi="en-US"/>
        </w:rPr>
        <w:t xml:space="preserve"> with Nordea</w:t>
      </w:r>
      <w:r w:rsidR="00085971">
        <w:rPr>
          <w:rFonts w:ascii="Arial" w:eastAsia="Arial" w:hAnsi="Arial" w:cs="Arial"/>
          <w:lang w:val="en-US" w:bidi="en-US"/>
        </w:rPr>
        <w:t xml:space="preserve">, the </w:t>
      </w:r>
      <w:r w:rsidR="00097A59">
        <w:rPr>
          <w:rFonts w:ascii="Arial" w:eastAsia="Arial" w:hAnsi="Arial" w:cs="Arial"/>
          <w:lang w:val="en-US" w:bidi="en-US"/>
        </w:rPr>
        <w:t xml:space="preserve">Company’s </w:t>
      </w:r>
      <w:r w:rsidR="00085971" w:rsidRPr="00085971">
        <w:rPr>
          <w:rFonts w:ascii="Arial" w:eastAsia="Arial" w:hAnsi="Arial" w:cs="Arial"/>
          <w:lang w:val="en-US" w:bidi="en-US"/>
        </w:rPr>
        <w:t xml:space="preserve">corporate guarantee </w:t>
      </w:r>
      <w:r w:rsidR="00097A59">
        <w:rPr>
          <w:rFonts w:ascii="Arial" w:eastAsia="Arial" w:hAnsi="Arial" w:cs="Arial"/>
          <w:lang w:val="en-US" w:bidi="en-US"/>
        </w:rPr>
        <w:t>provided to</w:t>
      </w:r>
      <w:r w:rsidR="00085971" w:rsidRPr="00085971">
        <w:rPr>
          <w:rFonts w:ascii="Arial" w:eastAsia="Arial" w:hAnsi="Arial" w:cs="Arial"/>
          <w:lang w:val="en-US" w:bidi="en-US"/>
        </w:rPr>
        <w:t xml:space="preserve"> Nordea </w:t>
      </w:r>
      <w:r w:rsidR="00097A59">
        <w:rPr>
          <w:rFonts w:ascii="Arial" w:eastAsia="Arial" w:hAnsi="Arial" w:cs="Arial"/>
          <w:lang w:val="en-US" w:bidi="en-US"/>
        </w:rPr>
        <w:t xml:space="preserve">for Bergen’s obligations under the loan </w:t>
      </w:r>
      <w:r w:rsidR="00085971">
        <w:rPr>
          <w:rFonts w:ascii="Arial" w:eastAsia="Arial" w:hAnsi="Arial" w:cs="Arial"/>
          <w:lang w:val="en-US" w:bidi="en-US"/>
        </w:rPr>
        <w:t>was released</w:t>
      </w:r>
      <w:r w:rsidR="005B0EFA">
        <w:rPr>
          <w:rFonts w:ascii="Arial" w:eastAsia="Arial" w:hAnsi="Arial" w:cs="Arial"/>
          <w:lang w:val="en-US" w:bidi="en-US"/>
        </w:rPr>
        <w:t xml:space="preserve"> (Note 10)</w:t>
      </w:r>
      <w:r w:rsidR="00085971">
        <w:rPr>
          <w:rFonts w:ascii="Arial" w:eastAsia="Arial" w:hAnsi="Arial" w:cs="Arial"/>
          <w:lang w:val="en-US" w:bidi="en-US"/>
        </w:rPr>
        <w:t>.</w:t>
      </w:r>
    </w:p>
    <w:p w14:paraId="71F3FB02" w14:textId="77777777" w:rsidR="008F61D9" w:rsidRPr="008F61D9" w:rsidRDefault="008F61D9" w:rsidP="008F61D9">
      <w:pPr>
        <w:pStyle w:val="ListParagraph"/>
        <w:pBdr>
          <w:top w:val="nil"/>
          <w:left w:val="nil"/>
          <w:bottom w:val="nil"/>
          <w:right w:val="nil"/>
          <w:between w:val="nil"/>
          <w:bar w:val="nil"/>
        </w:pBdr>
        <w:ind w:left="502"/>
        <w:jc w:val="both"/>
        <w:rPr>
          <w:rFonts w:ascii="Arial" w:eastAsia="Arial" w:hAnsi="Arial" w:cs="Arial"/>
          <w:bdr w:val="nil"/>
          <w:lang w:val="en-US" w:bidi="en-US"/>
        </w:rPr>
      </w:pPr>
    </w:p>
    <w:p w14:paraId="71F3FB03" w14:textId="77777777" w:rsidR="008E4BF9" w:rsidRDefault="003A4815" w:rsidP="008E4BF9">
      <w:pPr>
        <w:pStyle w:val="ListParagraph"/>
        <w:numPr>
          <w:ilvl w:val="0"/>
          <w:numId w:val="27"/>
        </w:numPr>
        <w:pBdr>
          <w:top w:val="nil"/>
          <w:left w:val="nil"/>
          <w:bottom w:val="nil"/>
          <w:right w:val="nil"/>
          <w:between w:val="nil"/>
          <w:bar w:val="nil"/>
        </w:pBdr>
        <w:jc w:val="both"/>
        <w:rPr>
          <w:rFonts w:ascii="Arial" w:eastAsia="Arial" w:hAnsi="Arial" w:cs="Arial"/>
          <w:bdr w:val="nil"/>
          <w:lang w:val="en-US"/>
        </w:rPr>
      </w:pPr>
      <w:r>
        <w:rPr>
          <w:rFonts w:ascii="Arial" w:eastAsia="Arial" w:hAnsi="Arial" w:cs="Arial"/>
          <w:b/>
          <w:i/>
          <w:szCs w:val="24"/>
          <w:lang w:val="en-US" w:bidi="en-US"/>
        </w:rPr>
        <w:t>Restricted share awards:</w:t>
      </w:r>
      <w:r>
        <w:rPr>
          <w:rFonts w:ascii="Arial" w:eastAsia="Arial" w:hAnsi="Arial" w:cs="Arial"/>
          <w:szCs w:val="24"/>
          <w:lang w:val="en-US" w:bidi="en-US"/>
        </w:rPr>
        <w:t xml:space="preserve"> </w:t>
      </w:r>
      <w:r>
        <w:rPr>
          <w:rFonts w:ascii="Arial" w:eastAsia="Arial" w:hAnsi="Arial" w:cs="Arial"/>
          <w:szCs w:val="24"/>
          <w:lang w:val="en-GB" w:bidi="en-US"/>
        </w:rPr>
        <w:t>On February 25, 202</w:t>
      </w:r>
      <w:r w:rsidR="00BA5A1D">
        <w:rPr>
          <w:rFonts w:ascii="Arial" w:eastAsia="Arial" w:hAnsi="Arial" w:cs="Arial"/>
          <w:szCs w:val="24"/>
          <w:lang w:val="en-GB" w:bidi="en-US"/>
        </w:rPr>
        <w:t>6</w:t>
      </w:r>
      <w:r>
        <w:rPr>
          <w:rFonts w:ascii="Arial" w:eastAsia="Arial" w:hAnsi="Arial" w:cs="Arial"/>
          <w:szCs w:val="24"/>
          <w:lang w:val="en-GB" w:bidi="en-US"/>
        </w:rPr>
        <w:t xml:space="preserve">, the Company’s Board of Directors approved the award of </w:t>
      </w:r>
      <w:bookmarkStart w:id="899" w:name="XBRL_CS_3f29a58749a24d6a8cc65c51b88b199b"/>
      <w:r w:rsidR="00ED7596">
        <w:rPr>
          <w:rFonts w:ascii="Arial" w:eastAsia="Arial" w:hAnsi="Arial" w:cs="Arial"/>
          <w:szCs w:val="24"/>
          <w:lang w:val="en-GB" w:bidi="en-US"/>
        </w:rPr>
        <w:t>7,750,000</w:t>
      </w:r>
      <w:bookmarkEnd w:id="899"/>
      <w:r>
        <w:rPr>
          <w:rFonts w:ascii="Arial" w:eastAsia="Arial" w:hAnsi="Arial" w:cs="Arial"/>
          <w:szCs w:val="24"/>
          <w:lang w:val="en-GB" w:bidi="en-US"/>
        </w:rPr>
        <w:t xml:space="preserve"> shares of restricted common stock to executive management and non-executive directors, pursuant to the Company’s amended plan, as annual bonus. The fair value of the restricted shares based on the closing price on the date of the Board of Directors’ approval was </w:t>
      </w:r>
      <w:r w:rsidR="00ED7596">
        <w:rPr>
          <w:rFonts w:ascii="Arial" w:eastAsia="Arial" w:hAnsi="Arial" w:cs="Arial"/>
          <w:szCs w:val="24"/>
          <w:lang w:val="en-GB" w:bidi="en-US"/>
        </w:rPr>
        <w:t>$</w:t>
      </w:r>
      <w:bookmarkStart w:id="900" w:name="XBRL_CS_3a4ee4dee4a349c397f7f882135f5b95"/>
      <w:r w:rsidR="00ED7596">
        <w:rPr>
          <w:rFonts w:ascii="Arial" w:eastAsia="Arial" w:hAnsi="Arial" w:cs="Arial"/>
          <w:szCs w:val="24"/>
          <w:lang w:val="en-GB" w:bidi="en-US"/>
        </w:rPr>
        <w:t>20,073</w:t>
      </w:r>
      <w:bookmarkEnd w:id="900"/>
      <w:r>
        <w:rPr>
          <w:rFonts w:ascii="Arial" w:eastAsia="Arial" w:hAnsi="Arial" w:cs="Arial"/>
          <w:szCs w:val="24"/>
          <w:lang w:val="en-GB" w:bidi="en-US"/>
        </w:rPr>
        <w:t xml:space="preserve">. The cost of these awards will be recognized ratably over the restricted shares vesting period which will be </w:t>
      </w:r>
      <w:bookmarkStart w:id="901" w:name="XBRL_CS_c163d61452b5484d98077f0c704bcb75"/>
      <w:r>
        <w:rPr>
          <w:rFonts w:ascii="Arial" w:eastAsia="Arial" w:hAnsi="Arial" w:cs="Arial"/>
          <w:szCs w:val="24"/>
          <w:lang w:val="en-GB" w:bidi="en-US"/>
        </w:rPr>
        <w:t>3</w:t>
      </w:r>
      <w:bookmarkEnd w:id="901"/>
      <w:r w:rsidR="00ED7596">
        <w:rPr>
          <w:rFonts w:ascii="Arial" w:eastAsia="Arial" w:hAnsi="Arial" w:cs="Arial"/>
          <w:szCs w:val="24"/>
          <w:lang w:val="en-GB" w:bidi="en-US"/>
        </w:rPr>
        <w:t xml:space="preserve"> and </w:t>
      </w:r>
      <w:bookmarkStart w:id="902" w:name="XBRL_CS_e8f66517d92c4e8499e0939c51ce1d23"/>
      <w:r w:rsidR="00ED7596">
        <w:rPr>
          <w:rFonts w:ascii="Arial" w:eastAsia="Arial" w:hAnsi="Arial" w:cs="Arial"/>
          <w:szCs w:val="24"/>
          <w:lang w:val="en-GB" w:bidi="en-US"/>
        </w:rPr>
        <w:t>6</w:t>
      </w:r>
      <w:bookmarkEnd w:id="902"/>
      <w:r>
        <w:rPr>
          <w:rFonts w:ascii="Arial" w:eastAsia="Arial" w:hAnsi="Arial" w:cs="Arial"/>
          <w:szCs w:val="24"/>
          <w:lang w:val="en-GB" w:bidi="en-US"/>
        </w:rPr>
        <w:t xml:space="preserve"> years</w:t>
      </w:r>
      <w:r w:rsidR="00ED7596">
        <w:rPr>
          <w:rFonts w:ascii="Arial" w:eastAsia="Arial" w:hAnsi="Arial" w:cs="Arial"/>
          <w:szCs w:val="24"/>
          <w:lang w:val="en-GB" w:bidi="en-US"/>
        </w:rPr>
        <w:t xml:space="preserve"> for </w:t>
      </w:r>
      <w:bookmarkStart w:id="903" w:name="XBRL_CS_8f3b8820c2f0479a93927fd688dfd4f7"/>
      <w:r w:rsidR="00ED7596">
        <w:rPr>
          <w:rFonts w:ascii="Arial" w:eastAsia="Arial" w:hAnsi="Arial" w:cs="Arial"/>
          <w:szCs w:val="24"/>
          <w:lang w:val="en-GB" w:bidi="en-US"/>
        </w:rPr>
        <w:t>1,850,000</w:t>
      </w:r>
      <w:bookmarkEnd w:id="903"/>
      <w:r w:rsidR="00ED7596">
        <w:rPr>
          <w:rFonts w:ascii="Arial" w:eastAsia="Arial" w:hAnsi="Arial" w:cs="Arial"/>
          <w:szCs w:val="24"/>
          <w:lang w:val="en-GB" w:bidi="en-US"/>
        </w:rPr>
        <w:t xml:space="preserve"> and </w:t>
      </w:r>
      <w:bookmarkStart w:id="904" w:name="XBRL_CS_094de8399da24eba8288c8a63c05d675"/>
      <w:r w:rsidR="00ED7596">
        <w:rPr>
          <w:rFonts w:ascii="Arial" w:eastAsia="Arial" w:hAnsi="Arial" w:cs="Arial"/>
          <w:szCs w:val="24"/>
          <w:lang w:val="en-GB" w:bidi="en-US"/>
        </w:rPr>
        <w:t>5,900,000</w:t>
      </w:r>
      <w:bookmarkEnd w:id="904"/>
      <w:r w:rsidR="00ED7596">
        <w:rPr>
          <w:rFonts w:ascii="Arial" w:eastAsia="Arial" w:hAnsi="Arial" w:cs="Arial"/>
          <w:szCs w:val="24"/>
          <w:lang w:val="en-GB" w:bidi="en-US"/>
        </w:rPr>
        <w:t xml:space="preserve"> shares, respectively</w:t>
      </w:r>
      <w:r>
        <w:rPr>
          <w:rFonts w:ascii="Arial" w:eastAsia="Arial" w:hAnsi="Arial" w:cs="Arial"/>
          <w:szCs w:val="24"/>
          <w:lang w:val="en-GB" w:bidi="en-US"/>
        </w:rPr>
        <w:t>.</w:t>
      </w:r>
    </w:p>
    <w:p w14:paraId="71F3FB04" w14:textId="77777777" w:rsidR="008E4BF9" w:rsidRPr="008E4BF9" w:rsidRDefault="008E4BF9" w:rsidP="008E4BF9">
      <w:pPr>
        <w:pStyle w:val="ListParagraph"/>
        <w:pBdr>
          <w:top w:val="nil"/>
          <w:left w:val="nil"/>
          <w:bottom w:val="nil"/>
          <w:right w:val="nil"/>
          <w:between w:val="nil"/>
          <w:bar w:val="nil"/>
        </w:pBdr>
        <w:ind w:left="502"/>
        <w:jc w:val="both"/>
        <w:rPr>
          <w:rFonts w:ascii="Arial" w:eastAsia="Arial" w:hAnsi="Arial" w:cs="Arial"/>
          <w:bdr w:val="nil"/>
          <w:lang w:val="en-GB"/>
        </w:rPr>
      </w:pPr>
    </w:p>
    <w:p w14:paraId="71F3FB05" w14:textId="77777777" w:rsidR="007431F1" w:rsidRPr="00447139" w:rsidRDefault="003A4815" w:rsidP="008F61D9">
      <w:pPr>
        <w:pStyle w:val="ListParagraph"/>
        <w:numPr>
          <w:ilvl w:val="0"/>
          <w:numId w:val="27"/>
        </w:numPr>
        <w:pBdr>
          <w:top w:val="nil"/>
          <w:left w:val="nil"/>
          <w:bottom w:val="nil"/>
          <w:right w:val="nil"/>
          <w:between w:val="nil"/>
          <w:bar w:val="nil"/>
        </w:pBdr>
        <w:jc w:val="both"/>
        <w:rPr>
          <w:rFonts w:ascii="Arial" w:eastAsia="Arial" w:hAnsi="Arial" w:cs="Arial"/>
          <w:bdr w:val="nil"/>
          <w:lang w:val="en-GB"/>
        </w:rPr>
      </w:pPr>
      <w:r w:rsidRPr="00DB7AFE">
        <w:rPr>
          <w:rFonts w:ascii="Arial" w:eastAsia="Arial" w:hAnsi="Arial" w:cs="Arial"/>
          <w:b/>
          <w:i/>
          <w:lang w:val="en-US" w:bidi="en-US"/>
        </w:rPr>
        <w:t>Common Stock Dividend:</w:t>
      </w:r>
      <w:r w:rsidRPr="00DB7AFE">
        <w:rPr>
          <w:rFonts w:ascii="Arial" w:eastAsia="Arial" w:hAnsi="Arial" w:cs="Arial"/>
          <w:lang w:val="en-GB"/>
        </w:rPr>
        <w:t xml:space="preserve"> </w:t>
      </w:r>
      <w:r w:rsidRPr="00DB7AFE">
        <w:rPr>
          <w:rFonts w:ascii="Arial" w:eastAsia="Arial" w:hAnsi="Arial" w:cs="Arial"/>
          <w:lang w:val="en-GB" w:bidi="en-US"/>
        </w:rPr>
        <w:t xml:space="preserve">On </w:t>
      </w:r>
      <w:r w:rsidR="00F70D0D" w:rsidRPr="00DB7AFE">
        <w:rPr>
          <w:rFonts w:ascii="Arial" w:eastAsia="Arial" w:hAnsi="Arial" w:cs="Arial"/>
          <w:lang w:val="en-GB" w:bidi="en-US"/>
        </w:rPr>
        <w:t>February</w:t>
      </w:r>
      <w:r w:rsidRPr="00DB7AFE">
        <w:rPr>
          <w:rFonts w:ascii="Arial" w:eastAsia="Arial" w:hAnsi="Arial" w:cs="Arial"/>
          <w:lang w:val="en-GB" w:bidi="en-US"/>
        </w:rPr>
        <w:t xml:space="preserve"> </w:t>
      </w:r>
      <w:r w:rsidR="00ED7596">
        <w:rPr>
          <w:rFonts w:ascii="Arial" w:eastAsia="Arial" w:hAnsi="Arial" w:cs="Arial"/>
          <w:lang w:val="en-GB" w:bidi="en-US"/>
        </w:rPr>
        <w:t>26</w:t>
      </w:r>
      <w:r w:rsidRPr="00DB7AFE">
        <w:rPr>
          <w:rFonts w:ascii="Arial" w:eastAsia="Arial" w:hAnsi="Arial" w:cs="Arial"/>
          <w:lang w:val="en-GB" w:bidi="en-US"/>
        </w:rPr>
        <w:t>, 202</w:t>
      </w:r>
      <w:r w:rsidR="00ED7596">
        <w:rPr>
          <w:rFonts w:ascii="Arial" w:eastAsia="Arial" w:hAnsi="Arial" w:cs="Arial"/>
          <w:lang w:val="en-GB" w:bidi="en-US"/>
        </w:rPr>
        <w:t>6</w:t>
      </w:r>
      <w:r w:rsidRPr="00DB7AFE">
        <w:rPr>
          <w:rFonts w:ascii="Arial" w:eastAsia="Arial" w:hAnsi="Arial" w:cs="Arial"/>
          <w:lang w:val="en-GB" w:bidi="en-US"/>
        </w:rPr>
        <w:t>, the Company declared a cash dividend on its common stock of $</w:t>
      </w:r>
      <w:bookmarkStart w:id="905" w:name="XBRL_CS_260d29c461364086baadf8ef9c653a62"/>
      <w:r w:rsidRPr="00DB7AFE">
        <w:rPr>
          <w:rFonts w:ascii="Arial" w:eastAsia="Arial" w:hAnsi="Arial" w:cs="Arial"/>
          <w:lang w:val="en-GB" w:bidi="en-US"/>
        </w:rPr>
        <w:t>0.01</w:t>
      </w:r>
      <w:bookmarkEnd w:id="905"/>
      <w:r w:rsidRPr="00DB7AFE">
        <w:rPr>
          <w:rFonts w:ascii="Arial" w:eastAsia="Arial" w:hAnsi="Arial" w:cs="Arial"/>
          <w:lang w:val="en-GB" w:bidi="en-US"/>
        </w:rPr>
        <w:t xml:space="preserve"> per share, based on the Company’s results of operations during the </w:t>
      </w:r>
      <w:r w:rsidR="00F6275C" w:rsidRPr="00DB7AFE">
        <w:rPr>
          <w:rFonts w:ascii="Arial" w:eastAsia="Arial" w:hAnsi="Arial" w:cs="Arial"/>
          <w:lang w:val="en-GB" w:bidi="en-US"/>
        </w:rPr>
        <w:t xml:space="preserve">three months ended </w:t>
      </w:r>
      <w:r w:rsidR="00F70D0D" w:rsidRPr="00DB7AFE">
        <w:rPr>
          <w:rFonts w:ascii="Arial" w:eastAsia="Arial" w:hAnsi="Arial" w:cs="Arial"/>
          <w:lang w:val="en-GB" w:bidi="en-US"/>
        </w:rPr>
        <w:t>December</w:t>
      </w:r>
      <w:r w:rsidR="00F6275C" w:rsidRPr="00DB7AFE">
        <w:rPr>
          <w:rFonts w:ascii="Arial" w:eastAsia="Arial" w:hAnsi="Arial" w:cs="Arial"/>
          <w:lang w:val="en-GB" w:bidi="en-US"/>
        </w:rPr>
        <w:t xml:space="preserve"> 3</w:t>
      </w:r>
      <w:r w:rsidR="00F70D0D" w:rsidRPr="00DB7AFE">
        <w:rPr>
          <w:rFonts w:ascii="Arial" w:eastAsia="Arial" w:hAnsi="Arial" w:cs="Arial"/>
          <w:lang w:val="en-GB" w:bidi="en-US"/>
        </w:rPr>
        <w:t>1</w:t>
      </w:r>
      <w:r w:rsidRPr="00DB7AFE">
        <w:rPr>
          <w:rFonts w:ascii="Arial" w:eastAsia="Arial" w:hAnsi="Arial" w:cs="Arial"/>
          <w:lang w:val="en-GB" w:bidi="en-US"/>
        </w:rPr>
        <w:t xml:space="preserve">, 2025. The cash dividend </w:t>
      </w:r>
      <w:r w:rsidR="00F6275C" w:rsidRPr="00DB7AFE">
        <w:rPr>
          <w:rFonts w:ascii="Arial" w:eastAsia="Arial" w:hAnsi="Arial" w:cs="Arial"/>
          <w:lang w:val="en-GB" w:bidi="en-US"/>
        </w:rPr>
        <w:t>is payable</w:t>
      </w:r>
      <w:r w:rsidRPr="00DB7AFE">
        <w:rPr>
          <w:rFonts w:ascii="Arial" w:eastAsia="Arial" w:hAnsi="Arial" w:cs="Arial"/>
          <w:lang w:val="en-GB" w:bidi="en-US"/>
        </w:rPr>
        <w:t xml:space="preserve"> on</w:t>
      </w:r>
      <w:r w:rsidR="00F6275C" w:rsidRPr="00DB7AFE">
        <w:rPr>
          <w:rFonts w:ascii="Arial" w:eastAsia="Arial" w:hAnsi="Arial" w:cs="Arial"/>
          <w:lang w:val="en-GB" w:bidi="en-US"/>
        </w:rPr>
        <w:t xml:space="preserve"> or around</w:t>
      </w:r>
      <w:r w:rsidRPr="00DB7AFE">
        <w:rPr>
          <w:rFonts w:ascii="Arial" w:eastAsia="Arial" w:hAnsi="Arial" w:cs="Arial"/>
          <w:lang w:val="en-GB" w:bidi="en-US"/>
        </w:rPr>
        <w:t xml:space="preserve"> </w:t>
      </w:r>
      <w:r w:rsidR="00ED7596">
        <w:rPr>
          <w:rFonts w:ascii="Arial" w:eastAsia="Arial" w:hAnsi="Arial" w:cs="Arial"/>
          <w:lang w:val="en-GB" w:bidi="en-US"/>
        </w:rPr>
        <w:t>March 18</w:t>
      </w:r>
      <w:r w:rsidRPr="00DB7AFE">
        <w:rPr>
          <w:rFonts w:ascii="Arial" w:eastAsia="Arial" w:hAnsi="Arial" w:cs="Arial"/>
          <w:lang w:val="en-GB" w:bidi="en-US"/>
        </w:rPr>
        <w:t>, 202</w:t>
      </w:r>
      <w:r w:rsidR="00037E92">
        <w:rPr>
          <w:rFonts w:ascii="Arial" w:eastAsia="Arial" w:hAnsi="Arial" w:cs="Arial"/>
          <w:lang w:val="en-GB" w:bidi="en-US"/>
        </w:rPr>
        <w:t>6</w:t>
      </w:r>
      <w:r w:rsidRPr="00DB7AFE">
        <w:rPr>
          <w:rFonts w:ascii="Arial" w:eastAsia="Arial" w:hAnsi="Arial" w:cs="Arial"/>
          <w:lang w:val="en-GB" w:bidi="en-US"/>
        </w:rPr>
        <w:t xml:space="preserve">, to all shareholders of record as of </w:t>
      </w:r>
      <w:r w:rsidR="00ED7596">
        <w:rPr>
          <w:rFonts w:ascii="Arial" w:eastAsia="Arial" w:hAnsi="Arial" w:cs="Arial"/>
          <w:lang w:val="en-GB" w:bidi="en-US"/>
        </w:rPr>
        <w:t>March 11</w:t>
      </w:r>
      <w:r w:rsidRPr="00DB7AFE">
        <w:rPr>
          <w:rFonts w:ascii="Arial" w:eastAsia="Arial" w:hAnsi="Arial" w:cs="Arial"/>
          <w:lang w:val="en-GB" w:bidi="en-US"/>
        </w:rPr>
        <w:t>, 202</w:t>
      </w:r>
      <w:r w:rsidR="00037E92">
        <w:rPr>
          <w:rFonts w:ascii="Arial" w:eastAsia="Arial" w:hAnsi="Arial" w:cs="Arial"/>
          <w:lang w:val="en-GB" w:bidi="en-US"/>
        </w:rPr>
        <w:t>6</w:t>
      </w:r>
      <w:r w:rsidRPr="00DB7AFE">
        <w:rPr>
          <w:rFonts w:ascii="Arial" w:eastAsia="Arial" w:hAnsi="Arial" w:cs="Arial"/>
          <w:lang w:val="en-GB" w:bidi="en-US"/>
        </w:rPr>
        <w:t>.</w:t>
      </w:r>
      <w:bookmarkEnd w:id="895"/>
    </w:p>
    <w:p w14:paraId="71F3FB06" w14:textId="77777777" w:rsidR="00447139" w:rsidRPr="00447139" w:rsidRDefault="00447139" w:rsidP="00447139">
      <w:pPr>
        <w:pStyle w:val="ListParagraph"/>
        <w:pBdr>
          <w:top w:val="nil"/>
          <w:left w:val="nil"/>
          <w:bottom w:val="nil"/>
          <w:right w:val="nil"/>
          <w:between w:val="nil"/>
          <w:bar w:val="nil"/>
        </w:pBdr>
        <w:rPr>
          <w:rFonts w:ascii="Arial" w:eastAsia="Arial" w:hAnsi="Arial" w:cs="Arial"/>
          <w:bdr w:val="nil"/>
          <w:lang w:val="en-GB"/>
        </w:rPr>
      </w:pPr>
    </w:p>
    <w:p w14:paraId="71F3FB07" w14:textId="77777777" w:rsidR="00447139" w:rsidRPr="00447139" w:rsidRDefault="003A4815" w:rsidP="008F61D9">
      <w:pPr>
        <w:pStyle w:val="ListParagraph"/>
        <w:numPr>
          <w:ilvl w:val="0"/>
          <w:numId w:val="27"/>
        </w:numPr>
        <w:pBdr>
          <w:top w:val="nil"/>
          <w:left w:val="nil"/>
          <w:bottom w:val="nil"/>
          <w:right w:val="nil"/>
          <w:between w:val="nil"/>
          <w:bar w:val="nil"/>
        </w:pBdr>
        <w:jc w:val="both"/>
        <w:rPr>
          <w:rFonts w:ascii="Arial" w:eastAsia="Arial" w:hAnsi="Arial" w:cs="Arial"/>
          <w:bdr w:val="nil"/>
          <w:lang w:val="en-GB" w:bidi="en-US"/>
        </w:rPr>
      </w:pPr>
      <w:r w:rsidRPr="005F6671">
        <w:rPr>
          <w:rFonts w:ascii="Arial" w:eastAsia="Arial" w:hAnsi="Arial" w:cs="Arial"/>
          <w:b/>
          <w:i/>
          <w:lang w:val="en-US" w:bidi="en-US"/>
        </w:rPr>
        <w:t>Genco Shipping and Trading Limited</w:t>
      </w:r>
      <w:r w:rsidRPr="00447139">
        <w:rPr>
          <w:rFonts w:ascii="Arial" w:eastAsia="Arial" w:hAnsi="Arial" w:cs="Arial"/>
          <w:b/>
          <w:i/>
          <w:lang w:val="en-US" w:bidi="en-US"/>
        </w:rPr>
        <w:t>:</w:t>
      </w:r>
      <w:r>
        <w:rPr>
          <w:rFonts w:ascii="Arial" w:eastAsia="Arial" w:hAnsi="Arial" w:cs="Arial"/>
          <w:lang w:val="en-GB"/>
        </w:rPr>
        <w:t xml:space="preserve"> </w:t>
      </w:r>
      <w:r w:rsidRPr="00447139">
        <w:rPr>
          <w:rFonts w:ascii="Arial" w:eastAsia="Arial" w:hAnsi="Arial" w:cs="Arial"/>
          <w:lang w:val="en-GB" w:bidi="en-US"/>
        </w:rPr>
        <w:t xml:space="preserve">On January 16, 2026, following Genco’s rejection of </w:t>
      </w:r>
      <w:r w:rsidR="00E55B8E">
        <w:rPr>
          <w:rFonts w:ascii="Arial" w:eastAsia="Arial" w:hAnsi="Arial" w:cs="Arial"/>
          <w:lang w:val="en-GB" w:bidi="en-US"/>
        </w:rPr>
        <w:t>the Company’s</w:t>
      </w:r>
      <w:r w:rsidRPr="00447139">
        <w:rPr>
          <w:rFonts w:ascii="Arial" w:eastAsia="Arial" w:hAnsi="Arial" w:cs="Arial"/>
          <w:lang w:val="en-GB" w:bidi="en-US"/>
        </w:rPr>
        <w:t xml:space="preserve"> proposal</w:t>
      </w:r>
      <w:r w:rsidR="003830BC">
        <w:rPr>
          <w:rFonts w:ascii="Arial" w:eastAsia="Arial" w:hAnsi="Arial" w:cs="Arial"/>
          <w:lang w:val="en-GB" w:bidi="en-US"/>
        </w:rPr>
        <w:t>,</w:t>
      </w:r>
      <w:r w:rsidRPr="00447139">
        <w:rPr>
          <w:rFonts w:ascii="Arial" w:eastAsia="Arial" w:hAnsi="Arial" w:cs="Arial"/>
          <w:lang w:val="en-GB" w:bidi="en-US"/>
        </w:rPr>
        <w:t xml:space="preserve"> </w:t>
      </w:r>
      <w:r w:rsidR="00E55B8E">
        <w:rPr>
          <w:rFonts w:ascii="Arial" w:eastAsia="Arial" w:hAnsi="Arial" w:cs="Arial"/>
          <w:lang w:val="en-GB" w:bidi="en-US"/>
        </w:rPr>
        <w:t>the Company</w:t>
      </w:r>
      <w:r w:rsidRPr="00447139">
        <w:rPr>
          <w:rFonts w:ascii="Arial" w:eastAsia="Arial" w:hAnsi="Arial" w:cs="Arial"/>
          <w:lang w:val="en-GB" w:bidi="en-US"/>
        </w:rPr>
        <w:t xml:space="preserve"> announced </w:t>
      </w:r>
      <w:r w:rsidR="00E55B8E">
        <w:rPr>
          <w:rFonts w:ascii="Arial" w:eastAsia="Arial" w:hAnsi="Arial" w:cs="Arial"/>
          <w:lang w:val="en-GB" w:bidi="en-US"/>
        </w:rPr>
        <w:t>the</w:t>
      </w:r>
      <w:r w:rsidRPr="00447139">
        <w:rPr>
          <w:rFonts w:ascii="Arial" w:eastAsia="Arial" w:hAnsi="Arial" w:cs="Arial"/>
          <w:lang w:val="en-GB" w:bidi="en-US"/>
        </w:rPr>
        <w:t xml:space="preserve"> intention to nominate a slate of independent director candidates for election on the Genco board. On March 6, 2026, </w:t>
      </w:r>
      <w:r w:rsidR="00E55B8E">
        <w:rPr>
          <w:rFonts w:ascii="Arial" w:eastAsia="Arial" w:hAnsi="Arial" w:cs="Arial"/>
          <w:lang w:val="en-GB" w:bidi="en-US"/>
        </w:rPr>
        <w:t>the Company</w:t>
      </w:r>
      <w:r w:rsidRPr="00447139">
        <w:rPr>
          <w:rFonts w:ascii="Arial" w:eastAsia="Arial" w:hAnsi="Arial" w:cs="Arial"/>
          <w:lang w:val="en-GB" w:bidi="en-US"/>
        </w:rPr>
        <w:t xml:space="preserve"> increased </w:t>
      </w:r>
      <w:r w:rsidR="00E55B8E">
        <w:rPr>
          <w:rFonts w:ascii="Arial" w:eastAsia="Arial" w:hAnsi="Arial" w:cs="Arial"/>
          <w:lang w:val="en-GB" w:bidi="en-US"/>
        </w:rPr>
        <w:t>the</w:t>
      </w:r>
      <w:r w:rsidRPr="00447139">
        <w:rPr>
          <w:rFonts w:ascii="Arial" w:eastAsia="Arial" w:hAnsi="Arial" w:cs="Arial"/>
          <w:lang w:val="en-GB" w:bidi="en-US"/>
        </w:rPr>
        <w:t xml:space="preserve"> offer to $</w:t>
      </w:r>
      <w:bookmarkStart w:id="906" w:name="XBRL_CS_b6d1672505284bc6b06f12bf7dbf09e5"/>
      <w:r w:rsidRPr="00447139">
        <w:rPr>
          <w:rFonts w:ascii="Arial" w:eastAsia="Arial" w:hAnsi="Arial" w:cs="Arial"/>
          <w:lang w:val="en-GB" w:bidi="en-US"/>
        </w:rPr>
        <w:t>23.50</w:t>
      </w:r>
      <w:bookmarkEnd w:id="906"/>
      <w:r w:rsidRPr="00447139">
        <w:rPr>
          <w:rFonts w:ascii="Arial" w:eastAsia="Arial" w:hAnsi="Arial" w:cs="Arial"/>
          <w:lang w:val="en-GB" w:bidi="en-US"/>
        </w:rPr>
        <w:t xml:space="preserve"> per share in cash</w:t>
      </w:r>
      <w:r w:rsidR="00FF1535">
        <w:rPr>
          <w:rFonts w:ascii="Arial" w:eastAsia="Arial" w:hAnsi="Arial" w:cs="Arial"/>
          <w:lang w:val="en-GB" w:bidi="en-US"/>
        </w:rPr>
        <w:t>.</w:t>
      </w:r>
      <w:r w:rsidRPr="00447139">
        <w:rPr>
          <w:rFonts w:ascii="Arial" w:eastAsia="Arial" w:hAnsi="Arial" w:cs="Arial"/>
          <w:lang w:val="en-GB" w:bidi="en-US"/>
        </w:rPr>
        <w:t xml:space="preserve"> Th</w:t>
      </w:r>
      <w:r w:rsidR="00ED4D1B">
        <w:rPr>
          <w:rFonts w:ascii="Arial" w:eastAsia="Arial" w:hAnsi="Arial" w:cs="Arial"/>
          <w:lang w:val="en-GB" w:bidi="en-US"/>
        </w:rPr>
        <w:t>is</w:t>
      </w:r>
      <w:r w:rsidRPr="00447139">
        <w:rPr>
          <w:rFonts w:ascii="Arial" w:eastAsia="Arial" w:hAnsi="Arial" w:cs="Arial"/>
          <w:lang w:val="en-GB" w:bidi="en-US"/>
        </w:rPr>
        <w:t xml:space="preserve"> acquisition</w:t>
      </w:r>
      <w:r w:rsidR="00ED4D1B">
        <w:rPr>
          <w:rFonts w:ascii="Arial" w:eastAsia="Arial" w:hAnsi="Arial" w:cs="Arial"/>
          <w:lang w:val="en-GB" w:bidi="en-US"/>
        </w:rPr>
        <w:t xml:space="preserve"> proposal would</w:t>
      </w:r>
      <w:r w:rsidRPr="00447139">
        <w:rPr>
          <w:rFonts w:ascii="Arial" w:eastAsia="Arial" w:hAnsi="Arial" w:cs="Arial"/>
          <w:lang w:val="en-GB" w:bidi="en-US"/>
        </w:rPr>
        <w:t xml:space="preserve"> be financed by a $</w:t>
      </w:r>
      <w:bookmarkStart w:id="907" w:name="XBRL_CS_974c3d744f164bf9b00ce2571b06dba2"/>
      <w:r w:rsidRPr="00447139">
        <w:rPr>
          <w:rFonts w:ascii="Arial" w:eastAsia="Arial" w:hAnsi="Arial" w:cs="Arial"/>
          <w:lang w:val="en-GB" w:bidi="en-US"/>
        </w:rPr>
        <w:t>1</w:t>
      </w:r>
      <w:r>
        <w:rPr>
          <w:rFonts w:ascii="Arial" w:eastAsia="Arial" w:hAnsi="Arial" w:cs="Arial"/>
          <w:lang w:val="en-GB" w:bidi="en-US"/>
        </w:rPr>
        <w:t>,</w:t>
      </w:r>
      <w:r w:rsidRPr="00447139">
        <w:rPr>
          <w:rFonts w:ascii="Arial" w:eastAsia="Arial" w:hAnsi="Arial" w:cs="Arial"/>
          <w:lang w:val="en-GB" w:bidi="en-US"/>
        </w:rPr>
        <w:t>43</w:t>
      </w:r>
      <w:r w:rsidR="00297499">
        <w:rPr>
          <w:rFonts w:ascii="Arial" w:eastAsia="Arial" w:hAnsi="Arial" w:cs="Arial"/>
          <w:lang w:val="en-GB" w:bidi="en-US"/>
        </w:rPr>
        <w:t>3</w:t>
      </w:r>
      <w:r>
        <w:rPr>
          <w:rFonts w:ascii="Arial" w:eastAsia="Arial" w:hAnsi="Arial" w:cs="Arial"/>
          <w:lang w:val="en-GB" w:bidi="en-US"/>
        </w:rPr>
        <w:t>,000</w:t>
      </w:r>
      <w:bookmarkEnd w:id="907"/>
      <w:r w:rsidRPr="00447139">
        <w:rPr>
          <w:rFonts w:ascii="Arial" w:eastAsia="Arial" w:hAnsi="Arial" w:cs="Arial"/>
          <w:lang w:val="en-GB" w:bidi="en-US"/>
        </w:rPr>
        <w:t xml:space="preserve"> fully committed facility arranged by DNB Carnegie and Nordea, and with participation of other international banks. Also on March 6, 2026, </w:t>
      </w:r>
      <w:r w:rsidR="00FF1535">
        <w:rPr>
          <w:rFonts w:ascii="Arial" w:eastAsia="Arial" w:hAnsi="Arial" w:cs="Arial"/>
          <w:lang w:val="en-GB" w:bidi="en-US"/>
        </w:rPr>
        <w:t>the Company</w:t>
      </w:r>
      <w:r w:rsidRPr="00447139">
        <w:rPr>
          <w:rFonts w:ascii="Arial" w:eastAsia="Arial" w:hAnsi="Arial" w:cs="Arial"/>
          <w:lang w:val="en-GB" w:bidi="en-US"/>
        </w:rPr>
        <w:t xml:space="preserve"> entered into a definitive agreement with Star Bulk Carriers Corp., or Star Bulk, to acquire </w:t>
      </w:r>
      <w:bookmarkStart w:id="908" w:name="XBRL_CS_303621ee732b4bf8a594577b92041fde"/>
      <w:r w:rsidRPr="00447139">
        <w:rPr>
          <w:rFonts w:ascii="Arial" w:eastAsia="Arial" w:hAnsi="Arial" w:cs="Arial"/>
          <w:lang w:val="en-GB" w:bidi="en-US"/>
        </w:rPr>
        <w:t>16</w:t>
      </w:r>
      <w:bookmarkEnd w:id="908"/>
      <w:r w:rsidRPr="00447139">
        <w:rPr>
          <w:rFonts w:ascii="Arial" w:eastAsia="Arial" w:hAnsi="Arial" w:cs="Arial"/>
          <w:lang w:val="en-GB" w:bidi="en-US"/>
        </w:rPr>
        <w:t xml:space="preserve"> vessels of Genco for $</w:t>
      </w:r>
      <w:bookmarkStart w:id="909" w:name="XBRL_CS_4aa9960e82c84290b33da9019b296d6e"/>
      <w:r w:rsidRPr="00447139">
        <w:rPr>
          <w:rFonts w:ascii="Arial" w:eastAsia="Arial" w:hAnsi="Arial" w:cs="Arial"/>
          <w:lang w:val="en-GB" w:bidi="en-US"/>
        </w:rPr>
        <w:t>470</w:t>
      </w:r>
      <w:r>
        <w:rPr>
          <w:rFonts w:ascii="Arial" w:eastAsia="Arial" w:hAnsi="Arial" w:cs="Arial"/>
          <w:lang w:val="en-GB" w:bidi="en-US"/>
        </w:rPr>
        <w:t>,</w:t>
      </w:r>
      <w:r w:rsidRPr="00447139">
        <w:rPr>
          <w:rFonts w:ascii="Arial" w:eastAsia="Arial" w:hAnsi="Arial" w:cs="Arial"/>
          <w:lang w:val="en-GB" w:bidi="en-US"/>
        </w:rPr>
        <w:t>5</w:t>
      </w:r>
      <w:r>
        <w:rPr>
          <w:rFonts w:ascii="Arial" w:eastAsia="Arial" w:hAnsi="Arial" w:cs="Arial"/>
          <w:lang w:val="en-GB" w:bidi="en-US"/>
        </w:rPr>
        <w:t>00</w:t>
      </w:r>
      <w:bookmarkEnd w:id="909"/>
      <w:r w:rsidRPr="00447139">
        <w:rPr>
          <w:rFonts w:ascii="Arial" w:eastAsia="Arial" w:hAnsi="Arial" w:cs="Arial"/>
          <w:lang w:val="en-GB" w:bidi="en-US"/>
        </w:rPr>
        <w:t xml:space="preserve"> in cash upon, and subject to, the consummation of an acquisition of Genco by </w:t>
      </w:r>
      <w:r w:rsidR="00FF1535">
        <w:rPr>
          <w:rFonts w:ascii="Arial" w:eastAsia="Arial" w:hAnsi="Arial" w:cs="Arial"/>
          <w:lang w:val="en-GB" w:bidi="en-US"/>
        </w:rPr>
        <w:t>the Company</w:t>
      </w:r>
      <w:r w:rsidRPr="00447139">
        <w:rPr>
          <w:rFonts w:ascii="Arial" w:eastAsia="Arial" w:hAnsi="Arial" w:cs="Arial"/>
          <w:lang w:val="en-GB" w:bidi="en-US"/>
        </w:rPr>
        <w:t>.</w:t>
      </w:r>
      <w:bookmarkEnd w:id="894"/>
    </w:p>
    <w:sectPr w:rsidR="00447139" w:rsidRPr="00447139" w:rsidSect="00320CA7">
      <w:headerReference w:type="even" r:id="rId85"/>
      <w:headerReference w:type="default" r:id="rId86"/>
      <w:footerReference w:type="even" r:id="rId87"/>
      <w:footerReference w:type="default" r:id="rId88"/>
      <w:headerReference w:type="first" r:id="rId89"/>
      <w:footerReference w:type="first" r:id="rId90"/>
      <w:type w:val="continuous"/>
      <w:pgSz w:w="12240" w:h="15840"/>
      <w:pgMar w:top="1134" w:right="1134" w:bottom="1134" w:left="851" w:header="720" w:footer="720" w:gutter="0"/>
      <w:pgBorders>
        <w:top w:val="nil"/>
        <w:left w:val="nil"/>
        <w:bottom w:val="nil"/>
        <w:right w:val="nil"/>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BAAE9" w14:textId="77777777" w:rsidR="009957B8" w:rsidRDefault="009957B8">
      <w:r>
        <w:separator/>
      </w:r>
    </w:p>
  </w:endnote>
  <w:endnote w:type="continuationSeparator" w:id="0">
    <w:p w14:paraId="6B942765" w14:textId="77777777" w:rsidR="009957B8" w:rsidRDefault="00995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A1"/>
    <w:family w:val="roman"/>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0E" w14:textId="77777777" w:rsidR="003A20A3" w:rsidRDefault="003A20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0F" w14:textId="77777777" w:rsidR="003A20A3" w:rsidRDefault="003A20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1" w14:textId="77777777" w:rsidR="003A20A3" w:rsidRDefault="003A20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4"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bdr w:val="nil"/>
        <w:lang w:val="en-US"/>
      </w:rPr>
      <w:fldChar w:fldCharType="begin"/>
    </w:r>
    <w:r>
      <w:rPr>
        <w:rFonts w:ascii="Arial" w:eastAsia="Arial" w:hAnsi="Arial" w:cs="Arial"/>
        <w:lang w:val="en-US"/>
      </w:rPr>
      <w:instrText xml:space="preserve"> PAGE   \* MERGEFORMAT </w:instrText>
    </w:r>
    <w:r>
      <w:rPr>
        <w:rFonts w:ascii="Arial" w:eastAsia="Arial" w:hAnsi="Arial" w:cs="Arial"/>
        <w:bdr w:val="nil"/>
        <w:lang w:val="en-US"/>
      </w:rPr>
      <w:fldChar w:fldCharType="separate"/>
    </w:r>
    <w:r>
      <w:rPr>
        <w:rFonts w:ascii="Arial" w:eastAsia="Arial" w:hAnsi="Arial" w:cs="Arial"/>
        <w:noProof/>
        <w:lang w:val="en-US"/>
      </w:rPr>
      <w:t>1</w:t>
    </w:r>
    <w:r>
      <w:rPr>
        <w:rFonts w:ascii="Arial" w:eastAsia="Arial" w:hAnsi="Arial" w:cs="Arial"/>
        <w:noProof/>
        <w:bdr w:val="nil"/>
        <w:lang w:val="en-U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5"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bdr w:val="nil"/>
        <w:lang w:val="en-US"/>
      </w:rPr>
      <w:fldChar w:fldCharType="begin"/>
    </w:r>
    <w:r>
      <w:rPr>
        <w:rFonts w:ascii="Arial" w:eastAsia="Arial" w:hAnsi="Arial" w:cs="Arial"/>
        <w:lang w:val="en-US"/>
      </w:rPr>
      <w:instrText xml:space="preserve"> PAGE   \* MERGEFORMAT </w:instrText>
    </w:r>
    <w:r>
      <w:rPr>
        <w:rFonts w:ascii="Arial" w:eastAsia="Arial" w:hAnsi="Arial" w:cs="Arial"/>
        <w:bdr w:val="nil"/>
        <w:lang w:val="en-US"/>
      </w:rPr>
      <w:fldChar w:fldCharType="separate"/>
    </w:r>
    <w:r>
      <w:rPr>
        <w:rFonts w:ascii="Arial" w:eastAsia="Arial" w:hAnsi="Arial" w:cs="Arial"/>
        <w:noProof/>
        <w:lang w:val="en-US"/>
      </w:rPr>
      <w:t>4</w:t>
    </w:r>
    <w:r>
      <w:rPr>
        <w:rFonts w:ascii="Arial" w:eastAsia="Arial" w:hAnsi="Arial" w:cs="Arial"/>
        <w:noProof/>
        <w:bdr w:val="nil"/>
        <w:lang w:val="en-U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7" w14:textId="77777777" w:rsidR="00510CAA" w:rsidRDefault="00510CAA">
    <w:pPr>
      <w:pBdr>
        <w:top w:val="nil"/>
        <w:left w:val="nil"/>
        <w:bottom w:val="nil"/>
        <w:right w:val="nil"/>
        <w:between w:val="nil"/>
        <w:bar w:val="nil"/>
      </w:pBdr>
      <w:spacing w:after="200"/>
      <w:rPr>
        <w:bdr w:val="nil"/>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A" w14:textId="77777777" w:rsidR="00925EEA" w:rsidRDefault="00925EEA" w:rsidP="00043E46">
    <w:pPr>
      <w:pBdr>
        <w:top w:val="nil"/>
        <w:left w:val="nil"/>
        <w:bottom w:val="nil"/>
        <w:right w:val="nil"/>
        <w:between w:val="nil"/>
        <w:bar w:val="nil"/>
      </w:pBdr>
      <w:jc w:val="center"/>
      <w:rPr>
        <w:rFonts w:ascii="Arial" w:eastAsia="Arial" w:hAnsi="Arial" w:cs="Arial"/>
        <w:bdr w:val="nil"/>
        <w:lang w:val="en-US"/>
      </w:rPr>
    </w:pPr>
  </w:p>
  <w:p w14:paraId="71F3FB1B" w14:textId="77777777" w:rsidR="00925EEA" w:rsidRDefault="003A4815" w:rsidP="00925EEA">
    <w:pPr>
      <w:pBdr>
        <w:top w:val="nil"/>
        <w:left w:val="nil"/>
        <w:bottom w:val="nil"/>
        <w:right w:val="nil"/>
        <w:between w:val="nil"/>
        <w:bar w:val="nil"/>
      </w:pBdr>
      <w:jc w:val="center"/>
      <w:rPr>
        <w:rFonts w:ascii="Arial" w:eastAsia="Arial" w:hAnsi="Arial" w:cs="Arial"/>
        <w:noProof/>
        <w:bdr w:val="nil"/>
        <w:lang w:val="en-US"/>
      </w:rPr>
    </w:pPr>
    <w:r>
      <w:rPr>
        <w:rFonts w:ascii="Arial" w:eastAsia="Arial" w:hAnsi="Arial" w:cs="Arial"/>
        <w:bdr w:val="nil"/>
        <w:lang w:val="en-US"/>
      </w:rPr>
      <w:fldChar w:fldCharType="begin"/>
    </w:r>
    <w:r>
      <w:rPr>
        <w:rFonts w:ascii="Arial" w:eastAsia="Arial" w:hAnsi="Arial" w:cs="Arial"/>
        <w:lang w:val="en-US"/>
      </w:rPr>
      <w:instrText xml:space="preserve"> PAGE   \* MERGEFORMAT </w:instrText>
    </w:r>
    <w:r>
      <w:rPr>
        <w:rFonts w:ascii="Arial" w:eastAsia="Arial" w:hAnsi="Arial" w:cs="Arial"/>
        <w:bdr w:val="nil"/>
        <w:lang w:val="en-US"/>
      </w:rPr>
      <w:fldChar w:fldCharType="separate"/>
    </w:r>
    <w:r>
      <w:rPr>
        <w:rFonts w:ascii="Arial" w:eastAsia="Arial" w:hAnsi="Arial" w:cs="Arial"/>
        <w:noProof/>
        <w:lang w:val="en-US"/>
      </w:rPr>
      <w:t>1</w:t>
    </w:r>
    <w:r>
      <w:rPr>
        <w:rFonts w:ascii="Arial" w:eastAsia="Arial" w:hAnsi="Arial" w:cs="Arial"/>
        <w:noProof/>
        <w:bdr w:val="nil"/>
        <w:lang w:val="en-U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C" w14:textId="77777777" w:rsidR="00925EEA" w:rsidRDefault="00925EEA" w:rsidP="00043E46">
    <w:pPr>
      <w:pBdr>
        <w:top w:val="nil"/>
        <w:left w:val="nil"/>
        <w:bottom w:val="nil"/>
        <w:right w:val="nil"/>
        <w:between w:val="nil"/>
        <w:bar w:val="nil"/>
      </w:pBdr>
      <w:jc w:val="center"/>
      <w:rPr>
        <w:rFonts w:ascii="Arial" w:eastAsia="Arial" w:hAnsi="Arial" w:cs="Arial"/>
        <w:bdr w:val="nil"/>
        <w:lang w:val="en-US"/>
      </w:rPr>
    </w:pPr>
  </w:p>
  <w:p w14:paraId="71F3FB1D" w14:textId="77777777" w:rsidR="00925EEA" w:rsidRDefault="003A4815" w:rsidP="00925EEA">
    <w:pPr>
      <w:pBdr>
        <w:top w:val="nil"/>
        <w:left w:val="nil"/>
        <w:bottom w:val="nil"/>
        <w:right w:val="nil"/>
        <w:between w:val="nil"/>
        <w:bar w:val="nil"/>
      </w:pBdr>
      <w:jc w:val="center"/>
      <w:rPr>
        <w:rFonts w:ascii="Arial" w:eastAsia="Arial" w:hAnsi="Arial" w:cs="Arial"/>
        <w:noProof/>
        <w:bdr w:val="nil"/>
        <w:lang w:val="en-US"/>
      </w:rPr>
    </w:pPr>
    <w:r>
      <w:rPr>
        <w:rFonts w:ascii="Arial" w:eastAsia="Arial" w:hAnsi="Arial" w:cs="Arial"/>
        <w:bdr w:val="nil"/>
        <w:lang w:val="en-US"/>
      </w:rPr>
      <w:fldChar w:fldCharType="begin"/>
    </w:r>
    <w:r>
      <w:rPr>
        <w:rFonts w:ascii="Arial" w:eastAsia="Arial" w:hAnsi="Arial" w:cs="Arial"/>
        <w:lang w:val="en-US"/>
      </w:rPr>
      <w:instrText xml:space="preserve"> PAGE   \* MERGEFORMAT </w:instrText>
    </w:r>
    <w:r>
      <w:rPr>
        <w:rFonts w:ascii="Arial" w:eastAsia="Arial" w:hAnsi="Arial" w:cs="Arial"/>
        <w:bdr w:val="nil"/>
        <w:lang w:val="en-US"/>
      </w:rPr>
      <w:fldChar w:fldCharType="separate"/>
    </w:r>
    <w:r>
      <w:rPr>
        <w:rFonts w:ascii="Arial" w:eastAsia="Arial" w:hAnsi="Arial" w:cs="Arial"/>
        <w:noProof/>
        <w:lang w:val="en-US"/>
      </w:rPr>
      <w:t>119</w:t>
    </w:r>
    <w:r>
      <w:rPr>
        <w:rFonts w:ascii="Arial" w:eastAsia="Arial" w:hAnsi="Arial" w:cs="Arial"/>
        <w:noProof/>
        <w:bdr w:val="nil"/>
        <w:lang w:val="en-U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F" w14:textId="77777777" w:rsidR="00510CAA" w:rsidRDefault="00510CAA">
    <w:pPr>
      <w:pBdr>
        <w:top w:val="nil"/>
        <w:left w:val="nil"/>
        <w:bottom w:val="nil"/>
        <w:right w:val="nil"/>
        <w:between w:val="nil"/>
        <w:bar w:val="nil"/>
      </w:pBdr>
      <w:rPr>
        <w:bdr w:val="nil"/>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2"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w:t>
    </w:r>
    <w:r w:rsidR="00F24C18">
      <w:rPr>
        <w:rFonts w:ascii="Arial" w:eastAsia="Arial" w:hAnsi="Arial" w:cs="Arial"/>
        <w:noProof/>
        <w:bdr w:val="nil"/>
        <w:lang w:val="en-U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3"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10</w:t>
    </w:r>
    <w:r w:rsidR="00F24C18">
      <w:rPr>
        <w:rFonts w:ascii="Arial" w:eastAsia="Arial" w:hAnsi="Arial" w:cs="Arial"/>
        <w:noProof/>
        <w:bdr w:val="nil"/>
        <w:lang w:val="en-U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5" w14:textId="77777777" w:rsidR="00510CAA" w:rsidRDefault="00510CAA">
    <w:pPr>
      <w:pBdr>
        <w:top w:val="nil"/>
        <w:left w:val="nil"/>
        <w:bottom w:val="nil"/>
        <w:right w:val="nil"/>
        <w:between w:val="nil"/>
        <w:bar w:val="nil"/>
      </w:pBdr>
      <w:rPr>
        <w:rFonts w:eastAsia="Times New Roman"/>
        <w:bdr w:val="nil"/>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8"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w:t>
    </w:r>
    <w:r w:rsidR="00F24C18">
      <w:rPr>
        <w:rFonts w:ascii="Arial" w:eastAsia="Arial" w:hAnsi="Arial" w:cs="Arial"/>
        <w:noProof/>
        <w:bdr w:val="nil"/>
        <w:lang w:val="en-U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9"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12</w:t>
    </w:r>
    <w:r w:rsidR="00F24C18">
      <w:rPr>
        <w:rFonts w:ascii="Arial" w:eastAsia="Arial" w:hAnsi="Arial" w:cs="Arial"/>
        <w:noProof/>
        <w:bdr w:val="nil"/>
        <w:lang w:val="en-U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B" w14:textId="77777777" w:rsidR="00510CAA" w:rsidRDefault="00510CAA"/>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E"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w:t>
    </w:r>
    <w:r w:rsidR="00F24C18">
      <w:rPr>
        <w:rFonts w:ascii="Arial" w:eastAsia="Arial" w:hAnsi="Arial" w:cs="Arial"/>
        <w:noProof/>
        <w:bdr w:val="nil"/>
        <w:lang w:val="en-US"/>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F"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14</w:t>
    </w:r>
    <w:r w:rsidR="00F24C18">
      <w:rPr>
        <w:rFonts w:ascii="Arial" w:eastAsia="Arial" w:hAnsi="Arial" w:cs="Arial"/>
        <w:noProof/>
        <w:bdr w:val="nil"/>
        <w:lang w:val="en-US"/>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1" w14:textId="77777777" w:rsidR="00510CAA" w:rsidRDefault="00510CAA"/>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C"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1</w:t>
    </w:r>
    <w:r w:rsidR="00F24C18">
      <w:rPr>
        <w:rFonts w:ascii="Arial" w:eastAsia="Arial" w:hAnsi="Arial" w:cs="Arial"/>
        <w:noProof/>
        <w:bdr w:val="nil"/>
        <w:lang w:val="en-US"/>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D" w14:textId="77777777" w:rsidR="002F4AFB" w:rsidRDefault="003A4815" w:rsidP="003B5078">
    <w:pPr>
      <w:pBdr>
        <w:top w:val="single" w:sz="4" w:space="1" w:color="auto"/>
        <w:left w:val="nil"/>
        <w:bottom w:val="nil"/>
        <w:right w:val="nil"/>
        <w:between w:val="nil"/>
        <w:bar w:val="nil"/>
      </w:pBdr>
      <w:jc w:val="center"/>
      <w:rPr>
        <w:rFonts w:ascii="Arial" w:eastAsia="Arial" w:hAnsi="Arial" w:cs="Arial"/>
        <w:bdr w:val="nil"/>
        <w:lang w:val="en-US"/>
      </w:rPr>
    </w:pPr>
    <w:r>
      <w:rPr>
        <w:rFonts w:ascii="Arial" w:eastAsia="Arial" w:hAnsi="Arial" w:cs="Arial"/>
        <w:lang w:val="en-US"/>
      </w:rPr>
      <w:t>F-</w:t>
    </w:r>
    <w:r w:rsidR="00F24C18">
      <w:rPr>
        <w:rFonts w:ascii="Arial" w:eastAsia="Arial" w:hAnsi="Arial" w:cs="Arial"/>
        <w:bdr w:val="nil"/>
        <w:lang w:val="en-US"/>
      </w:rPr>
      <w:fldChar w:fldCharType="begin"/>
    </w:r>
    <w:r w:rsidR="00F24C18">
      <w:rPr>
        <w:rFonts w:ascii="Arial" w:eastAsia="Arial" w:hAnsi="Arial" w:cs="Arial"/>
        <w:lang w:val="en-US"/>
      </w:rPr>
      <w:instrText xml:space="preserve"> PAGE   \* MERGEFORMAT </w:instrText>
    </w:r>
    <w:r w:rsidR="00F24C18">
      <w:rPr>
        <w:rFonts w:ascii="Arial" w:eastAsia="Arial" w:hAnsi="Arial" w:cs="Arial"/>
        <w:bdr w:val="nil"/>
        <w:lang w:val="en-US"/>
      </w:rPr>
      <w:fldChar w:fldCharType="separate"/>
    </w:r>
    <w:r w:rsidR="00F24C18">
      <w:rPr>
        <w:rFonts w:ascii="Arial" w:eastAsia="Arial" w:hAnsi="Arial" w:cs="Arial"/>
        <w:noProof/>
        <w:lang w:val="en-US"/>
      </w:rPr>
      <w:t>41</w:t>
    </w:r>
    <w:r w:rsidR="00F24C18">
      <w:rPr>
        <w:rFonts w:ascii="Arial" w:eastAsia="Arial" w:hAnsi="Arial" w:cs="Arial"/>
        <w:noProof/>
        <w:bdr w:val="nil"/>
        <w:lang w:val="en-US"/>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F" w14:textId="77777777" w:rsidR="00510CAA" w:rsidRDefault="00510CAA">
    <w:pPr>
      <w:pBdr>
        <w:top w:val="nil"/>
        <w:left w:val="nil"/>
        <w:bottom w:val="nil"/>
        <w:right w:val="nil"/>
        <w:between w:val="nil"/>
        <w:bar w:val="nil"/>
      </w:pBdr>
      <w:rPr>
        <w:rFonts w:eastAsia="Times New Roman"/>
        <w:bdr w:val="ni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9765E" w14:textId="77777777" w:rsidR="009957B8" w:rsidRDefault="009957B8">
      <w:r>
        <w:separator/>
      </w:r>
    </w:p>
  </w:footnote>
  <w:footnote w:type="continuationSeparator" w:id="0">
    <w:p w14:paraId="72D82D8B" w14:textId="77777777" w:rsidR="009957B8" w:rsidRDefault="009957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0C" w14:textId="77777777" w:rsidR="003A20A3" w:rsidRDefault="003A20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0D" w14:textId="77777777" w:rsidR="003A20A3" w:rsidRDefault="003A20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0" w14:textId="77777777" w:rsidR="003A20A3" w:rsidRDefault="003A20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2" w14:textId="77777777" w:rsidR="00510CAA" w:rsidRDefault="00510CAA">
    <w:pPr>
      <w:suppressLineNumbers/>
      <w:pBdr>
        <w:top w:val="nil"/>
        <w:left w:val="nil"/>
        <w:bottom w:val="nil"/>
        <w:right w:val="nil"/>
        <w:between w:val="nil"/>
        <w:bar w:val="nil"/>
      </w:pBdr>
      <w:spacing w:line="14" w:lineRule="exact"/>
      <w:contextualSpacing/>
      <w:rPr>
        <w:bdr w:val="nil"/>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3" w14:textId="77777777" w:rsidR="00510CAA" w:rsidRDefault="00510CAA">
    <w:pPr>
      <w:suppressLineNumbers/>
      <w:pBdr>
        <w:top w:val="nil"/>
        <w:left w:val="nil"/>
        <w:bottom w:val="nil"/>
        <w:right w:val="nil"/>
        <w:between w:val="nil"/>
        <w:bar w:val="nil"/>
      </w:pBdr>
      <w:spacing w:line="14" w:lineRule="exact"/>
      <w:contextualSpacing/>
      <w:rPr>
        <w:bdr w:val="nil"/>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6" w14:textId="77777777" w:rsidR="00510CAA" w:rsidRDefault="00510CAA">
    <w:pPr>
      <w:pBdr>
        <w:top w:val="nil"/>
        <w:left w:val="nil"/>
        <w:bottom w:val="nil"/>
        <w:right w:val="nil"/>
        <w:between w:val="nil"/>
        <w:bar w:val="nil"/>
      </w:pBdr>
      <w:spacing w:after="200"/>
      <w:rPr>
        <w:bdr w:val="nil"/>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8" w14:textId="77777777" w:rsidR="00510CAA" w:rsidRDefault="00510CAA">
    <w:pPr>
      <w:suppressLineNumbers/>
      <w:pBdr>
        <w:top w:val="nil"/>
        <w:left w:val="nil"/>
        <w:bottom w:val="nil"/>
        <w:right w:val="nil"/>
        <w:between w:val="nil"/>
        <w:bar w:val="nil"/>
      </w:pBdr>
      <w:spacing w:line="14" w:lineRule="exact"/>
      <w:contextualSpacing/>
      <w:rPr>
        <w:bdr w:val="nil"/>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9" w14:textId="77777777" w:rsidR="00510CAA" w:rsidRDefault="00510CAA">
    <w:pPr>
      <w:suppressLineNumbers/>
      <w:pBdr>
        <w:top w:val="nil"/>
        <w:left w:val="nil"/>
        <w:bottom w:val="nil"/>
        <w:right w:val="nil"/>
        <w:between w:val="nil"/>
        <w:bar w:val="nil"/>
      </w:pBdr>
      <w:spacing w:line="14" w:lineRule="exact"/>
      <w:contextualSpacing/>
      <w:rPr>
        <w:bdr w:val="nil"/>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1E" w14:textId="77777777" w:rsidR="00510CAA" w:rsidRDefault="00510CAA">
    <w:pPr>
      <w:pBdr>
        <w:top w:val="nil"/>
        <w:left w:val="nil"/>
        <w:bottom w:val="nil"/>
        <w:right w:val="nil"/>
        <w:between w:val="nil"/>
        <w:bar w:val="nil"/>
      </w:pBdr>
      <w:rPr>
        <w:bdr w:val="nil"/>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0" w14:textId="77777777" w:rsidR="00510CAA" w:rsidRDefault="00510CAA">
    <w:pPr>
      <w:suppressLineNumbers/>
      <w:pBdr>
        <w:top w:val="nil"/>
        <w:left w:val="nil"/>
        <w:bottom w:val="nil"/>
        <w:right w:val="nil"/>
        <w:between w:val="nil"/>
        <w:bar w:val="nil"/>
      </w:pBdr>
      <w:spacing w:line="14" w:lineRule="exact"/>
      <w:contextualSpacing/>
      <w:rPr>
        <w:rFonts w:eastAsia="Times New Roman"/>
        <w:bdr w:val="nil"/>
        <w:lang w:val="en-US"/>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1" w14:textId="77777777" w:rsidR="00510CAA" w:rsidRDefault="00510CAA">
    <w:pPr>
      <w:suppressLineNumbers/>
      <w:pBdr>
        <w:top w:val="nil"/>
        <w:left w:val="nil"/>
        <w:bottom w:val="nil"/>
        <w:right w:val="nil"/>
        <w:between w:val="nil"/>
        <w:bar w:val="nil"/>
      </w:pBdr>
      <w:spacing w:line="14" w:lineRule="exact"/>
      <w:contextualSpacing/>
      <w:rPr>
        <w:rFonts w:eastAsia="Times New Roman"/>
        <w:bdr w:val="nil"/>
        <w:lang w:val="en-US"/>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4" w14:textId="77777777" w:rsidR="00510CAA" w:rsidRDefault="00510CAA">
    <w:pPr>
      <w:pBdr>
        <w:top w:val="nil"/>
        <w:left w:val="nil"/>
        <w:bottom w:val="nil"/>
        <w:right w:val="nil"/>
        <w:between w:val="nil"/>
        <w:bar w:val="nil"/>
      </w:pBdr>
      <w:rPr>
        <w:rFonts w:eastAsia="Times New Roman"/>
        <w:bdr w:val="nil"/>
        <w:lang w:val="en-US"/>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6" w14:textId="77777777" w:rsidR="00510CAA" w:rsidRDefault="00510CAA">
    <w:pPr>
      <w:suppressLineNumbers/>
      <w:spacing w:line="14" w:lineRule="exact"/>
      <w:contextualSpacing/>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7" w14:textId="77777777" w:rsidR="00510CAA" w:rsidRDefault="00510CAA">
    <w:pPr>
      <w:suppressLineNumbers/>
      <w:spacing w:line="14" w:lineRule="exact"/>
      <w:contextualSpacing/>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A" w14:textId="77777777" w:rsidR="00510CAA" w:rsidRDefault="00510CA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C" w14:textId="77777777" w:rsidR="00510CAA" w:rsidRDefault="00510CAA">
    <w:pPr>
      <w:suppressLineNumbers/>
      <w:spacing w:line="14" w:lineRule="exact"/>
      <w:contextualSpacing/>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2D" w14:textId="77777777" w:rsidR="00510CAA" w:rsidRDefault="00510CAA">
    <w:pPr>
      <w:suppressLineNumbers/>
      <w:spacing w:line="14" w:lineRule="exact"/>
      <w:contextualSpacing/>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0" w14:textId="77777777" w:rsidR="00510CAA" w:rsidRDefault="00510CAA"/>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2"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DIANA SHIPPING INC.</w:t>
    </w:r>
  </w:p>
  <w:p w14:paraId="71F3FB33"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NOTES TO CONSOLIDATED FINANCIAL STATEMENTS</w:t>
    </w:r>
  </w:p>
  <w:p w14:paraId="71F3FB34"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December 31, 2025</w:t>
    </w:r>
  </w:p>
  <w:p w14:paraId="71F3FB35" w14:textId="77777777" w:rsidR="00D86095" w:rsidRPr="00D157FA" w:rsidRDefault="003A4815" w:rsidP="00884F0C">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(Expressed in thousands of U.S. Dollars – except share, per share data, unless otherwise stated)</w:t>
    </w:r>
  </w:p>
  <w:p w14:paraId="71F3FB36" w14:textId="77777777" w:rsidR="00141746" w:rsidRPr="00D157FA" w:rsidRDefault="00141746" w:rsidP="00884F0C">
    <w:pPr>
      <w:keepNext/>
      <w:keepLines/>
      <w:pBdr>
        <w:top w:val="nil"/>
        <w:left w:val="nil"/>
        <w:bottom w:val="nil"/>
        <w:right w:val="nil"/>
        <w:between w:val="nil"/>
        <w:bar w:val="nil"/>
      </w:pBdr>
      <w:jc w:val="center"/>
      <w:rPr>
        <w:rFonts w:ascii="Arial" w:eastAsia="Arial" w:hAnsi="Arial" w:cs="Arial"/>
        <w:bdr w:val="nil"/>
        <w:lang w:val="en-US"/>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7"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DIANA SHIPPING INC.</w:t>
    </w:r>
  </w:p>
  <w:p w14:paraId="71F3FB38"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NOTES TO CONSOLIDATED FINANCIAL STATEMENTS</w:t>
    </w:r>
  </w:p>
  <w:p w14:paraId="71F3FB39" w14:textId="77777777" w:rsidR="00102539" w:rsidRPr="00D157FA" w:rsidRDefault="003A4815" w:rsidP="000C595E">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December 31, 2025</w:t>
    </w:r>
  </w:p>
  <w:p w14:paraId="71F3FB3A" w14:textId="77777777" w:rsidR="00D86095" w:rsidRPr="00D157FA" w:rsidRDefault="003A4815" w:rsidP="00884F0C">
    <w:pPr>
      <w:keepNext/>
      <w:keepLines/>
      <w:pBdr>
        <w:top w:val="nil"/>
        <w:left w:val="nil"/>
        <w:bottom w:val="nil"/>
        <w:right w:val="nil"/>
        <w:between w:val="nil"/>
        <w:bar w:val="nil"/>
      </w:pBdr>
      <w:jc w:val="center"/>
      <w:rPr>
        <w:rFonts w:ascii="Arial" w:eastAsia="Arial" w:hAnsi="Arial" w:cs="Arial"/>
        <w:bdr w:val="nil"/>
        <w:lang w:val="en-US"/>
      </w:rPr>
    </w:pPr>
    <w:r w:rsidRPr="00D157FA">
      <w:rPr>
        <w:rFonts w:ascii="Arial" w:eastAsia="Arial" w:hAnsi="Arial" w:cs="Arial"/>
        <w:lang w:val="en-US"/>
      </w:rPr>
      <w:t>(Expressed in thousands of U.S. Dollars – except share, per share data, unless otherwise stated)</w:t>
    </w:r>
  </w:p>
  <w:p w14:paraId="71F3FB3B" w14:textId="77777777" w:rsidR="00141746" w:rsidRPr="00D157FA" w:rsidRDefault="00141746" w:rsidP="00884F0C">
    <w:pPr>
      <w:keepNext/>
      <w:keepLines/>
      <w:pBdr>
        <w:top w:val="nil"/>
        <w:left w:val="nil"/>
        <w:bottom w:val="nil"/>
        <w:right w:val="nil"/>
        <w:between w:val="nil"/>
        <w:bar w:val="nil"/>
      </w:pBdr>
      <w:jc w:val="center"/>
      <w:rPr>
        <w:rFonts w:ascii="Arial" w:eastAsia="Arial" w:hAnsi="Arial" w:cs="Arial"/>
        <w:bdr w:val="nil"/>
        <w:lang w:val="en-US"/>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3FB3E" w14:textId="77777777" w:rsidR="00510CAA" w:rsidRDefault="00510CAA">
    <w:pPr>
      <w:pBdr>
        <w:top w:val="nil"/>
        <w:left w:val="nil"/>
        <w:bottom w:val="nil"/>
        <w:right w:val="nil"/>
        <w:between w:val="nil"/>
        <w:bar w:val="nil"/>
      </w:pBdr>
      <w:rPr>
        <w:rFonts w:eastAsia="Times New Roman"/>
        <w:bdr w:val="nil"/>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16C4B60"/>
    <w:lvl w:ilvl="0">
      <w:start w:val="1"/>
      <w:numFmt w:val="bullet"/>
      <w:pStyle w:val="ListBullet1"/>
      <w:lvlText w:val=""/>
      <w:lvlJc w:val="left"/>
      <w:pPr>
        <w:tabs>
          <w:tab w:val="num" w:pos="360"/>
        </w:tabs>
        <w:ind w:left="360" w:hanging="360"/>
      </w:pPr>
      <w:rPr>
        <w:rFonts w:ascii="Symbol" w:hAnsi="Symbol" w:hint="default"/>
        <w:sz w:val="12"/>
        <w:szCs w:val="12"/>
      </w:rPr>
    </w:lvl>
  </w:abstractNum>
  <w:abstractNum w:abstractNumId="1" w15:restartNumberingAfterBreak="0">
    <w:nsid w:val="0000000C"/>
    <w:multiLevelType w:val="hybridMultilevel"/>
    <w:tmpl w:val="E4B8ED0E"/>
    <w:lvl w:ilvl="0" w:tplc="F3E8A788">
      <w:start w:val="1"/>
      <w:numFmt w:val="bullet"/>
      <w:lvlText w:val=""/>
      <w:lvlJc w:val="left"/>
      <w:pPr>
        <w:tabs>
          <w:tab w:val="num" w:pos="720"/>
        </w:tabs>
        <w:ind w:left="720" w:hanging="360"/>
      </w:pPr>
      <w:rPr>
        <w:rFonts w:ascii="Symbol" w:hAnsi="Symbol" w:hint="default"/>
        <w:sz w:val="12"/>
        <w:szCs w:val="12"/>
      </w:rPr>
    </w:lvl>
    <w:lvl w:ilvl="1" w:tplc="BBA2D560">
      <w:start w:val="1"/>
      <w:numFmt w:val="bullet"/>
      <w:lvlText w:val="o"/>
      <w:lvlJc w:val="left"/>
      <w:pPr>
        <w:tabs>
          <w:tab w:val="num" w:pos="1440"/>
        </w:tabs>
        <w:ind w:left="1440" w:hanging="360"/>
      </w:pPr>
      <w:rPr>
        <w:rFonts w:ascii="Courier New" w:hAnsi="Courier New" w:cs="Courier New" w:hint="default"/>
      </w:rPr>
    </w:lvl>
    <w:lvl w:ilvl="2" w:tplc="6622BA58">
      <w:start w:val="1"/>
      <w:numFmt w:val="bullet"/>
      <w:lvlText w:val=""/>
      <w:lvlJc w:val="left"/>
      <w:pPr>
        <w:tabs>
          <w:tab w:val="num" w:pos="2160"/>
        </w:tabs>
        <w:ind w:left="2160" w:hanging="360"/>
      </w:pPr>
      <w:rPr>
        <w:rFonts w:ascii="Wingdings" w:hAnsi="Wingdings" w:hint="default"/>
      </w:rPr>
    </w:lvl>
    <w:lvl w:ilvl="3" w:tplc="70A04134">
      <w:start w:val="1"/>
      <w:numFmt w:val="bullet"/>
      <w:lvlText w:val=""/>
      <w:lvlJc w:val="left"/>
      <w:pPr>
        <w:tabs>
          <w:tab w:val="num" w:pos="2880"/>
        </w:tabs>
        <w:ind w:left="2880" w:hanging="360"/>
      </w:pPr>
      <w:rPr>
        <w:rFonts w:ascii="Symbol" w:hAnsi="Symbol" w:hint="default"/>
      </w:rPr>
    </w:lvl>
    <w:lvl w:ilvl="4" w:tplc="F230A328">
      <w:start w:val="1"/>
      <w:numFmt w:val="bullet"/>
      <w:lvlText w:val="o"/>
      <w:lvlJc w:val="left"/>
      <w:pPr>
        <w:tabs>
          <w:tab w:val="num" w:pos="3600"/>
        </w:tabs>
        <w:ind w:left="3600" w:hanging="360"/>
      </w:pPr>
      <w:rPr>
        <w:rFonts w:ascii="Courier New" w:hAnsi="Courier New" w:cs="Courier New" w:hint="default"/>
      </w:rPr>
    </w:lvl>
    <w:lvl w:ilvl="5" w:tplc="B672CFAE">
      <w:start w:val="1"/>
      <w:numFmt w:val="bullet"/>
      <w:lvlText w:val=""/>
      <w:lvlJc w:val="left"/>
      <w:pPr>
        <w:tabs>
          <w:tab w:val="num" w:pos="4320"/>
        </w:tabs>
        <w:ind w:left="4320" w:hanging="360"/>
      </w:pPr>
      <w:rPr>
        <w:rFonts w:ascii="Wingdings" w:hAnsi="Wingdings" w:hint="default"/>
      </w:rPr>
    </w:lvl>
    <w:lvl w:ilvl="6" w:tplc="D71851C2">
      <w:start w:val="1"/>
      <w:numFmt w:val="bullet"/>
      <w:lvlText w:val=""/>
      <w:lvlJc w:val="left"/>
      <w:pPr>
        <w:tabs>
          <w:tab w:val="num" w:pos="5040"/>
        </w:tabs>
        <w:ind w:left="5040" w:hanging="360"/>
      </w:pPr>
      <w:rPr>
        <w:rFonts w:ascii="Symbol" w:hAnsi="Symbol" w:hint="default"/>
      </w:rPr>
    </w:lvl>
    <w:lvl w:ilvl="7" w:tplc="FF260CA4">
      <w:start w:val="1"/>
      <w:numFmt w:val="bullet"/>
      <w:lvlText w:val="o"/>
      <w:lvlJc w:val="left"/>
      <w:pPr>
        <w:tabs>
          <w:tab w:val="num" w:pos="5760"/>
        </w:tabs>
        <w:ind w:left="5760" w:hanging="360"/>
      </w:pPr>
      <w:rPr>
        <w:rFonts w:ascii="Courier New" w:hAnsi="Courier New" w:cs="Courier New" w:hint="default"/>
      </w:rPr>
    </w:lvl>
    <w:lvl w:ilvl="8" w:tplc="4BC4214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E"/>
    <w:multiLevelType w:val="singleLevel"/>
    <w:tmpl w:val="5A54E60C"/>
    <w:lvl w:ilvl="0">
      <w:start w:val="1"/>
      <w:numFmt w:val="bullet"/>
      <w:pStyle w:val="ListBullet2"/>
      <w:lvlText w:val=""/>
      <w:lvlJc w:val="left"/>
      <w:pPr>
        <w:tabs>
          <w:tab w:val="num" w:pos="360"/>
        </w:tabs>
        <w:ind w:left="360" w:hanging="360"/>
      </w:pPr>
      <w:rPr>
        <w:rFonts w:ascii="Symbol" w:hAnsi="Symbol" w:hint="default"/>
      </w:rPr>
    </w:lvl>
  </w:abstractNum>
  <w:abstractNum w:abstractNumId="3" w15:restartNumberingAfterBreak="0">
    <w:nsid w:val="0000000F"/>
    <w:multiLevelType w:val="hybridMultilevel"/>
    <w:tmpl w:val="2EDE428A"/>
    <w:lvl w:ilvl="0" w:tplc="8F5AFC26">
      <w:start w:val="1"/>
      <w:numFmt w:val="lowerLetter"/>
      <w:pStyle w:val="Numberedbody-notes40"/>
      <w:lvlText w:val="(%1)"/>
      <w:lvlJc w:val="left"/>
      <w:pPr>
        <w:ind w:left="360" w:hanging="360"/>
      </w:pPr>
      <w:rPr>
        <w:rFonts w:ascii="Times New Roman Bold" w:hAnsi="Times New Roman Bold" w:hint="default"/>
        <w:b/>
        <w:i/>
        <w:sz w:val="22"/>
      </w:rPr>
    </w:lvl>
    <w:lvl w:ilvl="1" w:tplc="DF44B82A">
      <w:start w:val="1"/>
      <w:numFmt w:val="lowerLetter"/>
      <w:lvlText w:val="%2."/>
      <w:lvlJc w:val="left"/>
      <w:pPr>
        <w:ind w:left="1080" w:hanging="360"/>
      </w:pPr>
    </w:lvl>
    <w:lvl w:ilvl="2" w:tplc="AD8C559E">
      <w:start w:val="1"/>
      <w:numFmt w:val="lowerRoman"/>
      <w:lvlText w:val="%3."/>
      <w:lvlJc w:val="right"/>
      <w:pPr>
        <w:ind w:left="1800" w:hanging="180"/>
      </w:pPr>
    </w:lvl>
    <w:lvl w:ilvl="3" w:tplc="17C40952">
      <w:start w:val="1"/>
      <w:numFmt w:val="decimal"/>
      <w:lvlText w:val="%4."/>
      <w:lvlJc w:val="left"/>
      <w:pPr>
        <w:ind w:left="2520" w:hanging="360"/>
      </w:pPr>
    </w:lvl>
    <w:lvl w:ilvl="4" w:tplc="F622322C">
      <w:start w:val="1"/>
      <w:numFmt w:val="lowerLetter"/>
      <w:lvlText w:val="%5."/>
      <w:lvlJc w:val="left"/>
      <w:pPr>
        <w:ind w:left="3240" w:hanging="360"/>
      </w:pPr>
    </w:lvl>
    <w:lvl w:ilvl="5" w:tplc="2A6E3E7A">
      <w:start w:val="1"/>
      <w:numFmt w:val="lowerRoman"/>
      <w:lvlText w:val="%6."/>
      <w:lvlJc w:val="right"/>
      <w:pPr>
        <w:ind w:left="3960" w:hanging="180"/>
      </w:pPr>
    </w:lvl>
    <w:lvl w:ilvl="6" w:tplc="5ABAFCAC">
      <w:start w:val="1"/>
      <w:numFmt w:val="decimal"/>
      <w:lvlText w:val="%7."/>
      <w:lvlJc w:val="left"/>
      <w:pPr>
        <w:ind w:left="4680" w:hanging="360"/>
      </w:pPr>
    </w:lvl>
    <w:lvl w:ilvl="7" w:tplc="035AF5D2">
      <w:start w:val="1"/>
      <w:numFmt w:val="lowerLetter"/>
      <w:lvlText w:val="%8."/>
      <w:lvlJc w:val="left"/>
      <w:pPr>
        <w:ind w:left="5400" w:hanging="360"/>
      </w:pPr>
    </w:lvl>
    <w:lvl w:ilvl="8" w:tplc="159A2AB8">
      <w:start w:val="1"/>
      <w:numFmt w:val="lowerRoman"/>
      <w:lvlText w:val="%9."/>
      <w:lvlJc w:val="right"/>
      <w:pPr>
        <w:ind w:left="6120" w:hanging="180"/>
      </w:pPr>
    </w:lvl>
  </w:abstractNum>
  <w:abstractNum w:abstractNumId="4" w15:restartNumberingAfterBreak="0">
    <w:nsid w:val="02175204"/>
    <w:multiLevelType w:val="hybridMultilevel"/>
    <w:tmpl w:val="137E2AF2"/>
    <w:lvl w:ilvl="0" w:tplc="C9AE9E38">
      <w:start w:val="1"/>
      <w:numFmt w:val="upperLetter"/>
      <w:lvlText w:val="%1."/>
      <w:lvlJc w:val="left"/>
      <w:pPr>
        <w:ind w:left="1434" w:hanging="720"/>
      </w:pPr>
      <w:rPr>
        <w:rFonts w:hint="default"/>
      </w:rPr>
    </w:lvl>
    <w:lvl w:ilvl="1" w:tplc="7C2E8E52" w:tentative="1">
      <w:start w:val="1"/>
      <w:numFmt w:val="lowerLetter"/>
      <w:lvlText w:val="%2."/>
      <w:lvlJc w:val="left"/>
      <w:pPr>
        <w:ind w:left="1794" w:hanging="360"/>
      </w:pPr>
    </w:lvl>
    <w:lvl w:ilvl="2" w:tplc="4394EAAA" w:tentative="1">
      <w:start w:val="1"/>
      <w:numFmt w:val="lowerRoman"/>
      <w:lvlText w:val="%3."/>
      <w:lvlJc w:val="right"/>
      <w:pPr>
        <w:ind w:left="2514" w:hanging="180"/>
      </w:pPr>
    </w:lvl>
    <w:lvl w:ilvl="3" w:tplc="14FA03A0" w:tentative="1">
      <w:start w:val="1"/>
      <w:numFmt w:val="decimal"/>
      <w:lvlText w:val="%4."/>
      <w:lvlJc w:val="left"/>
      <w:pPr>
        <w:ind w:left="3234" w:hanging="360"/>
      </w:pPr>
    </w:lvl>
    <w:lvl w:ilvl="4" w:tplc="766A1E64" w:tentative="1">
      <w:start w:val="1"/>
      <w:numFmt w:val="lowerLetter"/>
      <w:lvlText w:val="%5."/>
      <w:lvlJc w:val="left"/>
      <w:pPr>
        <w:ind w:left="3954" w:hanging="360"/>
      </w:pPr>
    </w:lvl>
    <w:lvl w:ilvl="5" w:tplc="31D66A3A" w:tentative="1">
      <w:start w:val="1"/>
      <w:numFmt w:val="lowerRoman"/>
      <w:lvlText w:val="%6."/>
      <w:lvlJc w:val="right"/>
      <w:pPr>
        <w:ind w:left="4674" w:hanging="180"/>
      </w:pPr>
    </w:lvl>
    <w:lvl w:ilvl="6" w:tplc="A31C14C6" w:tentative="1">
      <w:start w:val="1"/>
      <w:numFmt w:val="decimal"/>
      <w:lvlText w:val="%7."/>
      <w:lvlJc w:val="left"/>
      <w:pPr>
        <w:ind w:left="5394" w:hanging="360"/>
      </w:pPr>
    </w:lvl>
    <w:lvl w:ilvl="7" w:tplc="5EAC5BAC" w:tentative="1">
      <w:start w:val="1"/>
      <w:numFmt w:val="lowerLetter"/>
      <w:lvlText w:val="%8."/>
      <w:lvlJc w:val="left"/>
      <w:pPr>
        <w:ind w:left="6114" w:hanging="360"/>
      </w:pPr>
    </w:lvl>
    <w:lvl w:ilvl="8" w:tplc="27680B28" w:tentative="1">
      <w:start w:val="1"/>
      <w:numFmt w:val="lowerRoman"/>
      <w:lvlText w:val="%9."/>
      <w:lvlJc w:val="right"/>
      <w:pPr>
        <w:ind w:left="6834" w:hanging="180"/>
      </w:pPr>
    </w:lvl>
  </w:abstractNum>
  <w:abstractNum w:abstractNumId="5" w15:restartNumberingAfterBreak="0">
    <w:nsid w:val="0CA0180D"/>
    <w:multiLevelType w:val="multilevel"/>
    <w:tmpl w:val="7FCC2776"/>
    <w:lvl w:ilvl="0">
      <w:start w:val="1"/>
      <w:numFmt w:val="decimal"/>
      <w:pStyle w:val="Listnumbered"/>
      <w:lvlText w:val="(%1)"/>
      <w:lvlJc w:val="left"/>
      <w:pPr>
        <w:tabs>
          <w:tab w:val="num" w:pos="1080"/>
        </w:tabs>
        <w:ind w:left="1080" w:hanging="720"/>
      </w:pPr>
      <w:rPr>
        <w:rFonts w:cs="Times New Roman"/>
        <w:i w:val="0"/>
        <w:iCs/>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A6C54F1"/>
    <w:multiLevelType w:val="hybridMultilevel"/>
    <w:tmpl w:val="25049062"/>
    <w:lvl w:ilvl="0" w:tplc="8ACE8316">
      <w:start w:val="1"/>
      <w:numFmt w:val="lowerLetter"/>
      <w:lvlText w:val="%1)"/>
      <w:lvlJc w:val="left"/>
      <w:pPr>
        <w:ind w:left="1080" w:hanging="720"/>
      </w:pPr>
      <w:rPr>
        <w:rFonts w:eastAsiaTheme="majorEastAsia" w:hint="default"/>
        <w:b/>
        <w:i/>
      </w:rPr>
    </w:lvl>
    <w:lvl w:ilvl="1" w:tplc="5B4AB9C0" w:tentative="1">
      <w:start w:val="1"/>
      <w:numFmt w:val="lowerLetter"/>
      <w:lvlText w:val="%2."/>
      <w:lvlJc w:val="left"/>
      <w:pPr>
        <w:ind w:left="1440" w:hanging="360"/>
      </w:pPr>
    </w:lvl>
    <w:lvl w:ilvl="2" w:tplc="AF0E557E" w:tentative="1">
      <w:start w:val="1"/>
      <w:numFmt w:val="lowerRoman"/>
      <w:lvlText w:val="%3."/>
      <w:lvlJc w:val="right"/>
      <w:pPr>
        <w:ind w:left="2160" w:hanging="180"/>
      </w:pPr>
    </w:lvl>
    <w:lvl w:ilvl="3" w:tplc="225A3A0E" w:tentative="1">
      <w:start w:val="1"/>
      <w:numFmt w:val="decimal"/>
      <w:lvlText w:val="%4."/>
      <w:lvlJc w:val="left"/>
      <w:pPr>
        <w:ind w:left="2880" w:hanging="360"/>
      </w:pPr>
    </w:lvl>
    <w:lvl w:ilvl="4" w:tplc="77185AB0" w:tentative="1">
      <w:start w:val="1"/>
      <w:numFmt w:val="lowerLetter"/>
      <w:lvlText w:val="%5."/>
      <w:lvlJc w:val="left"/>
      <w:pPr>
        <w:ind w:left="3600" w:hanging="360"/>
      </w:pPr>
    </w:lvl>
    <w:lvl w:ilvl="5" w:tplc="8976E2A0" w:tentative="1">
      <w:start w:val="1"/>
      <w:numFmt w:val="lowerRoman"/>
      <w:lvlText w:val="%6."/>
      <w:lvlJc w:val="right"/>
      <w:pPr>
        <w:ind w:left="4320" w:hanging="180"/>
      </w:pPr>
    </w:lvl>
    <w:lvl w:ilvl="6" w:tplc="B20E6B0A" w:tentative="1">
      <w:start w:val="1"/>
      <w:numFmt w:val="decimal"/>
      <w:lvlText w:val="%7."/>
      <w:lvlJc w:val="left"/>
      <w:pPr>
        <w:ind w:left="5040" w:hanging="360"/>
      </w:pPr>
    </w:lvl>
    <w:lvl w:ilvl="7" w:tplc="D3F60802" w:tentative="1">
      <w:start w:val="1"/>
      <w:numFmt w:val="lowerLetter"/>
      <w:lvlText w:val="%8."/>
      <w:lvlJc w:val="left"/>
      <w:pPr>
        <w:ind w:left="5760" w:hanging="360"/>
      </w:pPr>
    </w:lvl>
    <w:lvl w:ilvl="8" w:tplc="A5648688" w:tentative="1">
      <w:start w:val="1"/>
      <w:numFmt w:val="lowerRoman"/>
      <w:lvlText w:val="%9."/>
      <w:lvlJc w:val="right"/>
      <w:pPr>
        <w:ind w:left="6480" w:hanging="180"/>
      </w:pPr>
    </w:lvl>
  </w:abstractNum>
  <w:abstractNum w:abstractNumId="7" w15:restartNumberingAfterBreak="0">
    <w:nsid w:val="22455D75"/>
    <w:multiLevelType w:val="hybridMultilevel"/>
    <w:tmpl w:val="16DC7D4C"/>
    <w:lvl w:ilvl="0" w:tplc="97204CC8">
      <w:start w:val="1"/>
      <w:numFmt w:val="bullet"/>
      <w:lvlText w:val=""/>
      <w:lvlJc w:val="left"/>
      <w:pPr>
        <w:ind w:left="720" w:hanging="360"/>
      </w:pPr>
      <w:rPr>
        <w:rFonts w:ascii="Symbol" w:hAnsi="Symbol" w:hint="default"/>
        <w:sz w:val="12"/>
        <w:szCs w:val="12"/>
      </w:rPr>
    </w:lvl>
    <w:lvl w:ilvl="1" w:tplc="FB2A02AE" w:tentative="1">
      <w:start w:val="1"/>
      <w:numFmt w:val="bullet"/>
      <w:lvlText w:val="o"/>
      <w:lvlJc w:val="left"/>
      <w:pPr>
        <w:ind w:left="1440" w:hanging="360"/>
      </w:pPr>
      <w:rPr>
        <w:rFonts w:ascii="Courier New" w:hAnsi="Courier New" w:cs="Courier New" w:hint="default"/>
      </w:rPr>
    </w:lvl>
    <w:lvl w:ilvl="2" w:tplc="32CC3D90" w:tentative="1">
      <w:start w:val="1"/>
      <w:numFmt w:val="bullet"/>
      <w:lvlText w:val=""/>
      <w:lvlJc w:val="left"/>
      <w:pPr>
        <w:ind w:left="2160" w:hanging="360"/>
      </w:pPr>
      <w:rPr>
        <w:rFonts w:ascii="Wingdings" w:hAnsi="Wingdings" w:hint="default"/>
      </w:rPr>
    </w:lvl>
    <w:lvl w:ilvl="3" w:tplc="455C5A84" w:tentative="1">
      <w:start w:val="1"/>
      <w:numFmt w:val="bullet"/>
      <w:lvlText w:val=""/>
      <w:lvlJc w:val="left"/>
      <w:pPr>
        <w:ind w:left="2880" w:hanging="360"/>
      </w:pPr>
      <w:rPr>
        <w:rFonts w:ascii="Symbol" w:hAnsi="Symbol" w:hint="default"/>
      </w:rPr>
    </w:lvl>
    <w:lvl w:ilvl="4" w:tplc="ED1CF646" w:tentative="1">
      <w:start w:val="1"/>
      <w:numFmt w:val="bullet"/>
      <w:lvlText w:val="o"/>
      <w:lvlJc w:val="left"/>
      <w:pPr>
        <w:ind w:left="3600" w:hanging="360"/>
      </w:pPr>
      <w:rPr>
        <w:rFonts w:ascii="Courier New" w:hAnsi="Courier New" w:cs="Courier New" w:hint="default"/>
      </w:rPr>
    </w:lvl>
    <w:lvl w:ilvl="5" w:tplc="7C28988C" w:tentative="1">
      <w:start w:val="1"/>
      <w:numFmt w:val="bullet"/>
      <w:lvlText w:val=""/>
      <w:lvlJc w:val="left"/>
      <w:pPr>
        <w:ind w:left="4320" w:hanging="360"/>
      </w:pPr>
      <w:rPr>
        <w:rFonts w:ascii="Wingdings" w:hAnsi="Wingdings" w:hint="default"/>
      </w:rPr>
    </w:lvl>
    <w:lvl w:ilvl="6" w:tplc="B5C616D6" w:tentative="1">
      <w:start w:val="1"/>
      <w:numFmt w:val="bullet"/>
      <w:lvlText w:val=""/>
      <w:lvlJc w:val="left"/>
      <w:pPr>
        <w:ind w:left="5040" w:hanging="360"/>
      </w:pPr>
      <w:rPr>
        <w:rFonts w:ascii="Symbol" w:hAnsi="Symbol" w:hint="default"/>
      </w:rPr>
    </w:lvl>
    <w:lvl w:ilvl="7" w:tplc="8AA41C84" w:tentative="1">
      <w:start w:val="1"/>
      <w:numFmt w:val="bullet"/>
      <w:lvlText w:val="o"/>
      <w:lvlJc w:val="left"/>
      <w:pPr>
        <w:ind w:left="5760" w:hanging="360"/>
      </w:pPr>
      <w:rPr>
        <w:rFonts w:ascii="Courier New" w:hAnsi="Courier New" w:cs="Courier New" w:hint="default"/>
      </w:rPr>
    </w:lvl>
    <w:lvl w:ilvl="8" w:tplc="78A4CCF0" w:tentative="1">
      <w:start w:val="1"/>
      <w:numFmt w:val="bullet"/>
      <w:lvlText w:val=""/>
      <w:lvlJc w:val="left"/>
      <w:pPr>
        <w:ind w:left="6480" w:hanging="360"/>
      </w:pPr>
      <w:rPr>
        <w:rFonts w:ascii="Wingdings" w:hAnsi="Wingdings" w:hint="default"/>
      </w:rPr>
    </w:lvl>
  </w:abstractNum>
  <w:abstractNum w:abstractNumId="8" w15:restartNumberingAfterBreak="0">
    <w:nsid w:val="24591A4E"/>
    <w:multiLevelType w:val="hybridMultilevel"/>
    <w:tmpl w:val="BCAEF150"/>
    <w:lvl w:ilvl="0" w:tplc="4AB43B56">
      <w:start w:val="1"/>
      <w:numFmt w:val="bullet"/>
      <w:lvlText w:val=""/>
      <w:lvlJc w:val="left"/>
      <w:pPr>
        <w:ind w:left="720" w:hanging="360"/>
      </w:pPr>
      <w:rPr>
        <w:rFonts w:ascii="Symbol" w:hAnsi="Symbol" w:hint="default"/>
      </w:rPr>
    </w:lvl>
    <w:lvl w:ilvl="1" w:tplc="CFF45F14" w:tentative="1">
      <w:start w:val="1"/>
      <w:numFmt w:val="bullet"/>
      <w:lvlText w:val="o"/>
      <w:lvlJc w:val="left"/>
      <w:pPr>
        <w:ind w:left="1440" w:hanging="360"/>
      </w:pPr>
      <w:rPr>
        <w:rFonts w:ascii="Courier New" w:hAnsi="Courier New" w:cs="Courier New" w:hint="default"/>
      </w:rPr>
    </w:lvl>
    <w:lvl w:ilvl="2" w:tplc="17206416" w:tentative="1">
      <w:start w:val="1"/>
      <w:numFmt w:val="bullet"/>
      <w:lvlText w:val=""/>
      <w:lvlJc w:val="left"/>
      <w:pPr>
        <w:ind w:left="2160" w:hanging="360"/>
      </w:pPr>
      <w:rPr>
        <w:rFonts w:ascii="Wingdings" w:hAnsi="Wingdings" w:hint="default"/>
      </w:rPr>
    </w:lvl>
    <w:lvl w:ilvl="3" w:tplc="20E66418" w:tentative="1">
      <w:start w:val="1"/>
      <w:numFmt w:val="bullet"/>
      <w:lvlText w:val=""/>
      <w:lvlJc w:val="left"/>
      <w:pPr>
        <w:ind w:left="2880" w:hanging="360"/>
      </w:pPr>
      <w:rPr>
        <w:rFonts w:ascii="Symbol" w:hAnsi="Symbol" w:hint="default"/>
      </w:rPr>
    </w:lvl>
    <w:lvl w:ilvl="4" w:tplc="4F28125C" w:tentative="1">
      <w:start w:val="1"/>
      <w:numFmt w:val="bullet"/>
      <w:lvlText w:val="o"/>
      <w:lvlJc w:val="left"/>
      <w:pPr>
        <w:ind w:left="3600" w:hanging="360"/>
      </w:pPr>
      <w:rPr>
        <w:rFonts w:ascii="Courier New" w:hAnsi="Courier New" w:cs="Courier New" w:hint="default"/>
      </w:rPr>
    </w:lvl>
    <w:lvl w:ilvl="5" w:tplc="9CF295D4" w:tentative="1">
      <w:start w:val="1"/>
      <w:numFmt w:val="bullet"/>
      <w:lvlText w:val=""/>
      <w:lvlJc w:val="left"/>
      <w:pPr>
        <w:ind w:left="4320" w:hanging="360"/>
      </w:pPr>
      <w:rPr>
        <w:rFonts w:ascii="Wingdings" w:hAnsi="Wingdings" w:hint="default"/>
      </w:rPr>
    </w:lvl>
    <w:lvl w:ilvl="6" w:tplc="4DD8B7B4" w:tentative="1">
      <w:start w:val="1"/>
      <w:numFmt w:val="bullet"/>
      <w:lvlText w:val=""/>
      <w:lvlJc w:val="left"/>
      <w:pPr>
        <w:ind w:left="5040" w:hanging="360"/>
      </w:pPr>
      <w:rPr>
        <w:rFonts w:ascii="Symbol" w:hAnsi="Symbol" w:hint="default"/>
      </w:rPr>
    </w:lvl>
    <w:lvl w:ilvl="7" w:tplc="EA264136" w:tentative="1">
      <w:start w:val="1"/>
      <w:numFmt w:val="bullet"/>
      <w:lvlText w:val="o"/>
      <w:lvlJc w:val="left"/>
      <w:pPr>
        <w:ind w:left="5760" w:hanging="360"/>
      </w:pPr>
      <w:rPr>
        <w:rFonts w:ascii="Courier New" w:hAnsi="Courier New" w:cs="Courier New" w:hint="default"/>
      </w:rPr>
    </w:lvl>
    <w:lvl w:ilvl="8" w:tplc="402E8FF8" w:tentative="1">
      <w:start w:val="1"/>
      <w:numFmt w:val="bullet"/>
      <w:lvlText w:val=""/>
      <w:lvlJc w:val="left"/>
      <w:pPr>
        <w:ind w:left="6480" w:hanging="360"/>
      </w:pPr>
      <w:rPr>
        <w:rFonts w:ascii="Wingdings" w:hAnsi="Wingdings" w:hint="default"/>
      </w:rPr>
    </w:lvl>
  </w:abstractNum>
  <w:abstractNum w:abstractNumId="9" w15:restartNumberingAfterBreak="0">
    <w:nsid w:val="25777B8B"/>
    <w:multiLevelType w:val="hybridMultilevel"/>
    <w:tmpl w:val="739481CC"/>
    <w:lvl w:ilvl="0" w:tplc="244A7D98">
      <w:start w:val="1"/>
      <w:numFmt w:val="bullet"/>
      <w:lvlText w:val=""/>
      <w:lvlJc w:val="left"/>
      <w:pPr>
        <w:ind w:left="720" w:hanging="360"/>
      </w:pPr>
      <w:rPr>
        <w:rFonts w:ascii="Symbol" w:hAnsi="Symbol" w:hint="default"/>
        <w:sz w:val="12"/>
        <w:szCs w:val="12"/>
      </w:rPr>
    </w:lvl>
    <w:lvl w:ilvl="1" w:tplc="AAF8634C" w:tentative="1">
      <w:start w:val="1"/>
      <w:numFmt w:val="bullet"/>
      <w:lvlText w:val="o"/>
      <w:lvlJc w:val="left"/>
      <w:pPr>
        <w:ind w:left="1440" w:hanging="360"/>
      </w:pPr>
      <w:rPr>
        <w:rFonts w:ascii="Courier New" w:hAnsi="Courier New" w:cs="Courier New" w:hint="default"/>
      </w:rPr>
    </w:lvl>
    <w:lvl w:ilvl="2" w:tplc="F68AC6CE" w:tentative="1">
      <w:start w:val="1"/>
      <w:numFmt w:val="bullet"/>
      <w:lvlText w:val=""/>
      <w:lvlJc w:val="left"/>
      <w:pPr>
        <w:ind w:left="2160" w:hanging="360"/>
      </w:pPr>
      <w:rPr>
        <w:rFonts w:ascii="Wingdings" w:hAnsi="Wingdings" w:hint="default"/>
      </w:rPr>
    </w:lvl>
    <w:lvl w:ilvl="3" w:tplc="636A54E2" w:tentative="1">
      <w:start w:val="1"/>
      <w:numFmt w:val="bullet"/>
      <w:lvlText w:val=""/>
      <w:lvlJc w:val="left"/>
      <w:pPr>
        <w:ind w:left="2880" w:hanging="360"/>
      </w:pPr>
      <w:rPr>
        <w:rFonts w:ascii="Symbol" w:hAnsi="Symbol" w:hint="default"/>
      </w:rPr>
    </w:lvl>
    <w:lvl w:ilvl="4" w:tplc="D0D64FC6" w:tentative="1">
      <w:start w:val="1"/>
      <w:numFmt w:val="bullet"/>
      <w:lvlText w:val="o"/>
      <w:lvlJc w:val="left"/>
      <w:pPr>
        <w:ind w:left="3600" w:hanging="360"/>
      </w:pPr>
      <w:rPr>
        <w:rFonts w:ascii="Courier New" w:hAnsi="Courier New" w:cs="Courier New" w:hint="default"/>
      </w:rPr>
    </w:lvl>
    <w:lvl w:ilvl="5" w:tplc="DBFAB98E" w:tentative="1">
      <w:start w:val="1"/>
      <w:numFmt w:val="bullet"/>
      <w:lvlText w:val=""/>
      <w:lvlJc w:val="left"/>
      <w:pPr>
        <w:ind w:left="4320" w:hanging="360"/>
      </w:pPr>
      <w:rPr>
        <w:rFonts w:ascii="Wingdings" w:hAnsi="Wingdings" w:hint="default"/>
      </w:rPr>
    </w:lvl>
    <w:lvl w:ilvl="6" w:tplc="278A2C52" w:tentative="1">
      <w:start w:val="1"/>
      <w:numFmt w:val="bullet"/>
      <w:lvlText w:val=""/>
      <w:lvlJc w:val="left"/>
      <w:pPr>
        <w:ind w:left="5040" w:hanging="360"/>
      </w:pPr>
      <w:rPr>
        <w:rFonts w:ascii="Symbol" w:hAnsi="Symbol" w:hint="default"/>
      </w:rPr>
    </w:lvl>
    <w:lvl w:ilvl="7" w:tplc="8ECEF26A" w:tentative="1">
      <w:start w:val="1"/>
      <w:numFmt w:val="bullet"/>
      <w:lvlText w:val="o"/>
      <w:lvlJc w:val="left"/>
      <w:pPr>
        <w:ind w:left="5760" w:hanging="360"/>
      </w:pPr>
      <w:rPr>
        <w:rFonts w:ascii="Courier New" w:hAnsi="Courier New" w:cs="Courier New" w:hint="default"/>
      </w:rPr>
    </w:lvl>
    <w:lvl w:ilvl="8" w:tplc="588C6FCE" w:tentative="1">
      <w:start w:val="1"/>
      <w:numFmt w:val="bullet"/>
      <w:lvlText w:val=""/>
      <w:lvlJc w:val="left"/>
      <w:pPr>
        <w:ind w:left="6480" w:hanging="360"/>
      </w:pPr>
      <w:rPr>
        <w:rFonts w:ascii="Wingdings" w:hAnsi="Wingdings" w:hint="default"/>
      </w:rPr>
    </w:lvl>
  </w:abstractNum>
  <w:abstractNum w:abstractNumId="10" w15:restartNumberingAfterBreak="0">
    <w:nsid w:val="2A082F97"/>
    <w:multiLevelType w:val="hybridMultilevel"/>
    <w:tmpl w:val="0B1C775A"/>
    <w:lvl w:ilvl="0" w:tplc="E49CF912">
      <w:start w:val="6"/>
      <w:numFmt w:val="lowerLetter"/>
      <w:lvlText w:val="%1)"/>
      <w:lvlJc w:val="left"/>
      <w:pPr>
        <w:ind w:left="720" w:hanging="360"/>
      </w:pPr>
      <w:rPr>
        <w:rFonts w:hint="default"/>
      </w:rPr>
    </w:lvl>
    <w:lvl w:ilvl="1" w:tplc="BD12FFEC" w:tentative="1">
      <w:start w:val="1"/>
      <w:numFmt w:val="lowerLetter"/>
      <w:lvlText w:val="%2."/>
      <w:lvlJc w:val="left"/>
      <w:pPr>
        <w:ind w:left="1440" w:hanging="360"/>
      </w:pPr>
    </w:lvl>
    <w:lvl w:ilvl="2" w:tplc="C4B624EE" w:tentative="1">
      <w:start w:val="1"/>
      <w:numFmt w:val="lowerRoman"/>
      <w:lvlText w:val="%3."/>
      <w:lvlJc w:val="right"/>
      <w:pPr>
        <w:ind w:left="2160" w:hanging="180"/>
      </w:pPr>
    </w:lvl>
    <w:lvl w:ilvl="3" w:tplc="30F8FEFA" w:tentative="1">
      <w:start w:val="1"/>
      <w:numFmt w:val="decimal"/>
      <w:lvlText w:val="%4."/>
      <w:lvlJc w:val="left"/>
      <w:pPr>
        <w:ind w:left="2880" w:hanging="360"/>
      </w:pPr>
    </w:lvl>
    <w:lvl w:ilvl="4" w:tplc="7C36A78A" w:tentative="1">
      <w:start w:val="1"/>
      <w:numFmt w:val="lowerLetter"/>
      <w:lvlText w:val="%5."/>
      <w:lvlJc w:val="left"/>
      <w:pPr>
        <w:ind w:left="3600" w:hanging="360"/>
      </w:pPr>
    </w:lvl>
    <w:lvl w:ilvl="5" w:tplc="F49C964A" w:tentative="1">
      <w:start w:val="1"/>
      <w:numFmt w:val="lowerRoman"/>
      <w:lvlText w:val="%6."/>
      <w:lvlJc w:val="right"/>
      <w:pPr>
        <w:ind w:left="4320" w:hanging="180"/>
      </w:pPr>
    </w:lvl>
    <w:lvl w:ilvl="6" w:tplc="2446F15E" w:tentative="1">
      <w:start w:val="1"/>
      <w:numFmt w:val="decimal"/>
      <w:lvlText w:val="%7."/>
      <w:lvlJc w:val="left"/>
      <w:pPr>
        <w:ind w:left="5040" w:hanging="360"/>
      </w:pPr>
    </w:lvl>
    <w:lvl w:ilvl="7" w:tplc="27985040" w:tentative="1">
      <w:start w:val="1"/>
      <w:numFmt w:val="lowerLetter"/>
      <w:lvlText w:val="%8."/>
      <w:lvlJc w:val="left"/>
      <w:pPr>
        <w:ind w:left="5760" w:hanging="360"/>
      </w:pPr>
    </w:lvl>
    <w:lvl w:ilvl="8" w:tplc="24FE7C10" w:tentative="1">
      <w:start w:val="1"/>
      <w:numFmt w:val="lowerRoman"/>
      <w:lvlText w:val="%9."/>
      <w:lvlJc w:val="right"/>
      <w:pPr>
        <w:ind w:left="6480" w:hanging="180"/>
      </w:pPr>
    </w:lvl>
  </w:abstractNum>
  <w:abstractNum w:abstractNumId="11" w15:restartNumberingAfterBreak="0">
    <w:nsid w:val="2B505B16"/>
    <w:multiLevelType w:val="hybridMultilevel"/>
    <w:tmpl w:val="2800D840"/>
    <w:lvl w:ilvl="0" w:tplc="AC105CDA">
      <w:start w:val="1"/>
      <w:numFmt w:val="bullet"/>
      <w:lvlText w:val=""/>
      <w:lvlJc w:val="left"/>
      <w:pPr>
        <w:ind w:left="1080" w:hanging="360"/>
      </w:pPr>
      <w:rPr>
        <w:rFonts w:ascii="Symbol" w:hAnsi="Symbol" w:hint="default"/>
        <w:sz w:val="12"/>
        <w:szCs w:val="12"/>
      </w:rPr>
    </w:lvl>
    <w:lvl w:ilvl="1" w:tplc="A4BE836A">
      <w:start w:val="1"/>
      <w:numFmt w:val="bullet"/>
      <w:lvlText w:val="o"/>
      <w:lvlJc w:val="left"/>
      <w:pPr>
        <w:ind w:left="1800" w:hanging="360"/>
      </w:pPr>
      <w:rPr>
        <w:rFonts w:ascii="Courier New" w:hAnsi="Courier New" w:cs="Courier New" w:hint="default"/>
      </w:rPr>
    </w:lvl>
    <w:lvl w:ilvl="2" w:tplc="DDB63728">
      <w:start w:val="1"/>
      <w:numFmt w:val="bullet"/>
      <w:lvlText w:val=""/>
      <w:lvlJc w:val="left"/>
      <w:pPr>
        <w:ind w:left="2520" w:hanging="360"/>
      </w:pPr>
      <w:rPr>
        <w:rFonts w:ascii="Wingdings" w:hAnsi="Wingdings" w:hint="default"/>
      </w:rPr>
    </w:lvl>
    <w:lvl w:ilvl="3" w:tplc="8BCA6D7A">
      <w:start w:val="1"/>
      <w:numFmt w:val="bullet"/>
      <w:lvlText w:val=""/>
      <w:lvlJc w:val="left"/>
      <w:pPr>
        <w:ind w:left="3240" w:hanging="360"/>
      </w:pPr>
      <w:rPr>
        <w:rFonts w:ascii="Symbol" w:hAnsi="Symbol" w:hint="default"/>
      </w:rPr>
    </w:lvl>
    <w:lvl w:ilvl="4" w:tplc="7258314C">
      <w:start w:val="1"/>
      <w:numFmt w:val="bullet"/>
      <w:lvlText w:val="o"/>
      <w:lvlJc w:val="left"/>
      <w:pPr>
        <w:ind w:left="3960" w:hanging="360"/>
      </w:pPr>
      <w:rPr>
        <w:rFonts w:ascii="Courier New" w:hAnsi="Courier New" w:cs="Courier New" w:hint="default"/>
      </w:rPr>
    </w:lvl>
    <w:lvl w:ilvl="5" w:tplc="B6A8DB7A">
      <w:start w:val="1"/>
      <w:numFmt w:val="bullet"/>
      <w:lvlText w:val=""/>
      <w:lvlJc w:val="left"/>
      <w:pPr>
        <w:ind w:left="4680" w:hanging="360"/>
      </w:pPr>
      <w:rPr>
        <w:rFonts w:ascii="Wingdings" w:hAnsi="Wingdings" w:hint="default"/>
      </w:rPr>
    </w:lvl>
    <w:lvl w:ilvl="6" w:tplc="57DE47DE">
      <w:start w:val="1"/>
      <w:numFmt w:val="bullet"/>
      <w:lvlText w:val=""/>
      <w:lvlJc w:val="left"/>
      <w:pPr>
        <w:ind w:left="5400" w:hanging="360"/>
      </w:pPr>
      <w:rPr>
        <w:rFonts w:ascii="Symbol" w:hAnsi="Symbol" w:hint="default"/>
      </w:rPr>
    </w:lvl>
    <w:lvl w:ilvl="7" w:tplc="7D78DBDA">
      <w:start w:val="1"/>
      <w:numFmt w:val="bullet"/>
      <w:lvlText w:val="o"/>
      <w:lvlJc w:val="left"/>
      <w:pPr>
        <w:ind w:left="6120" w:hanging="360"/>
      </w:pPr>
      <w:rPr>
        <w:rFonts w:ascii="Courier New" w:hAnsi="Courier New" w:cs="Courier New" w:hint="default"/>
      </w:rPr>
    </w:lvl>
    <w:lvl w:ilvl="8" w:tplc="F482BBF2">
      <w:start w:val="1"/>
      <w:numFmt w:val="bullet"/>
      <w:lvlText w:val=""/>
      <w:lvlJc w:val="left"/>
      <w:pPr>
        <w:ind w:left="6840" w:hanging="360"/>
      </w:pPr>
      <w:rPr>
        <w:rFonts w:ascii="Wingdings" w:hAnsi="Wingdings" w:hint="default"/>
      </w:rPr>
    </w:lvl>
  </w:abstractNum>
  <w:abstractNum w:abstractNumId="12" w15:restartNumberingAfterBreak="0">
    <w:nsid w:val="31EF5E55"/>
    <w:multiLevelType w:val="hybridMultilevel"/>
    <w:tmpl w:val="8B78E682"/>
    <w:lvl w:ilvl="0" w:tplc="91E6927C">
      <w:start w:val="1"/>
      <w:numFmt w:val="bullet"/>
      <w:lvlText w:val=""/>
      <w:lvlJc w:val="left"/>
      <w:pPr>
        <w:ind w:left="720" w:hanging="360"/>
      </w:pPr>
      <w:rPr>
        <w:rFonts w:ascii="Symbol" w:hAnsi="Symbol" w:hint="default"/>
        <w:sz w:val="12"/>
        <w:szCs w:val="12"/>
      </w:rPr>
    </w:lvl>
    <w:lvl w:ilvl="1" w:tplc="1DCECF18" w:tentative="1">
      <w:start w:val="1"/>
      <w:numFmt w:val="bullet"/>
      <w:lvlText w:val="o"/>
      <w:lvlJc w:val="left"/>
      <w:pPr>
        <w:ind w:left="1440" w:hanging="360"/>
      </w:pPr>
      <w:rPr>
        <w:rFonts w:ascii="Courier New" w:hAnsi="Courier New" w:cs="Courier New" w:hint="default"/>
      </w:rPr>
    </w:lvl>
    <w:lvl w:ilvl="2" w:tplc="74EE72B6" w:tentative="1">
      <w:start w:val="1"/>
      <w:numFmt w:val="bullet"/>
      <w:lvlText w:val=""/>
      <w:lvlJc w:val="left"/>
      <w:pPr>
        <w:ind w:left="2160" w:hanging="360"/>
      </w:pPr>
      <w:rPr>
        <w:rFonts w:ascii="Wingdings" w:hAnsi="Wingdings" w:hint="default"/>
      </w:rPr>
    </w:lvl>
    <w:lvl w:ilvl="3" w:tplc="25209A36" w:tentative="1">
      <w:start w:val="1"/>
      <w:numFmt w:val="bullet"/>
      <w:lvlText w:val=""/>
      <w:lvlJc w:val="left"/>
      <w:pPr>
        <w:ind w:left="2880" w:hanging="360"/>
      </w:pPr>
      <w:rPr>
        <w:rFonts w:ascii="Symbol" w:hAnsi="Symbol" w:hint="default"/>
      </w:rPr>
    </w:lvl>
    <w:lvl w:ilvl="4" w:tplc="A066F60A" w:tentative="1">
      <w:start w:val="1"/>
      <w:numFmt w:val="bullet"/>
      <w:lvlText w:val="o"/>
      <w:lvlJc w:val="left"/>
      <w:pPr>
        <w:ind w:left="3600" w:hanging="360"/>
      </w:pPr>
      <w:rPr>
        <w:rFonts w:ascii="Courier New" w:hAnsi="Courier New" w:cs="Courier New" w:hint="default"/>
      </w:rPr>
    </w:lvl>
    <w:lvl w:ilvl="5" w:tplc="8438D486" w:tentative="1">
      <w:start w:val="1"/>
      <w:numFmt w:val="bullet"/>
      <w:lvlText w:val=""/>
      <w:lvlJc w:val="left"/>
      <w:pPr>
        <w:ind w:left="4320" w:hanging="360"/>
      </w:pPr>
      <w:rPr>
        <w:rFonts w:ascii="Wingdings" w:hAnsi="Wingdings" w:hint="default"/>
      </w:rPr>
    </w:lvl>
    <w:lvl w:ilvl="6" w:tplc="944A66FE" w:tentative="1">
      <w:start w:val="1"/>
      <w:numFmt w:val="bullet"/>
      <w:lvlText w:val=""/>
      <w:lvlJc w:val="left"/>
      <w:pPr>
        <w:ind w:left="5040" w:hanging="360"/>
      </w:pPr>
      <w:rPr>
        <w:rFonts w:ascii="Symbol" w:hAnsi="Symbol" w:hint="default"/>
      </w:rPr>
    </w:lvl>
    <w:lvl w:ilvl="7" w:tplc="BDAE2CBC" w:tentative="1">
      <w:start w:val="1"/>
      <w:numFmt w:val="bullet"/>
      <w:lvlText w:val="o"/>
      <w:lvlJc w:val="left"/>
      <w:pPr>
        <w:ind w:left="5760" w:hanging="360"/>
      </w:pPr>
      <w:rPr>
        <w:rFonts w:ascii="Courier New" w:hAnsi="Courier New" w:cs="Courier New" w:hint="default"/>
      </w:rPr>
    </w:lvl>
    <w:lvl w:ilvl="8" w:tplc="7040C7A0" w:tentative="1">
      <w:start w:val="1"/>
      <w:numFmt w:val="bullet"/>
      <w:lvlText w:val=""/>
      <w:lvlJc w:val="left"/>
      <w:pPr>
        <w:ind w:left="6480" w:hanging="360"/>
      </w:pPr>
      <w:rPr>
        <w:rFonts w:ascii="Wingdings" w:hAnsi="Wingdings" w:hint="default"/>
      </w:rPr>
    </w:lvl>
  </w:abstractNum>
  <w:abstractNum w:abstractNumId="13" w15:restartNumberingAfterBreak="0">
    <w:nsid w:val="399A1096"/>
    <w:multiLevelType w:val="multilevel"/>
    <w:tmpl w:val="0060CEE8"/>
    <w:lvl w:ilvl="0">
      <w:start w:val="1"/>
      <w:numFmt w:val="bullet"/>
      <w:lvlText w:val=""/>
      <w:lvlJc w:val="left"/>
      <w:pPr>
        <w:tabs>
          <w:tab w:val="num" w:pos="720"/>
        </w:tabs>
        <w:ind w:left="720" w:hanging="360"/>
      </w:pPr>
      <w:rPr>
        <w:rFonts w:ascii="Symbol" w:hAnsi="Symbol" w:hint="default"/>
        <w:sz w:val="12"/>
        <w:szCs w:val="12"/>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59AA09"/>
    <w:multiLevelType w:val="multilevel"/>
    <w:tmpl w:val="D4F8A78E"/>
    <w:lvl w:ilvl="0">
      <w:start w:val="1"/>
      <w:numFmt w:val="bullet"/>
      <w:lvlText w:val=""/>
      <w:lvlJc w:val="left"/>
      <w:pPr>
        <w:tabs>
          <w:tab w:val="num" w:pos="720"/>
        </w:tabs>
        <w:ind w:left="720" w:hanging="360"/>
      </w:pPr>
      <w:rPr>
        <w:rFonts w:ascii="Symbol" w:hAnsi="Symbol" w:hint="default"/>
        <w:sz w:val="12"/>
        <w:szCs w:val="12"/>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4D1474C"/>
    <w:multiLevelType w:val="hybridMultilevel"/>
    <w:tmpl w:val="C90205B8"/>
    <w:lvl w:ilvl="0" w:tplc="32C8936A">
      <w:start w:val="1"/>
      <w:numFmt w:val="lowerRoman"/>
      <w:lvlText w:val="(%1)"/>
      <w:lvlJc w:val="left"/>
      <w:pPr>
        <w:ind w:left="720" w:hanging="360"/>
      </w:pPr>
    </w:lvl>
    <w:lvl w:ilvl="1" w:tplc="C846D4C4">
      <w:start w:val="1"/>
      <w:numFmt w:val="lowerLetter"/>
      <w:lvlText w:val="%2."/>
      <w:lvlJc w:val="left"/>
      <w:pPr>
        <w:ind w:left="1440" w:hanging="360"/>
      </w:pPr>
    </w:lvl>
    <w:lvl w:ilvl="2" w:tplc="DE96B16C">
      <w:start w:val="1"/>
      <w:numFmt w:val="lowerRoman"/>
      <w:lvlText w:val="%3."/>
      <w:lvlJc w:val="right"/>
      <w:pPr>
        <w:ind w:left="2160" w:hanging="180"/>
      </w:pPr>
    </w:lvl>
    <w:lvl w:ilvl="3" w:tplc="E780DF14">
      <w:start w:val="1"/>
      <w:numFmt w:val="decimal"/>
      <w:lvlText w:val="%4."/>
      <w:lvlJc w:val="left"/>
      <w:pPr>
        <w:ind w:left="2880" w:hanging="360"/>
      </w:pPr>
    </w:lvl>
    <w:lvl w:ilvl="4" w:tplc="8418F338">
      <w:start w:val="1"/>
      <w:numFmt w:val="lowerLetter"/>
      <w:lvlText w:val="%5."/>
      <w:lvlJc w:val="left"/>
      <w:pPr>
        <w:ind w:left="3600" w:hanging="360"/>
      </w:pPr>
    </w:lvl>
    <w:lvl w:ilvl="5" w:tplc="2A7647E8">
      <w:start w:val="1"/>
      <w:numFmt w:val="lowerRoman"/>
      <w:lvlText w:val="%6."/>
      <w:lvlJc w:val="right"/>
      <w:pPr>
        <w:ind w:left="4320" w:hanging="180"/>
      </w:pPr>
    </w:lvl>
    <w:lvl w:ilvl="6" w:tplc="DFDCB50A">
      <w:start w:val="1"/>
      <w:numFmt w:val="decimal"/>
      <w:lvlText w:val="%7."/>
      <w:lvlJc w:val="left"/>
      <w:pPr>
        <w:ind w:left="5040" w:hanging="360"/>
      </w:pPr>
    </w:lvl>
    <w:lvl w:ilvl="7" w:tplc="DFD22E76">
      <w:start w:val="1"/>
      <w:numFmt w:val="lowerLetter"/>
      <w:lvlText w:val="%8."/>
      <w:lvlJc w:val="left"/>
      <w:pPr>
        <w:ind w:left="5760" w:hanging="360"/>
      </w:pPr>
    </w:lvl>
    <w:lvl w:ilvl="8" w:tplc="A942DBB2">
      <w:start w:val="1"/>
      <w:numFmt w:val="lowerRoman"/>
      <w:lvlText w:val="%9."/>
      <w:lvlJc w:val="right"/>
      <w:pPr>
        <w:ind w:left="6480" w:hanging="180"/>
      </w:pPr>
    </w:lvl>
  </w:abstractNum>
  <w:abstractNum w:abstractNumId="16" w15:restartNumberingAfterBreak="0">
    <w:nsid w:val="50A50FDA"/>
    <w:multiLevelType w:val="hybridMultilevel"/>
    <w:tmpl w:val="85E4E7F8"/>
    <w:lvl w:ilvl="0" w:tplc="CFD4999E">
      <w:start w:val="1"/>
      <w:numFmt w:val="lowerLetter"/>
      <w:lvlText w:val="%1)"/>
      <w:lvlJc w:val="left"/>
      <w:pPr>
        <w:ind w:left="360" w:hanging="360"/>
      </w:pPr>
      <w:rPr>
        <w:rFonts w:hint="default"/>
      </w:rPr>
    </w:lvl>
    <w:lvl w:ilvl="1" w:tplc="AF8E57F0" w:tentative="1">
      <w:start w:val="1"/>
      <w:numFmt w:val="lowerLetter"/>
      <w:lvlText w:val="%2."/>
      <w:lvlJc w:val="left"/>
      <w:pPr>
        <w:ind w:left="1080" w:hanging="360"/>
      </w:pPr>
    </w:lvl>
    <w:lvl w:ilvl="2" w:tplc="055CDCEC" w:tentative="1">
      <w:start w:val="1"/>
      <w:numFmt w:val="lowerRoman"/>
      <w:lvlText w:val="%3."/>
      <w:lvlJc w:val="right"/>
      <w:pPr>
        <w:ind w:left="1800" w:hanging="180"/>
      </w:pPr>
    </w:lvl>
    <w:lvl w:ilvl="3" w:tplc="0E067FBC" w:tentative="1">
      <w:start w:val="1"/>
      <w:numFmt w:val="decimal"/>
      <w:lvlText w:val="%4."/>
      <w:lvlJc w:val="left"/>
      <w:pPr>
        <w:ind w:left="2520" w:hanging="360"/>
      </w:pPr>
    </w:lvl>
    <w:lvl w:ilvl="4" w:tplc="E30E1204" w:tentative="1">
      <w:start w:val="1"/>
      <w:numFmt w:val="lowerLetter"/>
      <w:lvlText w:val="%5."/>
      <w:lvlJc w:val="left"/>
      <w:pPr>
        <w:ind w:left="3240" w:hanging="360"/>
      </w:pPr>
    </w:lvl>
    <w:lvl w:ilvl="5" w:tplc="70947A40" w:tentative="1">
      <w:start w:val="1"/>
      <w:numFmt w:val="lowerRoman"/>
      <w:lvlText w:val="%6."/>
      <w:lvlJc w:val="right"/>
      <w:pPr>
        <w:ind w:left="3960" w:hanging="180"/>
      </w:pPr>
    </w:lvl>
    <w:lvl w:ilvl="6" w:tplc="7004A644" w:tentative="1">
      <w:start w:val="1"/>
      <w:numFmt w:val="decimal"/>
      <w:lvlText w:val="%7."/>
      <w:lvlJc w:val="left"/>
      <w:pPr>
        <w:ind w:left="4680" w:hanging="360"/>
      </w:pPr>
    </w:lvl>
    <w:lvl w:ilvl="7" w:tplc="F544D968" w:tentative="1">
      <w:start w:val="1"/>
      <w:numFmt w:val="lowerLetter"/>
      <w:lvlText w:val="%8."/>
      <w:lvlJc w:val="left"/>
      <w:pPr>
        <w:ind w:left="5400" w:hanging="360"/>
      </w:pPr>
    </w:lvl>
    <w:lvl w:ilvl="8" w:tplc="1D28E38C" w:tentative="1">
      <w:start w:val="1"/>
      <w:numFmt w:val="lowerRoman"/>
      <w:lvlText w:val="%9."/>
      <w:lvlJc w:val="right"/>
      <w:pPr>
        <w:ind w:left="6120" w:hanging="180"/>
      </w:pPr>
    </w:lvl>
  </w:abstractNum>
  <w:abstractNum w:abstractNumId="17" w15:restartNumberingAfterBreak="0">
    <w:nsid w:val="52153D92"/>
    <w:multiLevelType w:val="hybridMultilevel"/>
    <w:tmpl w:val="A11AD64A"/>
    <w:lvl w:ilvl="0" w:tplc="758275FE">
      <w:start w:val="1"/>
      <w:numFmt w:val="bullet"/>
      <w:lvlText w:val=""/>
      <w:lvlJc w:val="left"/>
      <w:pPr>
        <w:tabs>
          <w:tab w:val="num" w:pos="720"/>
        </w:tabs>
        <w:ind w:left="720" w:hanging="360"/>
      </w:pPr>
      <w:rPr>
        <w:rFonts w:ascii="Symbol" w:hAnsi="Symbol" w:hint="default"/>
        <w:sz w:val="12"/>
        <w:szCs w:val="12"/>
      </w:rPr>
    </w:lvl>
    <w:lvl w:ilvl="1" w:tplc="028C0C6E">
      <w:start w:val="1"/>
      <w:numFmt w:val="decimal"/>
      <w:lvlText w:val="%2."/>
      <w:lvlJc w:val="left"/>
      <w:pPr>
        <w:tabs>
          <w:tab w:val="num" w:pos="1440"/>
        </w:tabs>
        <w:ind w:left="1440" w:hanging="360"/>
      </w:pPr>
    </w:lvl>
    <w:lvl w:ilvl="2" w:tplc="4B28B2E2">
      <w:start w:val="1"/>
      <w:numFmt w:val="decimal"/>
      <w:lvlText w:val="%3."/>
      <w:lvlJc w:val="left"/>
      <w:pPr>
        <w:tabs>
          <w:tab w:val="num" w:pos="2160"/>
        </w:tabs>
        <w:ind w:left="2160" w:hanging="360"/>
      </w:pPr>
    </w:lvl>
    <w:lvl w:ilvl="3" w:tplc="23F82E14">
      <w:start w:val="1"/>
      <w:numFmt w:val="decimal"/>
      <w:lvlText w:val="%4."/>
      <w:lvlJc w:val="left"/>
      <w:pPr>
        <w:tabs>
          <w:tab w:val="num" w:pos="2880"/>
        </w:tabs>
        <w:ind w:left="2880" w:hanging="360"/>
      </w:pPr>
    </w:lvl>
    <w:lvl w:ilvl="4" w:tplc="FC469912">
      <w:start w:val="1"/>
      <w:numFmt w:val="decimal"/>
      <w:lvlText w:val="%5."/>
      <w:lvlJc w:val="left"/>
      <w:pPr>
        <w:tabs>
          <w:tab w:val="num" w:pos="3600"/>
        </w:tabs>
        <w:ind w:left="3600" w:hanging="360"/>
      </w:pPr>
    </w:lvl>
    <w:lvl w:ilvl="5" w:tplc="CDC80BBE">
      <w:start w:val="1"/>
      <w:numFmt w:val="decimal"/>
      <w:lvlText w:val="%6."/>
      <w:lvlJc w:val="left"/>
      <w:pPr>
        <w:tabs>
          <w:tab w:val="num" w:pos="4320"/>
        </w:tabs>
        <w:ind w:left="4320" w:hanging="360"/>
      </w:pPr>
    </w:lvl>
    <w:lvl w:ilvl="6" w:tplc="B6148E80">
      <w:start w:val="1"/>
      <w:numFmt w:val="decimal"/>
      <w:lvlText w:val="%7."/>
      <w:lvlJc w:val="left"/>
      <w:pPr>
        <w:tabs>
          <w:tab w:val="num" w:pos="5040"/>
        </w:tabs>
        <w:ind w:left="5040" w:hanging="360"/>
      </w:pPr>
    </w:lvl>
    <w:lvl w:ilvl="7" w:tplc="44F627DC">
      <w:start w:val="1"/>
      <w:numFmt w:val="decimal"/>
      <w:lvlText w:val="%8."/>
      <w:lvlJc w:val="left"/>
      <w:pPr>
        <w:tabs>
          <w:tab w:val="num" w:pos="5760"/>
        </w:tabs>
        <w:ind w:left="5760" w:hanging="360"/>
      </w:pPr>
    </w:lvl>
    <w:lvl w:ilvl="8" w:tplc="9FAE4B14">
      <w:start w:val="1"/>
      <w:numFmt w:val="decimal"/>
      <w:lvlText w:val="%9."/>
      <w:lvlJc w:val="left"/>
      <w:pPr>
        <w:tabs>
          <w:tab w:val="num" w:pos="6480"/>
        </w:tabs>
        <w:ind w:left="6480" w:hanging="360"/>
      </w:pPr>
    </w:lvl>
  </w:abstractNum>
  <w:abstractNum w:abstractNumId="18" w15:restartNumberingAfterBreak="0">
    <w:nsid w:val="52B536E7"/>
    <w:multiLevelType w:val="hybridMultilevel"/>
    <w:tmpl w:val="721AE928"/>
    <w:lvl w:ilvl="0" w:tplc="5A6E9FE2">
      <w:start w:val="1"/>
      <w:numFmt w:val="bullet"/>
      <w:lvlText w:val=""/>
      <w:lvlJc w:val="left"/>
      <w:pPr>
        <w:ind w:left="720" w:hanging="360"/>
      </w:pPr>
      <w:rPr>
        <w:rFonts w:ascii="Symbol" w:hAnsi="Symbol" w:hint="default"/>
        <w:sz w:val="16"/>
      </w:rPr>
    </w:lvl>
    <w:lvl w:ilvl="1" w:tplc="4768F81E" w:tentative="1">
      <w:start w:val="1"/>
      <w:numFmt w:val="bullet"/>
      <w:lvlText w:val="o"/>
      <w:lvlJc w:val="left"/>
      <w:pPr>
        <w:ind w:left="1440" w:hanging="360"/>
      </w:pPr>
      <w:rPr>
        <w:rFonts w:ascii="Courier New" w:hAnsi="Courier New" w:cs="Courier New" w:hint="default"/>
      </w:rPr>
    </w:lvl>
    <w:lvl w:ilvl="2" w:tplc="611E1214" w:tentative="1">
      <w:start w:val="1"/>
      <w:numFmt w:val="bullet"/>
      <w:lvlText w:val=""/>
      <w:lvlJc w:val="left"/>
      <w:pPr>
        <w:ind w:left="2160" w:hanging="360"/>
      </w:pPr>
      <w:rPr>
        <w:rFonts w:ascii="Wingdings" w:hAnsi="Wingdings" w:hint="default"/>
      </w:rPr>
    </w:lvl>
    <w:lvl w:ilvl="3" w:tplc="F89C3FA2" w:tentative="1">
      <w:start w:val="1"/>
      <w:numFmt w:val="bullet"/>
      <w:lvlText w:val=""/>
      <w:lvlJc w:val="left"/>
      <w:pPr>
        <w:ind w:left="2880" w:hanging="360"/>
      </w:pPr>
      <w:rPr>
        <w:rFonts w:ascii="Symbol" w:hAnsi="Symbol" w:hint="default"/>
      </w:rPr>
    </w:lvl>
    <w:lvl w:ilvl="4" w:tplc="B53684DC" w:tentative="1">
      <w:start w:val="1"/>
      <w:numFmt w:val="bullet"/>
      <w:lvlText w:val="o"/>
      <w:lvlJc w:val="left"/>
      <w:pPr>
        <w:ind w:left="3600" w:hanging="360"/>
      </w:pPr>
      <w:rPr>
        <w:rFonts w:ascii="Courier New" w:hAnsi="Courier New" w:cs="Courier New" w:hint="default"/>
      </w:rPr>
    </w:lvl>
    <w:lvl w:ilvl="5" w:tplc="68783EE4" w:tentative="1">
      <w:start w:val="1"/>
      <w:numFmt w:val="bullet"/>
      <w:lvlText w:val=""/>
      <w:lvlJc w:val="left"/>
      <w:pPr>
        <w:ind w:left="4320" w:hanging="360"/>
      </w:pPr>
      <w:rPr>
        <w:rFonts w:ascii="Wingdings" w:hAnsi="Wingdings" w:hint="default"/>
      </w:rPr>
    </w:lvl>
    <w:lvl w:ilvl="6" w:tplc="FA9A74A2" w:tentative="1">
      <w:start w:val="1"/>
      <w:numFmt w:val="bullet"/>
      <w:lvlText w:val=""/>
      <w:lvlJc w:val="left"/>
      <w:pPr>
        <w:ind w:left="5040" w:hanging="360"/>
      </w:pPr>
      <w:rPr>
        <w:rFonts w:ascii="Symbol" w:hAnsi="Symbol" w:hint="default"/>
      </w:rPr>
    </w:lvl>
    <w:lvl w:ilvl="7" w:tplc="DF623726" w:tentative="1">
      <w:start w:val="1"/>
      <w:numFmt w:val="bullet"/>
      <w:lvlText w:val="o"/>
      <w:lvlJc w:val="left"/>
      <w:pPr>
        <w:ind w:left="5760" w:hanging="360"/>
      </w:pPr>
      <w:rPr>
        <w:rFonts w:ascii="Courier New" w:hAnsi="Courier New" w:cs="Courier New" w:hint="default"/>
      </w:rPr>
    </w:lvl>
    <w:lvl w:ilvl="8" w:tplc="031822D6" w:tentative="1">
      <w:start w:val="1"/>
      <w:numFmt w:val="bullet"/>
      <w:lvlText w:val=""/>
      <w:lvlJc w:val="left"/>
      <w:pPr>
        <w:ind w:left="6480" w:hanging="360"/>
      </w:pPr>
      <w:rPr>
        <w:rFonts w:ascii="Wingdings" w:hAnsi="Wingdings" w:hint="default"/>
      </w:rPr>
    </w:lvl>
  </w:abstractNum>
  <w:abstractNum w:abstractNumId="19" w15:restartNumberingAfterBreak="0">
    <w:nsid w:val="567D3DCB"/>
    <w:multiLevelType w:val="hybridMultilevel"/>
    <w:tmpl w:val="CB2A8834"/>
    <w:lvl w:ilvl="0" w:tplc="AAAAAE44">
      <w:start w:val="1"/>
      <w:numFmt w:val="bullet"/>
      <w:lvlText w:val=""/>
      <w:lvlJc w:val="left"/>
      <w:pPr>
        <w:ind w:left="720" w:hanging="360"/>
      </w:pPr>
      <w:rPr>
        <w:rFonts w:ascii="Symbol" w:hAnsi="Symbol" w:hint="default"/>
      </w:rPr>
    </w:lvl>
    <w:lvl w:ilvl="1" w:tplc="065E9482" w:tentative="1">
      <w:start w:val="1"/>
      <w:numFmt w:val="bullet"/>
      <w:lvlText w:val="o"/>
      <w:lvlJc w:val="left"/>
      <w:pPr>
        <w:ind w:left="1440" w:hanging="360"/>
      </w:pPr>
      <w:rPr>
        <w:rFonts w:ascii="Courier New" w:hAnsi="Courier New" w:cs="Courier New" w:hint="default"/>
      </w:rPr>
    </w:lvl>
    <w:lvl w:ilvl="2" w:tplc="E846581C" w:tentative="1">
      <w:start w:val="1"/>
      <w:numFmt w:val="bullet"/>
      <w:lvlText w:val=""/>
      <w:lvlJc w:val="left"/>
      <w:pPr>
        <w:ind w:left="2160" w:hanging="360"/>
      </w:pPr>
      <w:rPr>
        <w:rFonts w:ascii="Wingdings" w:hAnsi="Wingdings" w:hint="default"/>
      </w:rPr>
    </w:lvl>
    <w:lvl w:ilvl="3" w:tplc="A74E0BE0" w:tentative="1">
      <w:start w:val="1"/>
      <w:numFmt w:val="bullet"/>
      <w:lvlText w:val=""/>
      <w:lvlJc w:val="left"/>
      <w:pPr>
        <w:ind w:left="2880" w:hanging="360"/>
      </w:pPr>
      <w:rPr>
        <w:rFonts w:ascii="Symbol" w:hAnsi="Symbol" w:hint="default"/>
      </w:rPr>
    </w:lvl>
    <w:lvl w:ilvl="4" w:tplc="F532461E" w:tentative="1">
      <w:start w:val="1"/>
      <w:numFmt w:val="bullet"/>
      <w:lvlText w:val="o"/>
      <w:lvlJc w:val="left"/>
      <w:pPr>
        <w:ind w:left="3600" w:hanging="360"/>
      </w:pPr>
      <w:rPr>
        <w:rFonts w:ascii="Courier New" w:hAnsi="Courier New" w:cs="Courier New" w:hint="default"/>
      </w:rPr>
    </w:lvl>
    <w:lvl w:ilvl="5" w:tplc="7B666D12" w:tentative="1">
      <w:start w:val="1"/>
      <w:numFmt w:val="bullet"/>
      <w:lvlText w:val=""/>
      <w:lvlJc w:val="left"/>
      <w:pPr>
        <w:ind w:left="4320" w:hanging="360"/>
      </w:pPr>
      <w:rPr>
        <w:rFonts w:ascii="Wingdings" w:hAnsi="Wingdings" w:hint="default"/>
      </w:rPr>
    </w:lvl>
    <w:lvl w:ilvl="6" w:tplc="ACA4855E" w:tentative="1">
      <w:start w:val="1"/>
      <w:numFmt w:val="bullet"/>
      <w:lvlText w:val=""/>
      <w:lvlJc w:val="left"/>
      <w:pPr>
        <w:ind w:left="5040" w:hanging="360"/>
      </w:pPr>
      <w:rPr>
        <w:rFonts w:ascii="Symbol" w:hAnsi="Symbol" w:hint="default"/>
      </w:rPr>
    </w:lvl>
    <w:lvl w:ilvl="7" w:tplc="EDF0D4E2" w:tentative="1">
      <w:start w:val="1"/>
      <w:numFmt w:val="bullet"/>
      <w:lvlText w:val="o"/>
      <w:lvlJc w:val="left"/>
      <w:pPr>
        <w:ind w:left="5760" w:hanging="360"/>
      </w:pPr>
      <w:rPr>
        <w:rFonts w:ascii="Courier New" w:hAnsi="Courier New" w:cs="Courier New" w:hint="default"/>
      </w:rPr>
    </w:lvl>
    <w:lvl w:ilvl="8" w:tplc="A43E4BFC" w:tentative="1">
      <w:start w:val="1"/>
      <w:numFmt w:val="bullet"/>
      <w:lvlText w:val=""/>
      <w:lvlJc w:val="left"/>
      <w:pPr>
        <w:ind w:left="6480" w:hanging="360"/>
      </w:pPr>
      <w:rPr>
        <w:rFonts w:ascii="Wingdings" w:hAnsi="Wingdings" w:hint="default"/>
      </w:rPr>
    </w:lvl>
  </w:abstractNum>
  <w:abstractNum w:abstractNumId="20" w15:restartNumberingAfterBreak="0">
    <w:nsid w:val="58697BD9"/>
    <w:multiLevelType w:val="hybridMultilevel"/>
    <w:tmpl w:val="089ED3AE"/>
    <w:lvl w:ilvl="0" w:tplc="34561968">
      <w:start w:val="1"/>
      <w:numFmt w:val="bullet"/>
      <w:lvlText w:val=""/>
      <w:lvlJc w:val="left"/>
      <w:pPr>
        <w:ind w:left="720" w:hanging="360"/>
      </w:pPr>
      <w:rPr>
        <w:rFonts w:ascii="Symbol" w:hAnsi="Symbol" w:hint="default"/>
      </w:rPr>
    </w:lvl>
    <w:lvl w:ilvl="1" w:tplc="05DE8F4E" w:tentative="1">
      <w:start w:val="1"/>
      <w:numFmt w:val="bullet"/>
      <w:lvlText w:val="o"/>
      <w:lvlJc w:val="left"/>
      <w:pPr>
        <w:ind w:left="1440" w:hanging="360"/>
      </w:pPr>
      <w:rPr>
        <w:rFonts w:ascii="Courier New" w:hAnsi="Courier New" w:cs="Courier New" w:hint="default"/>
      </w:rPr>
    </w:lvl>
    <w:lvl w:ilvl="2" w:tplc="37E6C9BE" w:tentative="1">
      <w:start w:val="1"/>
      <w:numFmt w:val="bullet"/>
      <w:lvlText w:val=""/>
      <w:lvlJc w:val="left"/>
      <w:pPr>
        <w:ind w:left="2160" w:hanging="360"/>
      </w:pPr>
      <w:rPr>
        <w:rFonts w:ascii="Wingdings" w:hAnsi="Wingdings" w:hint="default"/>
      </w:rPr>
    </w:lvl>
    <w:lvl w:ilvl="3" w:tplc="3676D6A2" w:tentative="1">
      <w:start w:val="1"/>
      <w:numFmt w:val="bullet"/>
      <w:lvlText w:val=""/>
      <w:lvlJc w:val="left"/>
      <w:pPr>
        <w:ind w:left="2880" w:hanging="360"/>
      </w:pPr>
      <w:rPr>
        <w:rFonts w:ascii="Symbol" w:hAnsi="Symbol" w:hint="default"/>
      </w:rPr>
    </w:lvl>
    <w:lvl w:ilvl="4" w:tplc="B3D8E52C" w:tentative="1">
      <w:start w:val="1"/>
      <w:numFmt w:val="bullet"/>
      <w:lvlText w:val="o"/>
      <w:lvlJc w:val="left"/>
      <w:pPr>
        <w:ind w:left="3600" w:hanging="360"/>
      </w:pPr>
      <w:rPr>
        <w:rFonts w:ascii="Courier New" w:hAnsi="Courier New" w:cs="Courier New" w:hint="default"/>
      </w:rPr>
    </w:lvl>
    <w:lvl w:ilvl="5" w:tplc="615220B4" w:tentative="1">
      <w:start w:val="1"/>
      <w:numFmt w:val="bullet"/>
      <w:lvlText w:val=""/>
      <w:lvlJc w:val="left"/>
      <w:pPr>
        <w:ind w:left="4320" w:hanging="360"/>
      </w:pPr>
      <w:rPr>
        <w:rFonts w:ascii="Wingdings" w:hAnsi="Wingdings" w:hint="default"/>
      </w:rPr>
    </w:lvl>
    <w:lvl w:ilvl="6" w:tplc="0F023868" w:tentative="1">
      <w:start w:val="1"/>
      <w:numFmt w:val="bullet"/>
      <w:lvlText w:val=""/>
      <w:lvlJc w:val="left"/>
      <w:pPr>
        <w:ind w:left="5040" w:hanging="360"/>
      </w:pPr>
      <w:rPr>
        <w:rFonts w:ascii="Symbol" w:hAnsi="Symbol" w:hint="default"/>
      </w:rPr>
    </w:lvl>
    <w:lvl w:ilvl="7" w:tplc="426EE51A" w:tentative="1">
      <w:start w:val="1"/>
      <w:numFmt w:val="bullet"/>
      <w:lvlText w:val="o"/>
      <w:lvlJc w:val="left"/>
      <w:pPr>
        <w:ind w:left="5760" w:hanging="360"/>
      </w:pPr>
      <w:rPr>
        <w:rFonts w:ascii="Courier New" w:hAnsi="Courier New" w:cs="Courier New" w:hint="default"/>
      </w:rPr>
    </w:lvl>
    <w:lvl w:ilvl="8" w:tplc="9E187128" w:tentative="1">
      <w:start w:val="1"/>
      <w:numFmt w:val="bullet"/>
      <w:lvlText w:val=""/>
      <w:lvlJc w:val="left"/>
      <w:pPr>
        <w:ind w:left="6480" w:hanging="360"/>
      </w:pPr>
      <w:rPr>
        <w:rFonts w:ascii="Wingdings" w:hAnsi="Wingdings" w:hint="default"/>
      </w:rPr>
    </w:lvl>
  </w:abstractNum>
  <w:abstractNum w:abstractNumId="21" w15:restartNumberingAfterBreak="0">
    <w:nsid w:val="5AC87680"/>
    <w:multiLevelType w:val="hybridMultilevel"/>
    <w:tmpl w:val="7050190E"/>
    <w:lvl w:ilvl="0" w:tplc="C4047C98">
      <w:start w:val="1"/>
      <w:numFmt w:val="bullet"/>
      <w:lvlText w:val=""/>
      <w:lvlJc w:val="left"/>
      <w:pPr>
        <w:ind w:left="720" w:hanging="360"/>
      </w:pPr>
      <w:rPr>
        <w:rFonts w:ascii="Symbol" w:hAnsi="Symbol" w:hint="default"/>
        <w:sz w:val="12"/>
        <w:szCs w:val="12"/>
      </w:rPr>
    </w:lvl>
    <w:lvl w:ilvl="1" w:tplc="792E6FC8" w:tentative="1">
      <w:start w:val="1"/>
      <w:numFmt w:val="bullet"/>
      <w:lvlText w:val="o"/>
      <w:lvlJc w:val="left"/>
      <w:pPr>
        <w:ind w:left="1440" w:hanging="360"/>
      </w:pPr>
      <w:rPr>
        <w:rFonts w:ascii="Courier New" w:hAnsi="Courier New" w:cs="Courier New" w:hint="default"/>
      </w:rPr>
    </w:lvl>
    <w:lvl w:ilvl="2" w:tplc="E3CC8E4C" w:tentative="1">
      <w:start w:val="1"/>
      <w:numFmt w:val="bullet"/>
      <w:lvlText w:val=""/>
      <w:lvlJc w:val="left"/>
      <w:pPr>
        <w:ind w:left="2160" w:hanging="360"/>
      </w:pPr>
      <w:rPr>
        <w:rFonts w:ascii="Wingdings" w:hAnsi="Wingdings" w:hint="default"/>
      </w:rPr>
    </w:lvl>
    <w:lvl w:ilvl="3" w:tplc="64EACE2C" w:tentative="1">
      <w:start w:val="1"/>
      <w:numFmt w:val="bullet"/>
      <w:lvlText w:val=""/>
      <w:lvlJc w:val="left"/>
      <w:pPr>
        <w:ind w:left="2880" w:hanging="360"/>
      </w:pPr>
      <w:rPr>
        <w:rFonts w:ascii="Symbol" w:hAnsi="Symbol" w:hint="default"/>
      </w:rPr>
    </w:lvl>
    <w:lvl w:ilvl="4" w:tplc="1240898A" w:tentative="1">
      <w:start w:val="1"/>
      <w:numFmt w:val="bullet"/>
      <w:lvlText w:val="o"/>
      <w:lvlJc w:val="left"/>
      <w:pPr>
        <w:ind w:left="3600" w:hanging="360"/>
      </w:pPr>
      <w:rPr>
        <w:rFonts w:ascii="Courier New" w:hAnsi="Courier New" w:cs="Courier New" w:hint="default"/>
      </w:rPr>
    </w:lvl>
    <w:lvl w:ilvl="5" w:tplc="F3F0E862" w:tentative="1">
      <w:start w:val="1"/>
      <w:numFmt w:val="bullet"/>
      <w:lvlText w:val=""/>
      <w:lvlJc w:val="left"/>
      <w:pPr>
        <w:ind w:left="4320" w:hanging="360"/>
      </w:pPr>
      <w:rPr>
        <w:rFonts w:ascii="Wingdings" w:hAnsi="Wingdings" w:hint="default"/>
      </w:rPr>
    </w:lvl>
    <w:lvl w:ilvl="6" w:tplc="A3625A22" w:tentative="1">
      <w:start w:val="1"/>
      <w:numFmt w:val="bullet"/>
      <w:lvlText w:val=""/>
      <w:lvlJc w:val="left"/>
      <w:pPr>
        <w:ind w:left="5040" w:hanging="360"/>
      </w:pPr>
      <w:rPr>
        <w:rFonts w:ascii="Symbol" w:hAnsi="Symbol" w:hint="default"/>
      </w:rPr>
    </w:lvl>
    <w:lvl w:ilvl="7" w:tplc="2BB4FF7C" w:tentative="1">
      <w:start w:val="1"/>
      <w:numFmt w:val="bullet"/>
      <w:lvlText w:val="o"/>
      <w:lvlJc w:val="left"/>
      <w:pPr>
        <w:ind w:left="5760" w:hanging="360"/>
      </w:pPr>
      <w:rPr>
        <w:rFonts w:ascii="Courier New" w:hAnsi="Courier New" w:cs="Courier New" w:hint="default"/>
      </w:rPr>
    </w:lvl>
    <w:lvl w:ilvl="8" w:tplc="E32E05EC" w:tentative="1">
      <w:start w:val="1"/>
      <w:numFmt w:val="bullet"/>
      <w:lvlText w:val=""/>
      <w:lvlJc w:val="left"/>
      <w:pPr>
        <w:ind w:left="6480" w:hanging="360"/>
      </w:pPr>
      <w:rPr>
        <w:rFonts w:ascii="Wingdings" w:hAnsi="Wingdings" w:hint="default"/>
      </w:rPr>
    </w:lvl>
  </w:abstractNum>
  <w:abstractNum w:abstractNumId="22" w15:restartNumberingAfterBreak="0">
    <w:nsid w:val="5CAA3564"/>
    <w:multiLevelType w:val="hybridMultilevel"/>
    <w:tmpl w:val="4FCEF80C"/>
    <w:lvl w:ilvl="0" w:tplc="89D2AD50">
      <w:start w:val="1"/>
      <w:numFmt w:val="bullet"/>
      <w:lvlText w:val=""/>
      <w:lvlJc w:val="left"/>
      <w:pPr>
        <w:ind w:left="1077" w:hanging="360"/>
      </w:pPr>
      <w:rPr>
        <w:rFonts w:ascii="Symbol" w:hAnsi="Symbol" w:hint="default"/>
        <w:sz w:val="12"/>
        <w:szCs w:val="12"/>
      </w:rPr>
    </w:lvl>
    <w:lvl w:ilvl="1" w:tplc="69705C32">
      <w:start w:val="1"/>
      <w:numFmt w:val="bullet"/>
      <w:lvlText w:val="o"/>
      <w:lvlJc w:val="left"/>
      <w:pPr>
        <w:ind w:left="1797" w:hanging="360"/>
      </w:pPr>
      <w:rPr>
        <w:rFonts w:ascii="Courier New" w:hAnsi="Courier New" w:cs="Courier New" w:hint="default"/>
      </w:rPr>
    </w:lvl>
    <w:lvl w:ilvl="2" w:tplc="71A6511E">
      <w:start w:val="1"/>
      <w:numFmt w:val="bullet"/>
      <w:lvlText w:val=""/>
      <w:lvlJc w:val="left"/>
      <w:pPr>
        <w:ind w:left="2517" w:hanging="360"/>
      </w:pPr>
      <w:rPr>
        <w:rFonts w:ascii="Wingdings" w:hAnsi="Wingdings" w:hint="default"/>
      </w:rPr>
    </w:lvl>
    <w:lvl w:ilvl="3" w:tplc="6FF6CAFE">
      <w:start w:val="1"/>
      <w:numFmt w:val="bullet"/>
      <w:lvlText w:val=""/>
      <w:lvlJc w:val="left"/>
      <w:pPr>
        <w:ind w:left="3237" w:hanging="360"/>
      </w:pPr>
      <w:rPr>
        <w:rFonts w:ascii="Symbol" w:hAnsi="Symbol" w:hint="default"/>
      </w:rPr>
    </w:lvl>
    <w:lvl w:ilvl="4" w:tplc="1CECEE92">
      <w:start w:val="1"/>
      <w:numFmt w:val="bullet"/>
      <w:lvlText w:val="o"/>
      <w:lvlJc w:val="left"/>
      <w:pPr>
        <w:ind w:left="3957" w:hanging="360"/>
      </w:pPr>
      <w:rPr>
        <w:rFonts w:ascii="Courier New" w:hAnsi="Courier New" w:cs="Courier New" w:hint="default"/>
      </w:rPr>
    </w:lvl>
    <w:lvl w:ilvl="5" w:tplc="165633EC">
      <w:start w:val="1"/>
      <w:numFmt w:val="bullet"/>
      <w:lvlText w:val=""/>
      <w:lvlJc w:val="left"/>
      <w:pPr>
        <w:ind w:left="4677" w:hanging="360"/>
      </w:pPr>
      <w:rPr>
        <w:rFonts w:ascii="Wingdings" w:hAnsi="Wingdings" w:hint="default"/>
      </w:rPr>
    </w:lvl>
    <w:lvl w:ilvl="6" w:tplc="7262726C">
      <w:start w:val="1"/>
      <w:numFmt w:val="bullet"/>
      <w:lvlText w:val=""/>
      <w:lvlJc w:val="left"/>
      <w:pPr>
        <w:ind w:left="5397" w:hanging="360"/>
      </w:pPr>
      <w:rPr>
        <w:rFonts w:ascii="Symbol" w:hAnsi="Symbol" w:hint="default"/>
      </w:rPr>
    </w:lvl>
    <w:lvl w:ilvl="7" w:tplc="F21A8C60">
      <w:start w:val="1"/>
      <w:numFmt w:val="bullet"/>
      <w:lvlText w:val="o"/>
      <w:lvlJc w:val="left"/>
      <w:pPr>
        <w:ind w:left="6117" w:hanging="360"/>
      </w:pPr>
      <w:rPr>
        <w:rFonts w:ascii="Courier New" w:hAnsi="Courier New" w:cs="Courier New" w:hint="default"/>
      </w:rPr>
    </w:lvl>
    <w:lvl w:ilvl="8" w:tplc="B07ABEC6">
      <w:start w:val="1"/>
      <w:numFmt w:val="bullet"/>
      <w:lvlText w:val=""/>
      <w:lvlJc w:val="left"/>
      <w:pPr>
        <w:ind w:left="6837" w:hanging="360"/>
      </w:pPr>
      <w:rPr>
        <w:rFonts w:ascii="Wingdings" w:hAnsi="Wingdings" w:hint="default"/>
      </w:rPr>
    </w:lvl>
  </w:abstractNum>
  <w:abstractNum w:abstractNumId="23" w15:restartNumberingAfterBreak="0">
    <w:nsid w:val="62744C45"/>
    <w:multiLevelType w:val="hybridMultilevel"/>
    <w:tmpl w:val="1A7C7568"/>
    <w:lvl w:ilvl="0" w:tplc="DCF40530">
      <w:start w:val="1"/>
      <w:numFmt w:val="lowerLetter"/>
      <w:lvlText w:val="%1)"/>
      <w:lvlJc w:val="left"/>
      <w:pPr>
        <w:ind w:left="502" w:hanging="360"/>
      </w:pPr>
      <w:rPr>
        <w:rFonts w:hint="default"/>
        <w:b/>
        <w:i/>
      </w:rPr>
    </w:lvl>
    <w:lvl w:ilvl="1" w:tplc="5406E876" w:tentative="1">
      <w:start w:val="1"/>
      <w:numFmt w:val="lowerLetter"/>
      <w:lvlText w:val="%2."/>
      <w:lvlJc w:val="left"/>
      <w:pPr>
        <w:ind w:left="1440" w:hanging="360"/>
      </w:pPr>
    </w:lvl>
    <w:lvl w:ilvl="2" w:tplc="9B405F90" w:tentative="1">
      <w:start w:val="1"/>
      <w:numFmt w:val="lowerRoman"/>
      <w:lvlText w:val="%3."/>
      <w:lvlJc w:val="right"/>
      <w:pPr>
        <w:ind w:left="2160" w:hanging="180"/>
      </w:pPr>
    </w:lvl>
    <w:lvl w:ilvl="3" w:tplc="8CC62D40" w:tentative="1">
      <w:start w:val="1"/>
      <w:numFmt w:val="decimal"/>
      <w:lvlText w:val="%4."/>
      <w:lvlJc w:val="left"/>
      <w:pPr>
        <w:ind w:left="2880" w:hanging="360"/>
      </w:pPr>
    </w:lvl>
    <w:lvl w:ilvl="4" w:tplc="6C764894" w:tentative="1">
      <w:start w:val="1"/>
      <w:numFmt w:val="lowerLetter"/>
      <w:lvlText w:val="%5."/>
      <w:lvlJc w:val="left"/>
      <w:pPr>
        <w:ind w:left="3600" w:hanging="360"/>
      </w:pPr>
    </w:lvl>
    <w:lvl w:ilvl="5" w:tplc="D9B6C94E" w:tentative="1">
      <w:start w:val="1"/>
      <w:numFmt w:val="lowerRoman"/>
      <w:lvlText w:val="%6."/>
      <w:lvlJc w:val="right"/>
      <w:pPr>
        <w:ind w:left="4320" w:hanging="180"/>
      </w:pPr>
    </w:lvl>
    <w:lvl w:ilvl="6" w:tplc="48F660B2" w:tentative="1">
      <w:start w:val="1"/>
      <w:numFmt w:val="decimal"/>
      <w:lvlText w:val="%7."/>
      <w:lvlJc w:val="left"/>
      <w:pPr>
        <w:ind w:left="5040" w:hanging="360"/>
      </w:pPr>
    </w:lvl>
    <w:lvl w:ilvl="7" w:tplc="F3826D36" w:tentative="1">
      <w:start w:val="1"/>
      <w:numFmt w:val="lowerLetter"/>
      <w:lvlText w:val="%8."/>
      <w:lvlJc w:val="left"/>
      <w:pPr>
        <w:ind w:left="5760" w:hanging="360"/>
      </w:pPr>
    </w:lvl>
    <w:lvl w:ilvl="8" w:tplc="3356BEF2" w:tentative="1">
      <w:start w:val="1"/>
      <w:numFmt w:val="lowerRoman"/>
      <w:lvlText w:val="%9."/>
      <w:lvlJc w:val="right"/>
      <w:pPr>
        <w:ind w:left="6480" w:hanging="180"/>
      </w:pPr>
    </w:lvl>
  </w:abstractNum>
  <w:abstractNum w:abstractNumId="24" w15:restartNumberingAfterBreak="0">
    <w:nsid w:val="6C6A7F4E"/>
    <w:multiLevelType w:val="hybridMultilevel"/>
    <w:tmpl w:val="085C0870"/>
    <w:lvl w:ilvl="0" w:tplc="F65E0B2C">
      <w:start w:val="1"/>
      <w:numFmt w:val="bullet"/>
      <w:lvlText w:val=""/>
      <w:lvlJc w:val="left"/>
      <w:pPr>
        <w:ind w:left="1080" w:hanging="360"/>
      </w:pPr>
      <w:rPr>
        <w:rFonts w:ascii="Symbol" w:hAnsi="Symbol" w:hint="default"/>
        <w:sz w:val="12"/>
        <w:szCs w:val="12"/>
      </w:rPr>
    </w:lvl>
    <w:lvl w:ilvl="1" w:tplc="E39EBCEC">
      <w:start w:val="1"/>
      <w:numFmt w:val="bullet"/>
      <w:lvlText w:val="o"/>
      <w:lvlJc w:val="left"/>
      <w:pPr>
        <w:ind w:left="1800" w:hanging="360"/>
      </w:pPr>
      <w:rPr>
        <w:rFonts w:ascii="Courier New" w:hAnsi="Courier New" w:cs="Courier New" w:hint="default"/>
      </w:rPr>
    </w:lvl>
    <w:lvl w:ilvl="2" w:tplc="5CBE81E4">
      <w:start w:val="1"/>
      <w:numFmt w:val="bullet"/>
      <w:lvlText w:val=""/>
      <w:lvlJc w:val="left"/>
      <w:pPr>
        <w:ind w:left="2520" w:hanging="360"/>
      </w:pPr>
      <w:rPr>
        <w:rFonts w:ascii="Wingdings" w:hAnsi="Wingdings" w:hint="default"/>
      </w:rPr>
    </w:lvl>
    <w:lvl w:ilvl="3" w:tplc="6B089340">
      <w:start w:val="1"/>
      <w:numFmt w:val="bullet"/>
      <w:lvlText w:val=""/>
      <w:lvlJc w:val="left"/>
      <w:pPr>
        <w:ind w:left="3240" w:hanging="360"/>
      </w:pPr>
      <w:rPr>
        <w:rFonts w:ascii="Symbol" w:hAnsi="Symbol" w:hint="default"/>
      </w:rPr>
    </w:lvl>
    <w:lvl w:ilvl="4" w:tplc="810295B8">
      <w:start w:val="1"/>
      <w:numFmt w:val="bullet"/>
      <w:lvlText w:val="o"/>
      <w:lvlJc w:val="left"/>
      <w:pPr>
        <w:ind w:left="3960" w:hanging="360"/>
      </w:pPr>
      <w:rPr>
        <w:rFonts w:ascii="Courier New" w:hAnsi="Courier New" w:cs="Courier New" w:hint="default"/>
      </w:rPr>
    </w:lvl>
    <w:lvl w:ilvl="5" w:tplc="31A28060">
      <w:start w:val="1"/>
      <w:numFmt w:val="bullet"/>
      <w:lvlText w:val=""/>
      <w:lvlJc w:val="left"/>
      <w:pPr>
        <w:ind w:left="4680" w:hanging="360"/>
      </w:pPr>
      <w:rPr>
        <w:rFonts w:ascii="Wingdings" w:hAnsi="Wingdings" w:hint="default"/>
      </w:rPr>
    </w:lvl>
    <w:lvl w:ilvl="6" w:tplc="84CC1E54">
      <w:start w:val="1"/>
      <w:numFmt w:val="bullet"/>
      <w:lvlText w:val=""/>
      <w:lvlJc w:val="left"/>
      <w:pPr>
        <w:ind w:left="5400" w:hanging="360"/>
      </w:pPr>
      <w:rPr>
        <w:rFonts w:ascii="Symbol" w:hAnsi="Symbol" w:hint="default"/>
      </w:rPr>
    </w:lvl>
    <w:lvl w:ilvl="7" w:tplc="D4B24284">
      <w:start w:val="1"/>
      <w:numFmt w:val="bullet"/>
      <w:lvlText w:val="o"/>
      <w:lvlJc w:val="left"/>
      <w:pPr>
        <w:ind w:left="6120" w:hanging="360"/>
      </w:pPr>
      <w:rPr>
        <w:rFonts w:ascii="Courier New" w:hAnsi="Courier New" w:cs="Courier New" w:hint="default"/>
      </w:rPr>
    </w:lvl>
    <w:lvl w:ilvl="8" w:tplc="4554104A">
      <w:start w:val="1"/>
      <w:numFmt w:val="bullet"/>
      <w:lvlText w:val=""/>
      <w:lvlJc w:val="left"/>
      <w:pPr>
        <w:ind w:left="6840" w:hanging="360"/>
      </w:pPr>
      <w:rPr>
        <w:rFonts w:ascii="Wingdings" w:hAnsi="Wingdings" w:hint="default"/>
      </w:rPr>
    </w:lvl>
  </w:abstractNum>
  <w:num w:numId="1" w16cid:durableId="388188739">
    <w:abstractNumId w:val="18"/>
  </w:num>
  <w:num w:numId="2" w16cid:durableId="336735589">
    <w:abstractNumId w:val="18"/>
  </w:num>
  <w:num w:numId="3" w16cid:durableId="1478840133">
    <w:abstractNumId w:val="22"/>
  </w:num>
  <w:num w:numId="4" w16cid:durableId="676150608">
    <w:abstractNumId w:val="20"/>
  </w:num>
  <w:num w:numId="5" w16cid:durableId="958267787">
    <w:abstractNumId w:val="20"/>
  </w:num>
  <w:num w:numId="6" w16cid:durableId="49769876">
    <w:abstractNumId w:val="8"/>
  </w:num>
  <w:num w:numId="7" w16cid:durableId="1587689471">
    <w:abstractNumId w:val="1"/>
  </w:num>
  <w:num w:numId="8" w16cid:durableId="121460221">
    <w:abstractNumId w:val="0"/>
  </w:num>
  <w:num w:numId="9" w16cid:durableId="1423337685">
    <w:abstractNumId w:val="24"/>
  </w:num>
  <w:num w:numId="10" w16cid:durableId="405808917">
    <w:abstractNumId w:val="11"/>
  </w:num>
  <w:num w:numId="11" w16cid:durableId="993068095">
    <w:abstractNumId w:val="21"/>
  </w:num>
  <w:num w:numId="12" w16cid:durableId="59528647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7208574">
    <w:abstractNumId w:val="7"/>
  </w:num>
  <w:num w:numId="14" w16cid:durableId="751708534">
    <w:abstractNumId w:val="2"/>
  </w:num>
  <w:num w:numId="15" w16cid:durableId="548957948">
    <w:abstractNumId w:val="9"/>
  </w:num>
  <w:num w:numId="16" w16cid:durableId="9289529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32515710">
    <w:abstractNumId w:val="4"/>
  </w:num>
  <w:num w:numId="18" w16cid:durableId="6878720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30467147">
    <w:abstractNumId w:val="13"/>
  </w:num>
  <w:num w:numId="20" w16cid:durableId="931090791">
    <w:abstractNumId w:val="14"/>
  </w:num>
  <w:num w:numId="21" w16cid:durableId="1990396947">
    <w:abstractNumId w:val="12"/>
  </w:num>
  <w:num w:numId="22" w16cid:durableId="16445807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23439734">
    <w:abstractNumId w:val="19"/>
  </w:num>
  <w:num w:numId="24" w16cid:durableId="1666318451">
    <w:abstractNumId w:val="6"/>
  </w:num>
  <w:num w:numId="25" w16cid:durableId="1807159958">
    <w:abstractNumId w:val="16"/>
  </w:num>
  <w:num w:numId="26" w16cid:durableId="2127385090">
    <w:abstractNumId w:val="10"/>
  </w:num>
  <w:num w:numId="27" w16cid:durableId="26897305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D8F"/>
    <w:rsid w:val="00001FB1"/>
    <w:rsid w:val="000028F6"/>
    <w:rsid w:val="00002C45"/>
    <w:rsid w:val="00002DD5"/>
    <w:rsid w:val="00004C01"/>
    <w:rsid w:val="00005392"/>
    <w:rsid w:val="00007411"/>
    <w:rsid w:val="000104A1"/>
    <w:rsid w:val="000119E4"/>
    <w:rsid w:val="00012281"/>
    <w:rsid w:val="000134CA"/>
    <w:rsid w:val="00013B91"/>
    <w:rsid w:val="00013EF3"/>
    <w:rsid w:val="0001415F"/>
    <w:rsid w:val="000145EB"/>
    <w:rsid w:val="000149BB"/>
    <w:rsid w:val="0001676F"/>
    <w:rsid w:val="00020F96"/>
    <w:rsid w:val="00021120"/>
    <w:rsid w:val="00021EB1"/>
    <w:rsid w:val="00021EE6"/>
    <w:rsid w:val="00023B18"/>
    <w:rsid w:val="00025E13"/>
    <w:rsid w:val="000264C2"/>
    <w:rsid w:val="00027664"/>
    <w:rsid w:val="000300B6"/>
    <w:rsid w:val="0003030F"/>
    <w:rsid w:val="00030878"/>
    <w:rsid w:val="00030D46"/>
    <w:rsid w:val="00031EB7"/>
    <w:rsid w:val="00031FE5"/>
    <w:rsid w:val="00032562"/>
    <w:rsid w:val="00032AD8"/>
    <w:rsid w:val="00032F1B"/>
    <w:rsid w:val="000333CF"/>
    <w:rsid w:val="00034B57"/>
    <w:rsid w:val="000351EB"/>
    <w:rsid w:val="000353AF"/>
    <w:rsid w:val="000359B1"/>
    <w:rsid w:val="000371BE"/>
    <w:rsid w:val="000371F4"/>
    <w:rsid w:val="00037E92"/>
    <w:rsid w:val="000403D3"/>
    <w:rsid w:val="00040667"/>
    <w:rsid w:val="0004141B"/>
    <w:rsid w:val="00041894"/>
    <w:rsid w:val="0004235C"/>
    <w:rsid w:val="0004241D"/>
    <w:rsid w:val="00043969"/>
    <w:rsid w:val="00043E46"/>
    <w:rsid w:val="00044ED2"/>
    <w:rsid w:val="0004553C"/>
    <w:rsid w:val="00045E43"/>
    <w:rsid w:val="00046853"/>
    <w:rsid w:val="000468FF"/>
    <w:rsid w:val="00046A88"/>
    <w:rsid w:val="00047848"/>
    <w:rsid w:val="00053472"/>
    <w:rsid w:val="00054F05"/>
    <w:rsid w:val="00055D3E"/>
    <w:rsid w:val="000561A0"/>
    <w:rsid w:val="00057029"/>
    <w:rsid w:val="0005738A"/>
    <w:rsid w:val="00060314"/>
    <w:rsid w:val="00060A2B"/>
    <w:rsid w:val="000612D4"/>
    <w:rsid w:val="00061C3C"/>
    <w:rsid w:val="00062226"/>
    <w:rsid w:val="000634CE"/>
    <w:rsid w:val="00064BF3"/>
    <w:rsid w:val="0006620E"/>
    <w:rsid w:val="00070EFA"/>
    <w:rsid w:val="0007253D"/>
    <w:rsid w:val="00073086"/>
    <w:rsid w:val="000756F6"/>
    <w:rsid w:val="000757CD"/>
    <w:rsid w:val="00077928"/>
    <w:rsid w:val="00077CD7"/>
    <w:rsid w:val="000802F5"/>
    <w:rsid w:val="000808A5"/>
    <w:rsid w:val="00080FD2"/>
    <w:rsid w:val="000845D6"/>
    <w:rsid w:val="000856BE"/>
    <w:rsid w:val="00085971"/>
    <w:rsid w:val="000874B8"/>
    <w:rsid w:val="000913EC"/>
    <w:rsid w:val="00092745"/>
    <w:rsid w:val="00095352"/>
    <w:rsid w:val="00096CBB"/>
    <w:rsid w:val="00097750"/>
    <w:rsid w:val="00097A59"/>
    <w:rsid w:val="000A005B"/>
    <w:rsid w:val="000A0BA7"/>
    <w:rsid w:val="000A292B"/>
    <w:rsid w:val="000A2D48"/>
    <w:rsid w:val="000A2D4A"/>
    <w:rsid w:val="000A31D1"/>
    <w:rsid w:val="000A3A53"/>
    <w:rsid w:val="000A3E2B"/>
    <w:rsid w:val="000A5B5F"/>
    <w:rsid w:val="000A7051"/>
    <w:rsid w:val="000B0A44"/>
    <w:rsid w:val="000B2D54"/>
    <w:rsid w:val="000B2E6B"/>
    <w:rsid w:val="000B43C9"/>
    <w:rsid w:val="000B5266"/>
    <w:rsid w:val="000B67A7"/>
    <w:rsid w:val="000C055F"/>
    <w:rsid w:val="000C269A"/>
    <w:rsid w:val="000C3A06"/>
    <w:rsid w:val="000C45C8"/>
    <w:rsid w:val="000C538D"/>
    <w:rsid w:val="000C595E"/>
    <w:rsid w:val="000C5DCC"/>
    <w:rsid w:val="000D0D3D"/>
    <w:rsid w:val="000D0F0C"/>
    <w:rsid w:val="000D1C54"/>
    <w:rsid w:val="000D1E2E"/>
    <w:rsid w:val="000D2C3A"/>
    <w:rsid w:val="000D2F9D"/>
    <w:rsid w:val="000D35C6"/>
    <w:rsid w:val="000D51DC"/>
    <w:rsid w:val="000D7ECE"/>
    <w:rsid w:val="000E53FA"/>
    <w:rsid w:val="000E5E9D"/>
    <w:rsid w:val="000E6015"/>
    <w:rsid w:val="000E69D4"/>
    <w:rsid w:val="000E6C37"/>
    <w:rsid w:val="000E6D2B"/>
    <w:rsid w:val="000E6E26"/>
    <w:rsid w:val="000F0B38"/>
    <w:rsid w:val="000F1B57"/>
    <w:rsid w:val="000F1ECB"/>
    <w:rsid w:val="000F3FF9"/>
    <w:rsid w:val="000F4C08"/>
    <w:rsid w:val="000F54A9"/>
    <w:rsid w:val="000F5A57"/>
    <w:rsid w:val="000F6B06"/>
    <w:rsid w:val="000F7915"/>
    <w:rsid w:val="000F7A1A"/>
    <w:rsid w:val="0010090F"/>
    <w:rsid w:val="00101481"/>
    <w:rsid w:val="00101F7D"/>
    <w:rsid w:val="00102539"/>
    <w:rsid w:val="0010332A"/>
    <w:rsid w:val="001038A4"/>
    <w:rsid w:val="00104CC3"/>
    <w:rsid w:val="00105906"/>
    <w:rsid w:val="001061A7"/>
    <w:rsid w:val="001077F4"/>
    <w:rsid w:val="00111995"/>
    <w:rsid w:val="0011311D"/>
    <w:rsid w:val="00115ADD"/>
    <w:rsid w:val="00121C35"/>
    <w:rsid w:val="00124825"/>
    <w:rsid w:val="001257CA"/>
    <w:rsid w:val="00125E1C"/>
    <w:rsid w:val="00126ABD"/>
    <w:rsid w:val="00133347"/>
    <w:rsid w:val="001336F1"/>
    <w:rsid w:val="001352D6"/>
    <w:rsid w:val="001357B4"/>
    <w:rsid w:val="001361E2"/>
    <w:rsid w:val="00137F13"/>
    <w:rsid w:val="0014084D"/>
    <w:rsid w:val="00140AA5"/>
    <w:rsid w:val="00140D5C"/>
    <w:rsid w:val="00140D99"/>
    <w:rsid w:val="00141746"/>
    <w:rsid w:val="00141D99"/>
    <w:rsid w:val="00141DA1"/>
    <w:rsid w:val="00142F50"/>
    <w:rsid w:val="0014564B"/>
    <w:rsid w:val="0014661E"/>
    <w:rsid w:val="00150191"/>
    <w:rsid w:val="001520C1"/>
    <w:rsid w:val="001521ED"/>
    <w:rsid w:val="001538E3"/>
    <w:rsid w:val="001575AA"/>
    <w:rsid w:val="00157DBF"/>
    <w:rsid w:val="00157DCD"/>
    <w:rsid w:val="00157EBE"/>
    <w:rsid w:val="00161F1F"/>
    <w:rsid w:val="001628F4"/>
    <w:rsid w:val="00163A8E"/>
    <w:rsid w:val="00164D9E"/>
    <w:rsid w:val="0016795B"/>
    <w:rsid w:val="00167A37"/>
    <w:rsid w:val="001712D1"/>
    <w:rsid w:val="001717DA"/>
    <w:rsid w:val="00172DD7"/>
    <w:rsid w:val="00172E77"/>
    <w:rsid w:val="001730B3"/>
    <w:rsid w:val="001731DB"/>
    <w:rsid w:val="001731F7"/>
    <w:rsid w:val="00174832"/>
    <w:rsid w:val="001753A5"/>
    <w:rsid w:val="00176B45"/>
    <w:rsid w:val="00176E54"/>
    <w:rsid w:val="001778BF"/>
    <w:rsid w:val="00180B9D"/>
    <w:rsid w:val="00181FEE"/>
    <w:rsid w:val="00182B8C"/>
    <w:rsid w:val="00184676"/>
    <w:rsid w:val="00185917"/>
    <w:rsid w:val="00191B88"/>
    <w:rsid w:val="00194264"/>
    <w:rsid w:val="001944C4"/>
    <w:rsid w:val="001970F4"/>
    <w:rsid w:val="00197DA3"/>
    <w:rsid w:val="001A0AEE"/>
    <w:rsid w:val="001A11AF"/>
    <w:rsid w:val="001A2DA6"/>
    <w:rsid w:val="001A312D"/>
    <w:rsid w:val="001A40C9"/>
    <w:rsid w:val="001A4E7D"/>
    <w:rsid w:val="001A6CC8"/>
    <w:rsid w:val="001B040F"/>
    <w:rsid w:val="001B0E20"/>
    <w:rsid w:val="001B3449"/>
    <w:rsid w:val="001B35B4"/>
    <w:rsid w:val="001B39DE"/>
    <w:rsid w:val="001B3C16"/>
    <w:rsid w:val="001B5E08"/>
    <w:rsid w:val="001B68E8"/>
    <w:rsid w:val="001B7062"/>
    <w:rsid w:val="001B73EA"/>
    <w:rsid w:val="001C062E"/>
    <w:rsid w:val="001C2F05"/>
    <w:rsid w:val="001C33B3"/>
    <w:rsid w:val="001C3E7D"/>
    <w:rsid w:val="001C5FAB"/>
    <w:rsid w:val="001D11EC"/>
    <w:rsid w:val="001D1A5D"/>
    <w:rsid w:val="001D4DE7"/>
    <w:rsid w:val="001D4E09"/>
    <w:rsid w:val="001D733F"/>
    <w:rsid w:val="001D7685"/>
    <w:rsid w:val="001E31BC"/>
    <w:rsid w:val="001E4B7B"/>
    <w:rsid w:val="001E5237"/>
    <w:rsid w:val="001E5D77"/>
    <w:rsid w:val="001E6F75"/>
    <w:rsid w:val="001E7FDE"/>
    <w:rsid w:val="001F2387"/>
    <w:rsid w:val="001F4234"/>
    <w:rsid w:val="001F56B3"/>
    <w:rsid w:val="001F62E5"/>
    <w:rsid w:val="001F7165"/>
    <w:rsid w:val="00200081"/>
    <w:rsid w:val="0020193E"/>
    <w:rsid w:val="00201D3E"/>
    <w:rsid w:val="002021EA"/>
    <w:rsid w:val="00202F74"/>
    <w:rsid w:val="00203037"/>
    <w:rsid w:val="002037E9"/>
    <w:rsid w:val="00203985"/>
    <w:rsid w:val="00205A34"/>
    <w:rsid w:val="002065A8"/>
    <w:rsid w:val="0021059B"/>
    <w:rsid w:val="00212DBE"/>
    <w:rsid w:val="002133F2"/>
    <w:rsid w:val="002156C2"/>
    <w:rsid w:val="00216268"/>
    <w:rsid w:val="002174FB"/>
    <w:rsid w:val="00217806"/>
    <w:rsid w:val="00221715"/>
    <w:rsid w:val="00224ECF"/>
    <w:rsid w:val="0022570F"/>
    <w:rsid w:val="00225E65"/>
    <w:rsid w:val="00226DD4"/>
    <w:rsid w:val="00230AC3"/>
    <w:rsid w:val="00232136"/>
    <w:rsid w:val="00232293"/>
    <w:rsid w:val="002323D7"/>
    <w:rsid w:val="002345C7"/>
    <w:rsid w:val="0023726F"/>
    <w:rsid w:val="00237A5C"/>
    <w:rsid w:val="00237DEF"/>
    <w:rsid w:val="00240B65"/>
    <w:rsid w:val="002417F8"/>
    <w:rsid w:val="00242D7D"/>
    <w:rsid w:val="00242DFE"/>
    <w:rsid w:val="002433D3"/>
    <w:rsid w:val="00244C35"/>
    <w:rsid w:val="002522D6"/>
    <w:rsid w:val="00254BBB"/>
    <w:rsid w:val="0025685F"/>
    <w:rsid w:val="00261221"/>
    <w:rsid w:val="00261A76"/>
    <w:rsid w:val="00262329"/>
    <w:rsid w:val="0026306D"/>
    <w:rsid w:val="00263F3E"/>
    <w:rsid w:val="00264D6C"/>
    <w:rsid w:val="0026637B"/>
    <w:rsid w:val="00267C38"/>
    <w:rsid w:val="002700D0"/>
    <w:rsid w:val="0027529E"/>
    <w:rsid w:val="00275574"/>
    <w:rsid w:val="00276051"/>
    <w:rsid w:val="00280AE6"/>
    <w:rsid w:val="00281D62"/>
    <w:rsid w:val="00283C35"/>
    <w:rsid w:val="002858E5"/>
    <w:rsid w:val="002862C1"/>
    <w:rsid w:val="002865C1"/>
    <w:rsid w:val="002874EE"/>
    <w:rsid w:val="00287B8B"/>
    <w:rsid w:val="00287E2A"/>
    <w:rsid w:val="00287EB6"/>
    <w:rsid w:val="00291A75"/>
    <w:rsid w:val="0029265F"/>
    <w:rsid w:val="00292D6A"/>
    <w:rsid w:val="00293525"/>
    <w:rsid w:val="00296479"/>
    <w:rsid w:val="00296A99"/>
    <w:rsid w:val="00297499"/>
    <w:rsid w:val="002A0F34"/>
    <w:rsid w:val="002A0FD6"/>
    <w:rsid w:val="002A1C7E"/>
    <w:rsid w:val="002A21BD"/>
    <w:rsid w:val="002A4D57"/>
    <w:rsid w:val="002A6780"/>
    <w:rsid w:val="002A6B33"/>
    <w:rsid w:val="002A6CF0"/>
    <w:rsid w:val="002A7698"/>
    <w:rsid w:val="002A7C2B"/>
    <w:rsid w:val="002B18BB"/>
    <w:rsid w:val="002B2DD8"/>
    <w:rsid w:val="002B5141"/>
    <w:rsid w:val="002B5A49"/>
    <w:rsid w:val="002C0763"/>
    <w:rsid w:val="002C09FB"/>
    <w:rsid w:val="002C0B3D"/>
    <w:rsid w:val="002C1A64"/>
    <w:rsid w:val="002C2573"/>
    <w:rsid w:val="002C32BF"/>
    <w:rsid w:val="002C3668"/>
    <w:rsid w:val="002C4005"/>
    <w:rsid w:val="002C4193"/>
    <w:rsid w:val="002C52B9"/>
    <w:rsid w:val="002C6F6C"/>
    <w:rsid w:val="002D042B"/>
    <w:rsid w:val="002D1AC0"/>
    <w:rsid w:val="002D40CD"/>
    <w:rsid w:val="002D4478"/>
    <w:rsid w:val="002D4594"/>
    <w:rsid w:val="002D45EC"/>
    <w:rsid w:val="002D575A"/>
    <w:rsid w:val="002D6029"/>
    <w:rsid w:val="002D67F2"/>
    <w:rsid w:val="002D7EAB"/>
    <w:rsid w:val="002E0844"/>
    <w:rsid w:val="002E146C"/>
    <w:rsid w:val="002E18D5"/>
    <w:rsid w:val="002E3EA8"/>
    <w:rsid w:val="002E687D"/>
    <w:rsid w:val="002F0F0E"/>
    <w:rsid w:val="002F102A"/>
    <w:rsid w:val="002F16AC"/>
    <w:rsid w:val="002F1DD0"/>
    <w:rsid w:val="002F21C9"/>
    <w:rsid w:val="002F341E"/>
    <w:rsid w:val="002F3584"/>
    <w:rsid w:val="002F4AFB"/>
    <w:rsid w:val="002F510E"/>
    <w:rsid w:val="002F63A8"/>
    <w:rsid w:val="002F7B06"/>
    <w:rsid w:val="0030153D"/>
    <w:rsid w:val="003028E4"/>
    <w:rsid w:val="00302A47"/>
    <w:rsid w:val="003034B1"/>
    <w:rsid w:val="00304147"/>
    <w:rsid w:val="0030537F"/>
    <w:rsid w:val="00305AAA"/>
    <w:rsid w:val="003072CD"/>
    <w:rsid w:val="00307D6E"/>
    <w:rsid w:val="00310EE3"/>
    <w:rsid w:val="0031103D"/>
    <w:rsid w:val="003114D0"/>
    <w:rsid w:val="00311A2C"/>
    <w:rsid w:val="00314B69"/>
    <w:rsid w:val="003165BA"/>
    <w:rsid w:val="00316AB2"/>
    <w:rsid w:val="003171C3"/>
    <w:rsid w:val="00317E6A"/>
    <w:rsid w:val="0032072B"/>
    <w:rsid w:val="00321E5D"/>
    <w:rsid w:val="003225FF"/>
    <w:rsid w:val="0032486C"/>
    <w:rsid w:val="00325E29"/>
    <w:rsid w:val="00325F24"/>
    <w:rsid w:val="00326323"/>
    <w:rsid w:val="00327995"/>
    <w:rsid w:val="0033018C"/>
    <w:rsid w:val="00330432"/>
    <w:rsid w:val="0033122E"/>
    <w:rsid w:val="003332A1"/>
    <w:rsid w:val="00333EEF"/>
    <w:rsid w:val="0033497A"/>
    <w:rsid w:val="003356C2"/>
    <w:rsid w:val="003375C9"/>
    <w:rsid w:val="003410A0"/>
    <w:rsid w:val="003415D5"/>
    <w:rsid w:val="003421E0"/>
    <w:rsid w:val="00342E1B"/>
    <w:rsid w:val="00342E77"/>
    <w:rsid w:val="003450AE"/>
    <w:rsid w:val="00346838"/>
    <w:rsid w:val="00346B2C"/>
    <w:rsid w:val="00346C09"/>
    <w:rsid w:val="003475FF"/>
    <w:rsid w:val="00347EF1"/>
    <w:rsid w:val="00350445"/>
    <w:rsid w:val="00350D70"/>
    <w:rsid w:val="003511CD"/>
    <w:rsid w:val="0035407F"/>
    <w:rsid w:val="00355C2E"/>
    <w:rsid w:val="00356989"/>
    <w:rsid w:val="0036083C"/>
    <w:rsid w:val="003612B5"/>
    <w:rsid w:val="00363310"/>
    <w:rsid w:val="00366216"/>
    <w:rsid w:val="0037073C"/>
    <w:rsid w:val="00371047"/>
    <w:rsid w:val="003712B2"/>
    <w:rsid w:val="00371D8B"/>
    <w:rsid w:val="0037234C"/>
    <w:rsid w:val="0037344F"/>
    <w:rsid w:val="00373DE5"/>
    <w:rsid w:val="0037663E"/>
    <w:rsid w:val="0037796C"/>
    <w:rsid w:val="00380F06"/>
    <w:rsid w:val="003816E7"/>
    <w:rsid w:val="00381820"/>
    <w:rsid w:val="003830BC"/>
    <w:rsid w:val="003850AA"/>
    <w:rsid w:val="003854A9"/>
    <w:rsid w:val="003857CC"/>
    <w:rsid w:val="0038617F"/>
    <w:rsid w:val="00391805"/>
    <w:rsid w:val="00392049"/>
    <w:rsid w:val="0039232C"/>
    <w:rsid w:val="00396509"/>
    <w:rsid w:val="00396EED"/>
    <w:rsid w:val="00397CD4"/>
    <w:rsid w:val="003A1399"/>
    <w:rsid w:val="003A20A3"/>
    <w:rsid w:val="003A21F2"/>
    <w:rsid w:val="003A24D2"/>
    <w:rsid w:val="003A2B75"/>
    <w:rsid w:val="003A3087"/>
    <w:rsid w:val="003A479C"/>
    <w:rsid w:val="003A4815"/>
    <w:rsid w:val="003A56B9"/>
    <w:rsid w:val="003A7BD6"/>
    <w:rsid w:val="003B0AB4"/>
    <w:rsid w:val="003B0BE8"/>
    <w:rsid w:val="003B257C"/>
    <w:rsid w:val="003B3C0B"/>
    <w:rsid w:val="003B5078"/>
    <w:rsid w:val="003B55E2"/>
    <w:rsid w:val="003B6D65"/>
    <w:rsid w:val="003B6F34"/>
    <w:rsid w:val="003C0625"/>
    <w:rsid w:val="003C07A6"/>
    <w:rsid w:val="003C16F5"/>
    <w:rsid w:val="003C21B8"/>
    <w:rsid w:val="003C29DC"/>
    <w:rsid w:val="003C35B0"/>
    <w:rsid w:val="003C5E2F"/>
    <w:rsid w:val="003D1224"/>
    <w:rsid w:val="003D3B92"/>
    <w:rsid w:val="003D448C"/>
    <w:rsid w:val="003D4ED6"/>
    <w:rsid w:val="003D5191"/>
    <w:rsid w:val="003D6F5A"/>
    <w:rsid w:val="003E028F"/>
    <w:rsid w:val="003E04D9"/>
    <w:rsid w:val="003E2D0E"/>
    <w:rsid w:val="003E46A4"/>
    <w:rsid w:val="003E6D97"/>
    <w:rsid w:val="003E749A"/>
    <w:rsid w:val="003E7817"/>
    <w:rsid w:val="003E7A74"/>
    <w:rsid w:val="003F2CE8"/>
    <w:rsid w:val="003F44E1"/>
    <w:rsid w:val="003F6A14"/>
    <w:rsid w:val="003F6D2E"/>
    <w:rsid w:val="003F70F3"/>
    <w:rsid w:val="003F7105"/>
    <w:rsid w:val="00400230"/>
    <w:rsid w:val="00400ABF"/>
    <w:rsid w:val="00401351"/>
    <w:rsid w:val="0040471D"/>
    <w:rsid w:val="00404723"/>
    <w:rsid w:val="004064A0"/>
    <w:rsid w:val="00407049"/>
    <w:rsid w:val="004109E4"/>
    <w:rsid w:val="00412F1A"/>
    <w:rsid w:val="00413170"/>
    <w:rsid w:val="004139DA"/>
    <w:rsid w:val="004146F6"/>
    <w:rsid w:val="004151BF"/>
    <w:rsid w:val="004157FB"/>
    <w:rsid w:val="00420791"/>
    <w:rsid w:val="004208C4"/>
    <w:rsid w:val="00420AEC"/>
    <w:rsid w:val="004234A9"/>
    <w:rsid w:val="004249F0"/>
    <w:rsid w:val="00425632"/>
    <w:rsid w:val="00427596"/>
    <w:rsid w:val="00427F85"/>
    <w:rsid w:val="004310D3"/>
    <w:rsid w:val="00433760"/>
    <w:rsid w:val="00434398"/>
    <w:rsid w:val="004354FD"/>
    <w:rsid w:val="004366C5"/>
    <w:rsid w:val="00436DDA"/>
    <w:rsid w:val="0043797B"/>
    <w:rsid w:val="00437B7D"/>
    <w:rsid w:val="00440950"/>
    <w:rsid w:val="004410EB"/>
    <w:rsid w:val="00442C8A"/>
    <w:rsid w:val="00443510"/>
    <w:rsid w:val="00444E5F"/>
    <w:rsid w:val="00445D9E"/>
    <w:rsid w:val="00446FFC"/>
    <w:rsid w:val="00447139"/>
    <w:rsid w:val="00452DAD"/>
    <w:rsid w:val="00453A37"/>
    <w:rsid w:val="0045419A"/>
    <w:rsid w:val="00455BBF"/>
    <w:rsid w:val="004566B6"/>
    <w:rsid w:val="0045718A"/>
    <w:rsid w:val="00460853"/>
    <w:rsid w:val="00461408"/>
    <w:rsid w:val="004614AF"/>
    <w:rsid w:val="00461CDE"/>
    <w:rsid w:val="00462544"/>
    <w:rsid w:val="00463233"/>
    <w:rsid w:val="00463EE9"/>
    <w:rsid w:val="00464888"/>
    <w:rsid w:val="004651D3"/>
    <w:rsid w:val="00465585"/>
    <w:rsid w:val="00465F11"/>
    <w:rsid w:val="00466B02"/>
    <w:rsid w:val="0046774B"/>
    <w:rsid w:val="00467C56"/>
    <w:rsid w:val="00467D03"/>
    <w:rsid w:val="0047181A"/>
    <w:rsid w:val="00472087"/>
    <w:rsid w:val="004724A4"/>
    <w:rsid w:val="004724D3"/>
    <w:rsid w:val="00473C0A"/>
    <w:rsid w:val="0047482A"/>
    <w:rsid w:val="0047490E"/>
    <w:rsid w:val="00476585"/>
    <w:rsid w:val="00476779"/>
    <w:rsid w:val="00476909"/>
    <w:rsid w:val="00477D70"/>
    <w:rsid w:val="00480A68"/>
    <w:rsid w:val="0048125A"/>
    <w:rsid w:val="0048278E"/>
    <w:rsid w:val="004839F2"/>
    <w:rsid w:val="0048403C"/>
    <w:rsid w:val="004843FE"/>
    <w:rsid w:val="004851F6"/>
    <w:rsid w:val="00485651"/>
    <w:rsid w:val="00485C4A"/>
    <w:rsid w:val="004865D4"/>
    <w:rsid w:val="00487369"/>
    <w:rsid w:val="00487743"/>
    <w:rsid w:val="004904DC"/>
    <w:rsid w:val="00491CEB"/>
    <w:rsid w:val="00491D66"/>
    <w:rsid w:val="004923F9"/>
    <w:rsid w:val="004936B8"/>
    <w:rsid w:val="004A1470"/>
    <w:rsid w:val="004A2911"/>
    <w:rsid w:val="004A2B84"/>
    <w:rsid w:val="004A43E8"/>
    <w:rsid w:val="004A4863"/>
    <w:rsid w:val="004A6983"/>
    <w:rsid w:val="004B1039"/>
    <w:rsid w:val="004B14A0"/>
    <w:rsid w:val="004B50B3"/>
    <w:rsid w:val="004B66E7"/>
    <w:rsid w:val="004C0134"/>
    <w:rsid w:val="004C03DE"/>
    <w:rsid w:val="004C07A2"/>
    <w:rsid w:val="004C11DA"/>
    <w:rsid w:val="004C163B"/>
    <w:rsid w:val="004C27B0"/>
    <w:rsid w:val="004C3642"/>
    <w:rsid w:val="004C3C24"/>
    <w:rsid w:val="004C3E31"/>
    <w:rsid w:val="004C415E"/>
    <w:rsid w:val="004C5F12"/>
    <w:rsid w:val="004C710C"/>
    <w:rsid w:val="004D039F"/>
    <w:rsid w:val="004D0FE6"/>
    <w:rsid w:val="004D10E4"/>
    <w:rsid w:val="004D137A"/>
    <w:rsid w:val="004D1A7F"/>
    <w:rsid w:val="004D1DF4"/>
    <w:rsid w:val="004E056A"/>
    <w:rsid w:val="004E0E27"/>
    <w:rsid w:val="004E1F3A"/>
    <w:rsid w:val="004E22FE"/>
    <w:rsid w:val="004E2CA4"/>
    <w:rsid w:val="004E38A1"/>
    <w:rsid w:val="004E4308"/>
    <w:rsid w:val="004E44D2"/>
    <w:rsid w:val="004E531F"/>
    <w:rsid w:val="004F0E0D"/>
    <w:rsid w:val="004F2AD0"/>
    <w:rsid w:val="004F346E"/>
    <w:rsid w:val="004F38C7"/>
    <w:rsid w:val="004F3A37"/>
    <w:rsid w:val="004F4DC9"/>
    <w:rsid w:val="004F5C86"/>
    <w:rsid w:val="004F71AF"/>
    <w:rsid w:val="004F7D08"/>
    <w:rsid w:val="0050660A"/>
    <w:rsid w:val="00506A4D"/>
    <w:rsid w:val="00507569"/>
    <w:rsid w:val="00507E29"/>
    <w:rsid w:val="0051020F"/>
    <w:rsid w:val="00510CAA"/>
    <w:rsid w:val="005117FB"/>
    <w:rsid w:val="0051181D"/>
    <w:rsid w:val="00511F50"/>
    <w:rsid w:val="0051406D"/>
    <w:rsid w:val="00514782"/>
    <w:rsid w:val="00516FE4"/>
    <w:rsid w:val="00520129"/>
    <w:rsid w:val="005237BD"/>
    <w:rsid w:val="0052476E"/>
    <w:rsid w:val="0052531E"/>
    <w:rsid w:val="00530364"/>
    <w:rsid w:val="0053093E"/>
    <w:rsid w:val="00534D9A"/>
    <w:rsid w:val="00535CC7"/>
    <w:rsid w:val="00536240"/>
    <w:rsid w:val="005367A0"/>
    <w:rsid w:val="0053773E"/>
    <w:rsid w:val="00541419"/>
    <w:rsid w:val="005416F2"/>
    <w:rsid w:val="00541F0E"/>
    <w:rsid w:val="00543157"/>
    <w:rsid w:val="00543B8F"/>
    <w:rsid w:val="00545131"/>
    <w:rsid w:val="0054524B"/>
    <w:rsid w:val="0054561E"/>
    <w:rsid w:val="00546134"/>
    <w:rsid w:val="00550A5E"/>
    <w:rsid w:val="005516CF"/>
    <w:rsid w:val="00553530"/>
    <w:rsid w:val="00553DD2"/>
    <w:rsid w:val="00554843"/>
    <w:rsid w:val="00555A70"/>
    <w:rsid w:val="005564AE"/>
    <w:rsid w:val="0055695B"/>
    <w:rsid w:val="00556E39"/>
    <w:rsid w:val="00556F34"/>
    <w:rsid w:val="005571DF"/>
    <w:rsid w:val="0056282A"/>
    <w:rsid w:val="00562FB3"/>
    <w:rsid w:val="00564C79"/>
    <w:rsid w:val="00564DF2"/>
    <w:rsid w:val="00565346"/>
    <w:rsid w:val="00566CDA"/>
    <w:rsid w:val="00566E95"/>
    <w:rsid w:val="00567B0C"/>
    <w:rsid w:val="00567E93"/>
    <w:rsid w:val="00571250"/>
    <w:rsid w:val="00571432"/>
    <w:rsid w:val="005716C4"/>
    <w:rsid w:val="00572B96"/>
    <w:rsid w:val="0057486A"/>
    <w:rsid w:val="00577A70"/>
    <w:rsid w:val="00577EE9"/>
    <w:rsid w:val="00581D09"/>
    <w:rsid w:val="00583B0E"/>
    <w:rsid w:val="005853BA"/>
    <w:rsid w:val="005862B6"/>
    <w:rsid w:val="00591E61"/>
    <w:rsid w:val="005924B3"/>
    <w:rsid w:val="00592ED7"/>
    <w:rsid w:val="00593938"/>
    <w:rsid w:val="00594A47"/>
    <w:rsid w:val="00596979"/>
    <w:rsid w:val="005A041D"/>
    <w:rsid w:val="005A2DAE"/>
    <w:rsid w:val="005A2F95"/>
    <w:rsid w:val="005A35D4"/>
    <w:rsid w:val="005A465F"/>
    <w:rsid w:val="005A67FA"/>
    <w:rsid w:val="005A7520"/>
    <w:rsid w:val="005B0EFA"/>
    <w:rsid w:val="005B2709"/>
    <w:rsid w:val="005B293F"/>
    <w:rsid w:val="005B36B6"/>
    <w:rsid w:val="005B39B6"/>
    <w:rsid w:val="005B3BC4"/>
    <w:rsid w:val="005B3EC8"/>
    <w:rsid w:val="005B3FE8"/>
    <w:rsid w:val="005B40A4"/>
    <w:rsid w:val="005B52F3"/>
    <w:rsid w:val="005B6B8E"/>
    <w:rsid w:val="005B6E8C"/>
    <w:rsid w:val="005C000C"/>
    <w:rsid w:val="005C1DF4"/>
    <w:rsid w:val="005C2E4A"/>
    <w:rsid w:val="005C38B4"/>
    <w:rsid w:val="005C3980"/>
    <w:rsid w:val="005C5323"/>
    <w:rsid w:val="005C59A6"/>
    <w:rsid w:val="005C5A00"/>
    <w:rsid w:val="005C6E77"/>
    <w:rsid w:val="005C70AC"/>
    <w:rsid w:val="005C79F0"/>
    <w:rsid w:val="005D085A"/>
    <w:rsid w:val="005D1A2D"/>
    <w:rsid w:val="005D1D02"/>
    <w:rsid w:val="005D4E25"/>
    <w:rsid w:val="005D5F46"/>
    <w:rsid w:val="005D70A3"/>
    <w:rsid w:val="005D7C6C"/>
    <w:rsid w:val="005E01EB"/>
    <w:rsid w:val="005E0C02"/>
    <w:rsid w:val="005E1C73"/>
    <w:rsid w:val="005E1C8B"/>
    <w:rsid w:val="005E2DDB"/>
    <w:rsid w:val="005E3986"/>
    <w:rsid w:val="005E522D"/>
    <w:rsid w:val="005E5B27"/>
    <w:rsid w:val="005E609A"/>
    <w:rsid w:val="005E6555"/>
    <w:rsid w:val="005E6ECF"/>
    <w:rsid w:val="005E7732"/>
    <w:rsid w:val="005E7EAC"/>
    <w:rsid w:val="005F3A05"/>
    <w:rsid w:val="005F4063"/>
    <w:rsid w:val="005F528A"/>
    <w:rsid w:val="005F6671"/>
    <w:rsid w:val="005F674E"/>
    <w:rsid w:val="005F6A71"/>
    <w:rsid w:val="005F73BE"/>
    <w:rsid w:val="005F7EDF"/>
    <w:rsid w:val="00601753"/>
    <w:rsid w:val="00601836"/>
    <w:rsid w:val="00601CB0"/>
    <w:rsid w:val="006025B2"/>
    <w:rsid w:val="00603807"/>
    <w:rsid w:val="00604B8A"/>
    <w:rsid w:val="00612EA4"/>
    <w:rsid w:val="0061338D"/>
    <w:rsid w:val="00613438"/>
    <w:rsid w:val="0061620D"/>
    <w:rsid w:val="00616E49"/>
    <w:rsid w:val="00616F3F"/>
    <w:rsid w:val="00617F3C"/>
    <w:rsid w:val="00621766"/>
    <w:rsid w:val="0062268F"/>
    <w:rsid w:val="00623F90"/>
    <w:rsid w:val="0062480E"/>
    <w:rsid w:val="006264C6"/>
    <w:rsid w:val="00631882"/>
    <w:rsid w:val="00632744"/>
    <w:rsid w:val="00632C3C"/>
    <w:rsid w:val="00633D20"/>
    <w:rsid w:val="00634A61"/>
    <w:rsid w:val="006355FF"/>
    <w:rsid w:val="00636E9D"/>
    <w:rsid w:val="0063740C"/>
    <w:rsid w:val="00637F06"/>
    <w:rsid w:val="006409E9"/>
    <w:rsid w:val="00643181"/>
    <w:rsid w:val="0064438C"/>
    <w:rsid w:val="00645017"/>
    <w:rsid w:val="006462EA"/>
    <w:rsid w:val="00646372"/>
    <w:rsid w:val="00647FDC"/>
    <w:rsid w:val="0065023A"/>
    <w:rsid w:val="00650D84"/>
    <w:rsid w:val="006524F1"/>
    <w:rsid w:val="00652A8B"/>
    <w:rsid w:val="00652D37"/>
    <w:rsid w:val="00652E39"/>
    <w:rsid w:val="00653105"/>
    <w:rsid w:val="00653972"/>
    <w:rsid w:val="00653B55"/>
    <w:rsid w:val="00653D64"/>
    <w:rsid w:val="006559AC"/>
    <w:rsid w:val="00655FB2"/>
    <w:rsid w:val="006602E8"/>
    <w:rsid w:val="00663E47"/>
    <w:rsid w:val="006656DE"/>
    <w:rsid w:val="00665720"/>
    <w:rsid w:val="00666160"/>
    <w:rsid w:val="00666792"/>
    <w:rsid w:val="006670F4"/>
    <w:rsid w:val="00670B59"/>
    <w:rsid w:val="00672065"/>
    <w:rsid w:val="006723AC"/>
    <w:rsid w:val="00673395"/>
    <w:rsid w:val="00673F96"/>
    <w:rsid w:val="00674D05"/>
    <w:rsid w:val="00675D01"/>
    <w:rsid w:val="00676089"/>
    <w:rsid w:val="00676A5A"/>
    <w:rsid w:val="00677C44"/>
    <w:rsid w:val="00680DBD"/>
    <w:rsid w:val="00681A9D"/>
    <w:rsid w:val="00681C3A"/>
    <w:rsid w:val="00684B88"/>
    <w:rsid w:val="00685C30"/>
    <w:rsid w:val="00686015"/>
    <w:rsid w:val="00691237"/>
    <w:rsid w:val="006918B3"/>
    <w:rsid w:val="006922FC"/>
    <w:rsid w:val="0069298F"/>
    <w:rsid w:val="00692B35"/>
    <w:rsid w:val="00695673"/>
    <w:rsid w:val="006A0137"/>
    <w:rsid w:val="006A1217"/>
    <w:rsid w:val="006A3FE2"/>
    <w:rsid w:val="006A6577"/>
    <w:rsid w:val="006A7E04"/>
    <w:rsid w:val="006B057B"/>
    <w:rsid w:val="006B0B2F"/>
    <w:rsid w:val="006B1533"/>
    <w:rsid w:val="006B2757"/>
    <w:rsid w:val="006B318B"/>
    <w:rsid w:val="006B3943"/>
    <w:rsid w:val="006B5B54"/>
    <w:rsid w:val="006B64EC"/>
    <w:rsid w:val="006B7917"/>
    <w:rsid w:val="006C04C2"/>
    <w:rsid w:val="006C0F09"/>
    <w:rsid w:val="006C113C"/>
    <w:rsid w:val="006C2747"/>
    <w:rsid w:val="006C2FD7"/>
    <w:rsid w:val="006C3982"/>
    <w:rsid w:val="006C4EFF"/>
    <w:rsid w:val="006C4FD7"/>
    <w:rsid w:val="006C5110"/>
    <w:rsid w:val="006C530E"/>
    <w:rsid w:val="006C5AC6"/>
    <w:rsid w:val="006C652F"/>
    <w:rsid w:val="006C743D"/>
    <w:rsid w:val="006D00CC"/>
    <w:rsid w:val="006D1101"/>
    <w:rsid w:val="006D126A"/>
    <w:rsid w:val="006D1641"/>
    <w:rsid w:val="006D3CBF"/>
    <w:rsid w:val="006D4F5A"/>
    <w:rsid w:val="006D6092"/>
    <w:rsid w:val="006D6AF3"/>
    <w:rsid w:val="006D764E"/>
    <w:rsid w:val="006E1310"/>
    <w:rsid w:val="006E1587"/>
    <w:rsid w:val="006E495B"/>
    <w:rsid w:val="006E7490"/>
    <w:rsid w:val="006E7B3E"/>
    <w:rsid w:val="006F15C8"/>
    <w:rsid w:val="006F3FAA"/>
    <w:rsid w:val="006F46B3"/>
    <w:rsid w:val="006F5215"/>
    <w:rsid w:val="006F6E02"/>
    <w:rsid w:val="006F77F5"/>
    <w:rsid w:val="0070151E"/>
    <w:rsid w:val="00701787"/>
    <w:rsid w:val="00703ACC"/>
    <w:rsid w:val="00705959"/>
    <w:rsid w:val="00706DF7"/>
    <w:rsid w:val="007100EA"/>
    <w:rsid w:val="0071020C"/>
    <w:rsid w:val="00711017"/>
    <w:rsid w:val="00711362"/>
    <w:rsid w:val="00713990"/>
    <w:rsid w:val="007144C6"/>
    <w:rsid w:val="0071510A"/>
    <w:rsid w:val="00716140"/>
    <w:rsid w:val="00717B99"/>
    <w:rsid w:val="00720696"/>
    <w:rsid w:val="00720E4D"/>
    <w:rsid w:val="0072134B"/>
    <w:rsid w:val="00722981"/>
    <w:rsid w:val="00724A69"/>
    <w:rsid w:val="00731133"/>
    <w:rsid w:val="007319B4"/>
    <w:rsid w:val="00731F9C"/>
    <w:rsid w:val="0073206D"/>
    <w:rsid w:val="007320A8"/>
    <w:rsid w:val="007335B0"/>
    <w:rsid w:val="00735D8B"/>
    <w:rsid w:val="00736959"/>
    <w:rsid w:val="00737AF9"/>
    <w:rsid w:val="00740EFC"/>
    <w:rsid w:val="007418F8"/>
    <w:rsid w:val="007431F1"/>
    <w:rsid w:val="00744942"/>
    <w:rsid w:val="00744D59"/>
    <w:rsid w:val="00745F6F"/>
    <w:rsid w:val="007464AF"/>
    <w:rsid w:val="00746BAD"/>
    <w:rsid w:val="007471DB"/>
    <w:rsid w:val="0075117B"/>
    <w:rsid w:val="00751235"/>
    <w:rsid w:val="0075144E"/>
    <w:rsid w:val="0075189A"/>
    <w:rsid w:val="007601E8"/>
    <w:rsid w:val="00761D30"/>
    <w:rsid w:val="007628F2"/>
    <w:rsid w:val="0076613A"/>
    <w:rsid w:val="00766166"/>
    <w:rsid w:val="007674CE"/>
    <w:rsid w:val="00770638"/>
    <w:rsid w:val="00772F97"/>
    <w:rsid w:val="00773B43"/>
    <w:rsid w:val="00775E25"/>
    <w:rsid w:val="0077658B"/>
    <w:rsid w:val="00776ED2"/>
    <w:rsid w:val="0078261E"/>
    <w:rsid w:val="0078331E"/>
    <w:rsid w:val="0078371C"/>
    <w:rsid w:val="00783F56"/>
    <w:rsid w:val="00786509"/>
    <w:rsid w:val="0078672E"/>
    <w:rsid w:val="007874AE"/>
    <w:rsid w:val="00787C3A"/>
    <w:rsid w:val="00790E55"/>
    <w:rsid w:val="007918F9"/>
    <w:rsid w:val="0079487D"/>
    <w:rsid w:val="00795A31"/>
    <w:rsid w:val="007971CF"/>
    <w:rsid w:val="00797819"/>
    <w:rsid w:val="007A04CA"/>
    <w:rsid w:val="007A157D"/>
    <w:rsid w:val="007A1D4C"/>
    <w:rsid w:val="007A26F0"/>
    <w:rsid w:val="007A431C"/>
    <w:rsid w:val="007A4849"/>
    <w:rsid w:val="007B0CA4"/>
    <w:rsid w:val="007B32CC"/>
    <w:rsid w:val="007B722E"/>
    <w:rsid w:val="007C0E38"/>
    <w:rsid w:val="007C28C9"/>
    <w:rsid w:val="007C372A"/>
    <w:rsid w:val="007C48E2"/>
    <w:rsid w:val="007C7365"/>
    <w:rsid w:val="007C79D6"/>
    <w:rsid w:val="007D0C78"/>
    <w:rsid w:val="007D149B"/>
    <w:rsid w:val="007D21F2"/>
    <w:rsid w:val="007D30FE"/>
    <w:rsid w:val="007D5E43"/>
    <w:rsid w:val="007D5FAB"/>
    <w:rsid w:val="007E1003"/>
    <w:rsid w:val="007E1104"/>
    <w:rsid w:val="007E17BA"/>
    <w:rsid w:val="007E20AF"/>
    <w:rsid w:val="007E2ACE"/>
    <w:rsid w:val="007E2C0B"/>
    <w:rsid w:val="007E3A0D"/>
    <w:rsid w:val="007F00C6"/>
    <w:rsid w:val="007F100E"/>
    <w:rsid w:val="007F1F23"/>
    <w:rsid w:val="007F30CB"/>
    <w:rsid w:val="007F5D69"/>
    <w:rsid w:val="007F6B11"/>
    <w:rsid w:val="007F7137"/>
    <w:rsid w:val="007F75E5"/>
    <w:rsid w:val="0080008C"/>
    <w:rsid w:val="00803606"/>
    <w:rsid w:val="00803A0D"/>
    <w:rsid w:val="008057FA"/>
    <w:rsid w:val="008058CD"/>
    <w:rsid w:val="00805FA4"/>
    <w:rsid w:val="00806B74"/>
    <w:rsid w:val="00806BC1"/>
    <w:rsid w:val="00806BDD"/>
    <w:rsid w:val="00806DAF"/>
    <w:rsid w:val="00811142"/>
    <w:rsid w:val="008127F5"/>
    <w:rsid w:val="00812A8D"/>
    <w:rsid w:val="00812EA2"/>
    <w:rsid w:val="00813A5C"/>
    <w:rsid w:val="00814195"/>
    <w:rsid w:val="00815134"/>
    <w:rsid w:val="0081544F"/>
    <w:rsid w:val="008157F7"/>
    <w:rsid w:val="0081650B"/>
    <w:rsid w:val="00820F0A"/>
    <w:rsid w:val="0082365D"/>
    <w:rsid w:val="00824A61"/>
    <w:rsid w:val="00824E7E"/>
    <w:rsid w:val="008257B5"/>
    <w:rsid w:val="00825DD8"/>
    <w:rsid w:val="008263A8"/>
    <w:rsid w:val="0082758A"/>
    <w:rsid w:val="00830B14"/>
    <w:rsid w:val="00831457"/>
    <w:rsid w:val="00833949"/>
    <w:rsid w:val="00833D92"/>
    <w:rsid w:val="00834490"/>
    <w:rsid w:val="0083551C"/>
    <w:rsid w:val="008366DF"/>
    <w:rsid w:val="00836F8F"/>
    <w:rsid w:val="00843BD1"/>
    <w:rsid w:val="00843E87"/>
    <w:rsid w:val="00846002"/>
    <w:rsid w:val="008520B2"/>
    <w:rsid w:val="0085242F"/>
    <w:rsid w:val="0085263F"/>
    <w:rsid w:val="008531AA"/>
    <w:rsid w:val="00853F74"/>
    <w:rsid w:val="00855D02"/>
    <w:rsid w:val="008568AF"/>
    <w:rsid w:val="008574B8"/>
    <w:rsid w:val="0085775E"/>
    <w:rsid w:val="00860748"/>
    <w:rsid w:val="00860D3F"/>
    <w:rsid w:val="008619A4"/>
    <w:rsid w:val="00861D10"/>
    <w:rsid w:val="00861FAD"/>
    <w:rsid w:val="0086283A"/>
    <w:rsid w:val="008633BA"/>
    <w:rsid w:val="00863773"/>
    <w:rsid w:val="00866957"/>
    <w:rsid w:val="00867B57"/>
    <w:rsid w:val="00867E31"/>
    <w:rsid w:val="00867F24"/>
    <w:rsid w:val="00870AAA"/>
    <w:rsid w:val="00873C77"/>
    <w:rsid w:val="008747D3"/>
    <w:rsid w:val="0088000B"/>
    <w:rsid w:val="008806FD"/>
    <w:rsid w:val="0088083D"/>
    <w:rsid w:val="00883996"/>
    <w:rsid w:val="00884044"/>
    <w:rsid w:val="00884A66"/>
    <w:rsid w:val="00884D10"/>
    <w:rsid w:val="00884F0C"/>
    <w:rsid w:val="008870C0"/>
    <w:rsid w:val="00892673"/>
    <w:rsid w:val="00893875"/>
    <w:rsid w:val="00894EED"/>
    <w:rsid w:val="00896984"/>
    <w:rsid w:val="008A1062"/>
    <w:rsid w:val="008A2456"/>
    <w:rsid w:val="008A270D"/>
    <w:rsid w:val="008A29A9"/>
    <w:rsid w:val="008A32E0"/>
    <w:rsid w:val="008A39DA"/>
    <w:rsid w:val="008A52A0"/>
    <w:rsid w:val="008A56D9"/>
    <w:rsid w:val="008A7084"/>
    <w:rsid w:val="008B0F0E"/>
    <w:rsid w:val="008B1C8D"/>
    <w:rsid w:val="008B2292"/>
    <w:rsid w:val="008B330D"/>
    <w:rsid w:val="008B3F71"/>
    <w:rsid w:val="008B42B6"/>
    <w:rsid w:val="008B6CDD"/>
    <w:rsid w:val="008B7199"/>
    <w:rsid w:val="008C0275"/>
    <w:rsid w:val="008C0304"/>
    <w:rsid w:val="008C0C2B"/>
    <w:rsid w:val="008C2F19"/>
    <w:rsid w:val="008C6CAE"/>
    <w:rsid w:val="008D1AA9"/>
    <w:rsid w:val="008D27B8"/>
    <w:rsid w:val="008D2D34"/>
    <w:rsid w:val="008D34C1"/>
    <w:rsid w:val="008D4534"/>
    <w:rsid w:val="008D563F"/>
    <w:rsid w:val="008D7A5D"/>
    <w:rsid w:val="008E325D"/>
    <w:rsid w:val="008E3E42"/>
    <w:rsid w:val="008E4BF9"/>
    <w:rsid w:val="008E6788"/>
    <w:rsid w:val="008E6CCC"/>
    <w:rsid w:val="008F030D"/>
    <w:rsid w:val="008F049E"/>
    <w:rsid w:val="008F05AF"/>
    <w:rsid w:val="008F0B2B"/>
    <w:rsid w:val="008F13FB"/>
    <w:rsid w:val="008F1ABB"/>
    <w:rsid w:val="008F1FE7"/>
    <w:rsid w:val="008F20AA"/>
    <w:rsid w:val="008F254B"/>
    <w:rsid w:val="008F30BF"/>
    <w:rsid w:val="008F4D09"/>
    <w:rsid w:val="008F61D9"/>
    <w:rsid w:val="008F61F6"/>
    <w:rsid w:val="008F7C67"/>
    <w:rsid w:val="008F7FBF"/>
    <w:rsid w:val="00900803"/>
    <w:rsid w:val="00901B1A"/>
    <w:rsid w:val="009021F7"/>
    <w:rsid w:val="00903594"/>
    <w:rsid w:val="00905A44"/>
    <w:rsid w:val="009075F3"/>
    <w:rsid w:val="00911EF7"/>
    <w:rsid w:val="0091281A"/>
    <w:rsid w:val="00914344"/>
    <w:rsid w:val="00914ABB"/>
    <w:rsid w:val="00917A28"/>
    <w:rsid w:val="00917A3B"/>
    <w:rsid w:val="00917C04"/>
    <w:rsid w:val="009221D6"/>
    <w:rsid w:val="00925EEA"/>
    <w:rsid w:val="00927818"/>
    <w:rsid w:val="0092797F"/>
    <w:rsid w:val="00931116"/>
    <w:rsid w:val="0093111A"/>
    <w:rsid w:val="00932814"/>
    <w:rsid w:val="00933967"/>
    <w:rsid w:val="009340A1"/>
    <w:rsid w:val="00935263"/>
    <w:rsid w:val="009364AD"/>
    <w:rsid w:val="009365D4"/>
    <w:rsid w:val="00937783"/>
    <w:rsid w:val="009436B2"/>
    <w:rsid w:val="00943C0B"/>
    <w:rsid w:val="0094517F"/>
    <w:rsid w:val="009462D7"/>
    <w:rsid w:val="009465A0"/>
    <w:rsid w:val="00946D0E"/>
    <w:rsid w:val="00947E40"/>
    <w:rsid w:val="009500C4"/>
    <w:rsid w:val="00950F53"/>
    <w:rsid w:val="00951372"/>
    <w:rsid w:val="009514D5"/>
    <w:rsid w:val="00951D1A"/>
    <w:rsid w:val="009522FB"/>
    <w:rsid w:val="0095309A"/>
    <w:rsid w:val="009536A2"/>
    <w:rsid w:val="00953FE3"/>
    <w:rsid w:val="009563DB"/>
    <w:rsid w:val="00956774"/>
    <w:rsid w:val="009577F4"/>
    <w:rsid w:val="00957CA5"/>
    <w:rsid w:val="0096070B"/>
    <w:rsid w:val="00962046"/>
    <w:rsid w:val="00962A73"/>
    <w:rsid w:val="00966E74"/>
    <w:rsid w:val="0097158C"/>
    <w:rsid w:val="009723EB"/>
    <w:rsid w:val="0097242F"/>
    <w:rsid w:val="00972960"/>
    <w:rsid w:val="00973216"/>
    <w:rsid w:val="009735DD"/>
    <w:rsid w:val="009736CC"/>
    <w:rsid w:val="009739D0"/>
    <w:rsid w:val="00973BBA"/>
    <w:rsid w:val="00973DE6"/>
    <w:rsid w:val="00973F49"/>
    <w:rsid w:val="00974525"/>
    <w:rsid w:val="009747A5"/>
    <w:rsid w:val="00974855"/>
    <w:rsid w:val="009762DA"/>
    <w:rsid w:val="009767A4"/>
    <w:rsid w:val="00983215"/>
    <w:rsid w:val="00983354"/>
    <w:rsid w:val="00983508"/>
    <w:rsid w:val="00983A39"/>
    <w:rsid w:val="00985E71"/>
    <w:rsid w:val="00986939"/>
    <w:rsid w:val="00986C53"/>
    <w:rsid w:val="00987485"/>
    <w:rsid w:val="00987522"/>
    <w:rsid w:val="0098759B"/>
    <w:rsid w:val="00992B53"/>
    <w:rsid w:val="00993D23"/>
    <w:rsid w:val="00994DBC"/>
    <w:rsid w:val="009957B8"/>
    <w:rsid w:val="00997214"/>
    <w:rsid w:val="0099734D"/>
    <w:rsid w:val="009975C4"/>
    <w:rsid w:val="009A0501"/>
    <w:rsid w:val="009A1841"/>
    <w:rsid w:val="009A25E3"/>
    <w:rsid w:val="009A460A"/>
    <w:rsid w:val="009A4D67"/>
    <w:rsid w:val="009A4FD8"/>
    <w:rsid w:val="009A52AC"/>
    <w:rsid w:val="009A6637"/>
    <w:rsid w:val="009A6EB9"/>
    <w:rsid w:val="009A71A5"/>
    <w:rsid w:val="009B118E"/>
    <w:rsid w:val="009B121F"/>
    <w:rsid w:val="009B1322"/>
    <w:rsid w:val="009B4C66"/>
    <w:rsid w:val="009B52AC"/>
    <w:rsid w:val="009B59B1"/>
    <w:rsid w:val="009B788B"/>
    <w:rsid w:val="009C068D"/>
    <w:rsid w:val="009C0A0E"/>
    <w:rsid w:val="009C1719"/>
    <w:rsid w:val="009C2601"/>
    <w:rsid w:val="009C2702"/>
    <w:rsid w:val="009C27AE"/>
    <w:rsid w:val="009C339C"/>
    <w:rsid w:val="009C4676"/>
    <w:rsid w:val="009C5907"/>
    <w:rsid w:val="009C6878"/>
    <w:rsid w:val="009C7494"/>
    <w:rsid w:val="009D0918"/>
    <w:rsid w:val="009D0E96"/>
    <w:rsid w:val="009D18F5"/>
    <w:rsid w:val="009D22F9"/>
    <w:rsid w:val="009D3149"/>
    <w:rsid w:val="009D3469"/>
    <w:rsid w:val="009D4BEE"/>
    <w:rsid w:val="009D4FC6"/>
    <w:rsid w:val="009D5FBE"/>
    <w:rsid w:val="009D7BD0"/>
    <w:rsid w:val="009E2511"/>
    <w:rsid w:val="009E37E4"/>
    <w:rsid w:val="009E4ADA"/>
    <w:rsid w:val="009E546C"/>
    <w:rsid w:val="009E626F"/>
    <w:rsid w:val="009E7064"/>
    <w:rsid w:val="009E7456"/>
    <w:rsid w:val="009F0583"/>
    <w:rsid w:val="009F0D89"/>
    <w:rsid w:val="009F195C"/>
    <w:rsid w:val="009F3D69"/>
    <w:rsid w:val="009F45F6"/>
    <w:rsid w:val="009F5111"/>
    <w:rsid w:val="009F6675"/>
    <w:rsid w:val="009F6B91"/>
    <w:rsid w:val="00A0444D"/>
    <w:rsid w:val="00A051AC"/>
    <w:rsid w:val="00A05A35"/>
    <w:rsid w:val="00A05CBA"/>
    <w:rsid w:val="00A06182"/>
    <w:rsid w:val="00A0640B"/>
    <w:rsid w:val="00A0643F"/>
    <w:rsid w:val="00A07C11"/>
    <w:rsid w:val="00A10201"/>
    <w:rsid w:val="00A11811"/>
    <w:rsid w:val="00A12AD5"/>
    <w:rsid w:val="00A1332F"/>
    <w:rsid w:val="00A13BE8"/>
    <w:rsid w:val="00A13E7C"/>
    <w:rsid w:val="00A148CF"/>
    <w:rsid w:val="00A1507F"/>
    <w:rsid w:val="00A162D0"/>
    <w:rsid w:val="00A16F79"/>
    <w:rsid w:val="00A176F6"/>
    <w:rsid w:val="00A17B53"/>
    <w:rsid w:val="00A2108C"/>
    <w:rsid w:val="00A2284A"/>
    <w:rsid w:val="00A22A92"/>
    <w:rsid w:val="00A2564A"/>
    <w:rsid w:val="00A26B44"/>
    <w:rsid w:val="00A3132F"/>
    <w:rsid w:val="00A3304D"/>
    <w:rsid w:val="00A37735"/>
    <w:rsid w:val="00A418D3"/>
    <w:rsid w:val="00A419DC"/>
    <w:rsid w:val="00A42084"/>
    <w:rsid w:val="00A42879"/>
    <w:rsid w:val="00A430E1"/>
    <w:rsid w:val="00A43F99"/>
    <w:rsid w:val="00A44E64"/>
    <w:rsid w:val="00A511DE"/>
    <w:rsid w:val="00A520A1"/>
    <w:rsid w:val="00A555A2"/>
    <w:rsid w:val="00A60772"/>
    <w:rsid w:val="00A60C12"/>
    <w:rsid w:val="00A6144A"/>
    <w:rsid w:val="00A622A3"/>
    <w:rsid w:val="00A646B2"/>
    <w:rsid w:val="00A65891"/>
    <w:rsid w:val="00A706AA"/>
    <w:rsid w:val="00A717C4"/>
    <w:rsid w:val="00A7297D"/>
    <w:rsid w:val="00A74246"/>
    <w:rsid w:val="00A76020"/>
    <w:rsid w:val="00A77AC2"/>
    <w:rsid w:val="00A80236"/>
    <w:rsid w:val="00A80C5D"/>
    <w:rsid w:val="00A80F29"/>
    <w:rsid w:val="00A81168"/>
    <w:rsid w:val="00A811D9"/>
    <w:rsid w:val="00A82ECD"/>
    <w:rsid w:val="00A87389"/>
    <w:rsid w:val="00A901AC"/>
    <w:rsid w:val="00A9076D"/>
    <w:rsid w:val="00A91EB8"/>
    <w:rsid w:val="00A9390E"/>
    <w:rsid w:val="00A93D5B"/>
    <w:rsid w:val="00A94E63"/>
    <w:rsid w:val="00AA0DE9"/>
    <w:rsid w:val="00AA1878"/>
    <w:rsid w:val="00AA189B"/>
    <w:rsid w:val="00AA29D1"/>
    <w:rsid w:val="00AA2AC2"/>
    <w:rsid w:val="00AA37A3"/>
    <w:rsid w:val="00AA383F"/>
    <w:rsid w:val="00AA4011"/>
    <w:rsid w:val="00AA560E"/>
    <w:rsid w:val="00AA60EF"/>
    <w:rsid w:val="00AA6776"/>
    <w:rsid w:val="00AA7F37"/>
    <w:rsid w:val="00AB25E8"/>
    <w:rsid w:val="00AB2A2F"/>
    <w:rsid w:val="00AB2C8D"/>
    <w:rsid w:val="00AB329F"/>
    <w:rsid w:val="00AB3A42"/>
    <w:rsid w:val="00AB416D"/>
    <w:rsid w:val="00AC15D0"/>
    <w:rsid w:val="00AC186A"/>
    <w:rsid w:val="00AC2B02"/>
    <w:rsid w:val="00AC3B37"/>
    <w:rsid w:val="00AC583F"/>
    <w:rsid w:val="00AC59DC"/>
    <w:rsid w:val="00AC7499"/>
    <w:rsid w:val="00AC7D52"/>
    <w:rsid w:val="00AD0904"/>
    <w:rsid w:val="00AD0F74"/>
    <w:rsid w:val="00AD11AB"/>
    <w:rsid w:val="00AD14F7"/>
    <w:rsid w:val="00AD3E04"/>
    <w:rsid w:val="00AD5483"/>
    <w:rsid w:val="00AE25D2"/>
    <w:rsid w:val="00AE2E0A"/>
    <w:rsid w:val="00AE3A1E"/>
    <w:rsid w:val="00AE3E12"/>
    <w:rsid w:val="00AE5D1A"/>
    <w:rsid w:val="00AE6C8A"/>
    <w:rsid w:val="00AE72A0"/>
    <w:rsid w:val="00AE77CE"/>
    <w:rsid w:val="00AF0B9A"/>
    <w:rsid w:val="00AF26DB"/>
    <w:rsid w:val="00AF2731"/>
    <w:rsid w:val="00AF3373"/>
    <w:rsid w:val="00AF33B4"/>
    <w:rsid w:val="00AF3DDB"/>
    <w:rsid w:val="00AF4A38"/>
    <w:rsid w:val="00AF71CF"/>
    <w:rsid w:val="00AF73EA"/>
    <w:rsid w:val="00B01792"/>
    <w:rsid w:val="00B06523"/>
    <w:rsid w:val="00B0759D"/>
    <w:rsid w:val="00B07739"/>
    <w:rsid w:val="00B07814"/>
    <w:rsid w:val="00B07AA0"/>
    <w:rsid w:val="00B11C41"/>
    <w:rsid w:val="00B12992"/>
    <w:rsid w:val="00B12DA3"/>
    <w:rsid w:val="00B12F1B"/>
    <w:rsid w:val="00B12FB0"/>
    <w:rsid w:val="00B1347F"/>
    <w:rsid w:val="00B134B5"/>
    <w:rsid w:val="00B143FC"/>
    <w:rsid w:val="00B150C7"/>
    <w:rsid w:val="00B150F2"/>
    <w:rsid w:val="00B15AF7"/>
    <w:rsid w:val="00B16AAD"/>
    <w:rsid w:val="00B16E30"/>
    <w:rsid w:val="00B16FEF"/>
    <w:rsid w:val="00B21E29"/>
    <w:rsid w:val="00B22D2E"/>
    <w:rsid w:val="00B22F31"/>
    <w:rsid w:val="00B246B8"/>
    <w:rsid w:val="00B2523B"/>
    <w:rsid w:val="00B26A99"/>
    <w:rsid w:val="00B27FFD"/>
    <w:rsid w:val="00B30489"/>
    <w:rsid w:val="00B30C19"/>
    <w:rsid w:val="00B312AD"/>
    <w:rsid w:val="00B34362"/>
    <w:rsid w:val="00B368A8"/>
    <w:rsid w:val="00B371B1"/>
    <w:rsid w:val="00B37BED"/>
    <w:rsid w:val="00B407D4"/>
    <w:rsid w:val="00B417AA"/>
    <w:rsid w:val="00B41EE1"/>
    <w:rsid w:val="00B4259A"/>
    <w:rsid w:val="00B426D7"/>
    <w:rsid w:val="00B4477C"/>
    <w:rsid w:val="00B44D85"/>
    <w:rsid w:val="00B451B6"/>
    <w:rsid w:val="00B4562B"/>
    <w:rsid w:val="00B50FCD"/>
    <w:rsid w:val="00B51B7F"/>
    <w:rsid w:val="00B5352E"/>
    <w:rsid w:val="00B53544"/>
    <w:rsid w:val="00B54EE9"/>
    <w:rsid w:val="00B54FC4"/>
    <w:rsid w:val="00B56798"/>
    <w:rsid w:val="00B572D6"/>
    <w:rsid w:val="00B60692"/>
    <w:rsid w:val="00B60F1D"/>
    <w:rsid w:val="00B60F58"/>
    <w:rsid w:val="00B61640"/>
    <w:rsid w:val="00B61B78"/>
    <w:rsid w:val="00B629E5"/>
    <w:rsid w:val="00B64CC4"/>
    <w:rsid w:val="00B66E5F"/>
    <w:rsid w:val="00B66F22"/>
    <w:rsid w:val="00B67783"/>
    <w:rsid w:val="00B67E6B"/>
    <w:rsid w:val="00B75DC1"/>
    <w:rsid w:val="00B770FB"/>
    <w:rsid w:val="00B808B8"/>
    <w:rsid w:val="00B80E2F"/>
    <w:rsid w:val="00B83057"/>
    <w:rsid w:val="00B831AA"/>
    <w:rsid w:val="00B83A3A"/>
    <w:rsid w:val="00B86254"/>
    <w:rsid w:val="00B862BA"/>
    <w:rsid w:val="00B86CAD"/>
    <w:rsid w:val="00B913A3"/>
    <w:rsid w:val="00B92DC0"/>
    <w:rsid w:val="00B938FA"/>
    <w:rsid w:val="00B93FD0"/>
    <w:rsid w:val="00B94A9D"/>
    <w:rsid w:val="00B97063"/>
    <w:rsid w:val="00BA0BE2"/>
    <w:rsid w:val="00BA0F3D"/>
    <w:rsid w:val="00BA5A1D"/>
    <w:rsid w:val="00BB22F8"/>
    <w:rsid w:val="00BB40CB"/>
    <w:rsid w:val="00BB4877"/>
    <w:rsid w:val="00BB4D92"/>
    <w:rsid w:val="00BB7690"/>
    <w:rsid w:val="00BB7B81"/>
    <w:rsid w:val="00BC1668"/>
    <w:rsid w:val="00BC392E"/>
    <w:rsid w:val="00BC458B"/>
    <w:rsid w:val="00BC4FAF"/>
    <w:rsid w:val="00BC5161"/>
    <w:rsid w:val="00BC6BC1"/>
    <w:rsid w:val="00BC74D2"/>
    <w:rsid w:val="00BD2C2D"/>
    <w:rsid w:val="00BD3814"/>
    <w:rsid w:val="00BD45D2"/>
    <w:rsid w:val="00BD7B56"/>
    <w:rsid w:val="00BE07F5"/>
    <w:rsid w:val="00BE0A06"/>
    <w:rsid w:val="00BE1C59"/>
    <w:rsid w:val="00BE1C84"/>
    <w:rsid w:val="00BE3A65"/>
    <w:rsid w:val="00BE415B"/>
    <w:rsid w:val="00BE4F3A"/>
    <w:rsid w:val="00BE5D04"/>
    <w:rsid w:val="00BE64B4"/>
    <w:rsid w:val="00BF01ED"/>
    <w:rsid w:val="00BF037B"/>
    <w:rsid w:val="00BF0D9E"/>
    <w:rsid w:val="00BF16ED"/>
    <w:rsid w:val="00BF252D"/>
    <w:rsid w:val="00BF4AA6"/>
    <w:rsid w:val="00BF4E3A"/>
    <w:rsid w:val="00BF658E"/>
    <w:rsid w:val="00BF6CBE"/>
    <w:rsid w:val="00C001FD"/>
    <w:rsid w:val="00C0051B"/>
    <w:rsid w:val="00C0086E"/>
    <w:rsid w:val="00C03F2B"/>
    <w:rsid w:val="00C04218"/>
    <w:rsid w:val="00C046D7"/>
    <w:rsid w:val="00C063BA"/>
    <w:rsid w:val="00C070DC"/>
    <w:rsid w:val="00C074BD"/>
    <w:rsid w:val="00C077F5"/>
    <w:rsid w:val="00C10856"/>
    <w:rsid w:val="00C20B2E"/>
    <w:rsid w:val="00C20D1C"/>
    <w:rsid w:val="00C21D1E"/>
    <w:rsid w:val="00C22546"/>
    <w:rsid w:val="00C2644D"/>
    <w:rsid w:val="00C30168"/>
    <w:rsid w:val="00C317B1"/>
    <w:rsid w:val="00C31D8F"/>
    <w:rsid w:val="00C32104"/>
    <w:rsid w:val="00C321CD"/>
    <w:rsid w:val="00C32453"/>
    <w:rsid w:val="00C32815"/>
    <w:rsid w:val="00C35729"/>
    <w:rsid w:val="00C35C2B"/>
    <w:rsid w:val="00C37A6E"/>
    <w:rsid w:val="00C40B4B"/>
    <w:rsid w:val="00C41A00"/>
    <w:rsid w:val="00C41E62"/>
    <w:rsid w:val="00C42371"/>
    <w:rsid w:val="00C424DA"/>
    <w:rsid w:val="00C435AD"/>
    <w:rsid w:val="00C449AB"/>
    <w:rsid w:val="00C45A86"/>
    <w:rsid w:val="00C477BF"/>
    <w:rsid w:val="00C50D40"/>
    <w:rsid w:val="00C551F7"/>
    <w:rsid w:val="00C56FF8"/>
    <w:rsid w:val="00C57EC8"/>
    <w:rsid w:val="00C61CCD"/>
    <w:rsid w:val="00C620B2"/>
    <w:rsid w:val="00C6486A"/>
    <w:rsid w:val="00C65389"/>
    <w:rsid w:val="00C656E0"/>
    <w:rsid w:val="00C66917"/>
    <w:rsid w:val="00C66A2C"/>
    <w:rsid w:val="00C6769C"/>
    <w:rsid w:val="00C67B63"/>
    <w:rsid w:val="00C70382"/>
    <w:rsid w:val="00C71634"/>
    <w:rsid w:val="00C71838"/>
    <w:rsid w:val="00C7412C"/>
    <w:rsid w:val="00C74E04"/>
    <w:rsid w:val="00C77852"/>
    <w:rsid w:val="00C80060"/>
    <w:rsid w:val="00C82123"/>
    <w:rsid w:val="00C821EC"/>
    <w:rsid w:val="00C82882"/>
    <w:rsid w:val="00C9052D"/>
    <w:rsid w:val="00C92D2C"/>
    <w:rsid w:val="00C93AB0"/>
    <w:rsid w:val="00C947BF"/>
    <w:rsid w:val="00C948BE"/>
    <w:rsid w:val="00C95995"/>
    <w:rsid w:val="00C95FE3"/>
    <w:rsid w:val="00C96D00"/>
    <w:rsid w:val="00C97DAC"/>
    <w:rsid w:val="00CA0FA4"/>
    <w:rsid w:val="00CA1592"/>
    <w:rsid w:val="00CA3ECA"/>
    <w:rsid w:val="00CA624A"/>
    <w:rsid w:val="00CA675C"/>
    <w:rsid w:val="00CB0440"/>
    <w:rsid w:val="00CB0EEA"/>
    <w:rsid w:val="00CB1124"/>
    <w:rsid w:val="00CB251B"/>
    <w:rsid w:val="00CB2A29"/>
    <w:rsid w:val="00CB502A"/>
    <w:rsid w:val="00CB6141"/>
    <w:rsid w:val="00CB66BD"/>
    <w:rsid w:val="00CB7A4B"/>
    <w:rsid w:val="00CC08FB"/>
    <w:rsid w:val="00CC0C77"/>
    <w:rsid w:val="00CC14D1"/>
    <w:rsid w:val="00CC3ED8"/>
    <w:rsid w:val="00CC459A"/>
    <w:rsid w:val="00CC47D8"/>
    <w:rsid w:val="00CC4EC6"/>
    <w:rsid w:val="00CC7DD3"/>
    <w:rsid w:val="00CD0791"/>
    <w:rsid w:val="00CD2038"/>
    <w:rsid w:val="00CD242A"/>
    <w:rsid w:val="00CD2DA8"/>
    <w:rsid w:val="00CD4FA3"/>
    <w:rsid w:val="00CD7BA8"/>
    <w:rsid w:val="00CE0138"/>
    <w:rsid w:val="00CE1C8B"/>
    <w:rsid w:val="00CE2EDC"/>
    <w:rsid w:val="00CE2F91"/>
    <w:rsid w:val="00CE4DDB"/>
    <w:rsid w:val="00CF0A31"/>
    <w:rsid w:val="00CF127B"/>
    <w:rsid w:val="00CF1CB8"/>
    <w:rsid w:val="00CF3569"/>
    <w:rsid w:val="00CF4A47"/>
    <w:rsid w:val="00CF6501"/>
    <w:rsid w:val="00CF790F"/>
    <w:rsid w:val="00CF7D3E"/>
    <w:rsid w:val="00D01828"/>
    <w:rsid w:val="00D0187F"/>
    <w:rsid w:val="00D01D20"/>
    <w:rsid w:val="00D03E84"/>
    <w:rsid w:val="00D05842"/>
    <w:rsid w:val="00D06C9A"/>
    <w:rsid w:val="00D06E87"/>
    <w:rsid w:val="00D13ECB"/>
    <w:rsid w:val="00D143A5"/>
    <w:rsid w:val="00D14494"/>
    <w:rsid w:val="00D14D4E"/>
    <w:rsid w:val="00D157FA"/>
    <w:rsid w:val="00D167C5"/>
    <w:rsid w:val="00D1756A"/>
    <w:rsid w:val="00D206F9"/>
    <w:rsid w:val="00D21AB9"/>
    <w:rsid w:val="00D21C22"/>
    <w:rsid w:val="00D24172"/>
    <w:rsid w:val="00D24B09"/>
    <w:rsid w:val="00D26295"/>
    <w:rsid w:val="00D265DF"/>
    <w:rsid w:val="00D274AD"/>
    <w:rsid w:val="00D30C94"/>
    <w:rsid w:val="00D313BF"/>
    <w:rsid w:val="00D321C2"/>
    <w:rsid w:val="00D32B97"/>
    <w:rsid w:val="00D335B1"/>
    <w:rsid w:val="00D34341"/>
    <w:rsid w:val="00D345B8"/>
    <w:rsid w:val="00D3518B"/>
    <w:rsid w:val="00D35A31"/>
    <w:rsid w:val="00D36A26"/>
    <w:rsid w:val="00D36BF1"/>
    <w:rsid w:val="00D37C4F"/>
    <w:rsid w:val="00D40328"/>
    <w:rsid w:val="00D40E3A"/>
    <w:rsid w:val="00D41652"/>
    <w:rsid w:val="00D41EB8"/>
    <w:rsid w:val="00D42E79"/>
    <w:rsid w:val="00D42E9F"/>
    <w:rsid w:val="00D43AC1"/>
    <w:rsid w:val="00D43E76"/>
    <w:rsid w:val="00D4414C"/>
    <w:rsid w:val="00D44F23"/>
    <w:rsid w:val="00D45DED"/>
    <w:rsid w:val="00D47768"/>
    <w:rsid w:val="00D47C1F"/>
    <w:rsid w:val="00D50495"/>
    <w:rsid w:val="00D51D10"/>
    <w:rsid w:val="00D53B9F"/>
    <w:rsid w:val="00D56844"/>
    <w:rsid w:val="00D5737E"/>
    <w:rsid w:val="00D6002A"/>
    <w:rsid w:val="00D61983"/>
    <w:rsid w:val="00D6224B"/>
    <w:rsid w:val="00D6318D"/>
    <w:rsid w:val="00D66A8C"/>
    <w:rsid w:val="00D67BF5"/>
    <w:rsid w:val="00D67F50"/>
    <w:rsid w:val="00D71387"/>
    <w:rsid w:val="00D714D4"/>
    <w:rsid w:val="00D73224"/>
    <w:rsid w:val="00D747E6"/>
    <w:rsid w:val="00D75C35"/>
    <w:rsid w:val="00D75C78"/>
    <w:rsid w:val="00D778A5"/>
    <w:rsid w:val="00D803BE"/>
    <w:rsid w:val="00D80923"/>
    <w:rsid w:val="00D812AC"/>
    <w:rsid w:val="00D829CB"/>
    <w:rsid w:val="00D82F21"/>
    <w:rsid w:val="00D837EE"/>
    <w:rsid w:val="00D8388E"/>
    <w:rsid w:val="00D83DE1"/>
    <w:rsid w:val="00D84489"/>
    <w:rsid w:val="00D857A1"/>
    <w:rsid w:val="00D86095"/>
    <w:rsid w:val="00D86C72"/>
    <w:rsid w:val="00D90FD7"/>
    <w:rsid w:val="00D9398D"/>
    <w:rsid w:val="00D951A2"/>
    <w:rsid w:val="00D95E0C"/>
    <w:rsid w:val="00DA3BC8"/>
    <w:rsid w:val="00DA4759"/>
    <w:rsid w:val="00DA5325"/>
    <w:rsid w:val="00DA685D"/>
    <w:rsid w:val="00DA77F2"/>
    <w:rsid w:val="00DB1474"/>
    <w:rsid w:val="00DB2673"/>
    <w:rsid w:val="00DB4767"/>
    <w:rsid w:val="00DB6127"/>
    <w:rsid w:val="00DB662F"/>
    <w:rsid w:val="00DB6782"/>
    <w:rsid w:val="00DB7AFE"/>
    <w:rsid w:val="00DC24FC"/>
    <w:rsid w:val="00DC4D48"/>
    <w:rsid w:val="00DC5165"/>
    <w:rsid w:val="00DC559C"/>
    <w:rsid w:val="00DC5941"/>
    <w:rsid w:val="00DD4374"/>
    <w:rsid w:val="00DD5C93"/>
    <w:rsid w:val="00DE0482"/>
    <w:rsid w:val="00DE48FD"/>
    <w:rsid w:val="00DE714F"/>
    <w:rsid w:val="00DE77B6"/>
    <w:rsid w:val="00DE78AD"/>
    <w:rsid w:val="00DF0398"/>
    <w:rsid w:val="00DF0660"/>
    <w:rsid w:val="00DF0C9F"/>
    <w:rsid w:val="00DF19FD"/>
    <w:rsid w:val="00DF2AED"/>
    <w:rsid w:val="00DF2CA2"/>
    <w:rsid w:val="00DF4F49"/>
    <w:rsid w:val="00DF5B91"/>
    <w:rsid w:val="00DF5EDE"/>
    <w:rsid w:val="00DF6D08"/>
    <w:rsid w:val="00E00CAD"/>
    <w:rsid w:val="00E02AAC"/>
    <w:rsid w:val="00E02E4E"/>
    <w:rsid w:val="00E0660E"/>
    <w:rsid w:val="00E06972"/>
    <w:rsid w:val="00E0702D"/>
    <w:rsid w:val="00E07DD6"/>
    <w:rsid w:val="00E10F0B"/>
    <w:rsid w:val="00E13835"/>
    <w:rsid w:val="00E1483D"/>
    <w:rsid w:val="00E14F75"/>
    <w:rsid w:val="00E15492"/>
    <w:rsid w:val="00E1567C"/>
    <w:rsid w:val="00E15988"/>
    <w:rsid w:val="00E17BBB"/>
    <w:rsid w:val="00E20353"/>
    <w:rsid w:val="00E22580"/>
    <w:rsid w:val="00E22EEB"/>
    <w:rsid w:val="00E23051"/>
    <w:rsid w:val="00E230FC"/>
    <w:rsid w:val="00E25265"/>
    <w:rsid w:val="00E25AA2"/>
    <w:rsid w:val="00E25FCE"/>
    <w:rsid w:val="00E2621D"/>
    <w:rsid w:val="00E26242"/>
    <w:rsid w:val="00E26305"/>
    <w:rsid w:val="00E271A5"/>
    <w:rsid w:val="00E30110"/>
    <w:rsid w:val="00E32BA1"/>
    <w:rsid w:val="00E35151"/>
    <w:rsid w:val="00E41364"/>
    <w:rsid w:val="00E415BE"/>
    <w:rsid w:val="00E41D06"/>
    <w:rsid w:val="00E42EB6"/>
    <w:rsid w:val="00E44A86"/>
    <w:rsid w:val="00E44B36"/>
    <w:rsid w:val="00E459C3"/>
    <w:rsid w:val="00E4657C"/>
    <w:rsid w:val="00E46CB8"/>
    <w:rsid w:val="00E474D8"/>
    <w:rsid w:val="00E47D4E"/>
    <w:rsid w:val="00E50EB0"/>
    <w:rsid w:val="00E519EB"/>
    <w:rsid w:val="00E52011"/>
    <w:rsid w:val="00E52EB9"/>
    <w:rsid w:val="00E542A0"/>
    <w:rsid w:val="00E553F3"/>
    <w:rsid w:val="00E55850"/>
    <w:rsid w:val="00E55B8E"/>
    <w:rsid w:val="00E56338"/>
    <w:rsid w:val="00E56895"/>
    <w:rsid w:val="00E60034"/>
    <w:rsid w:val="00E62465"/>
    <w:rsid w:val="00E62537"/>
    <w:rsid w:val="00E62ECE"/>
    <w:rsid w:val="00E63625"/>
    <w:rsid w:val="00E63721"/>
    <w:rsid w:val="00E64388"/>
    <w:rsid w:val="00E64476"/>
    <w:rsid w:val="00E6489F"/>
    <w:rsid w:val="00E64E73"/>
    <w:rsid w:val="00E671D0"/>
    <w:rsid w:val="00E70359"/>
    <w:rsid w:val="00E70B13"/>
    <w:rsid w:val="00E737D7"/>
    <w:rsid w:val="00E73869"/>
    <w:rsid w:val="00E75931"/>
    <w:rsid w:val="00E77360"/>
    <w:rsid w:val="00E77F58"/>
    <w:rsid w:val="00E809A1"/>
    <w:rsid w:val="00E809F8"/>
    <w:rsid w:val="00E82CDF"/>
    <w:rsid w:val="00E82E32"/>
    <w:rsid w:val="00E82FBC"/>
    <w:rsid w:val="00E843ED"/>
    <w:rsid w:val="00E84752"/>
    <w:rsid w:val="00E84A95"/>
    <w:rsid w:val="00E87E24"/>
    <w:rsid w:val="00E92527"/>
    <w:rsid w:val="00E9323F"/>
    <w:rsid w:val="00E93858"/>
    <w:rsid w:val="00E93CBC"/>
    <w:rsid w:val="00E93D3E"/>
    <w:rsid w:val="00E95391"/>
    <w:rsid w:val="00E96135"/>
    <w:rsid w:val="00E970C9"/>
    <w:rsid w:val="00E97366"/>
    <w:rsid w:val="00E976AE"/>
    <w:rsid w:val="00EA091F"/>
    <w:rsid w:val="00EA1F11"/>
    <w:rsid w:val="00EA38F7"/>
    <w:rsid w:val="00EA3DC7"/>
    <w:rsid w:val="00EA4664"/>
    <w:rsid w:val="00EA7EE7"/>
    <w:rsid w:val="00EB0A07"/>
    <w:rsid w:val="00EB0D05"/>
    <w:rsid w:val="00EB125B"/>
    <w:rsid w:val="00EB2260"/>
    <w:rsid w:val="00EB331F"/>
    <w:rsid w:val="00EB3C76"/>
    <w:rsid w:val="00EB51AA"/>
    <w:rsid w:val="00EB536C"/>
    <w:rsid w:val="00EB5DA0"/>
    <w:rsid w:val="00EC1D82"/>
    <w:rsid w:val="00EC2155"/>
    <w:rsid w:val="00EC283D"/>
    <w:rsid w:val="00EC2B2C"/>
    <w:rsid w:val="00EC2CC1"/>
    <w:rsid w:val="00EC300F"/>
    <w:rsid w:val="00EC4C8C"/>
    <w:rsid w:val="00EC52D7"/>
    <w:rsid w:val="00EC5E76"/>
    <w:rsid w:val="00EC720A"/>
    <w:rsid w:val="00EC744F"/>
    <w:rsid w:val="00EC7C7C"/>
    <w:rsid w:val="00ED0AF4"/>
    <w:rsid w:val="00ED1142"/>
    <w:rsid w:val="00ED157E"/>
    <w:rsid w:val="00ED3214"/>
    <w:rsid w:val="00ED3DF1"/>
    <w:rsid w:val="00ED48C8"/>
    <w:rsid w:val="00ED4C10"/>
    <w:rsid w:val="00ED4D1B"/>
    <w:rsid w:val="00ED7596"/>
    <w:rsid w:val="00EE0212"/>
    <w:rsid w:val="00EE133D"/>
    <w:rsid w:val="00EE2F42"/>
    <w:rsid w:val="00EE50C9"/>
    <w:rsid w:val="00EF0DBA"/>
    <w:rsid w:val="00EF199E"/>
    <w:rsid w:val="00EF2200"/>
    <w:rsid w:val="00EF2BAC"/>
    <w:rsid w:val="00EF2C60"/>
    <w:rsid w:val="00EF2F4C"/>
    <w:rsid w:val="00EF31E9"/>
    <w:rsid w:val="00EF4380"/>
    <w:rsid w:val="00EF58BF"/>
    <w:rsid w:val="00EF5CC6"/>
    <w:rsid w:val="00EF73BF"/>
    <w:rsid w:val="00EF7CFC"/>
    <w:rsid w:val="00F00101"/>
    <w:rsid w:val="00F01462"/>
    <w:rsid w:val="00F0376A"/>
    <w:rsid w:val="00F0442F"/>
    <w:rsid w:val="00F051C6"/>
    <w:rsid w:val="00F05393"/>
    <w:rsid w:val="00F05FBC"/>
    <w:rsid w:val="00F06780"/>
    <w:rsid w:val="00F06D4C"/>
    <w:rsid w:val="00F10DD8"/>
    <w:rsid w:val="00F1572D"/>
    <w:rsid w:val="00F17083"/>
    <w:rsid w:val="00F177A4"/>
    <w:rsid w:val="00F17BF9"/>
    <w:rsid w:val="00F20FD0"/>
    <w:rsid w:val="00F22FC5"/>
    <w:rsid w:val="00F238B1"/>
    <w:rsid w:val="00F24C18"/>
    <w:rsid w:val="00F25649"/>
    <w:rsid w:val="00F3010D"/>
    <w:rsid w:val="00F30CB6"/>
    <w:rsid w:val="00F32CDB"/>
    <w:rsid w:val="00F34D0F"/>
    <w:rsid w:val="00F3566C"/>
    <w:rsid w:val="00F35E7C"/>
    <w:rsid w:val="00F373B2"/>
    <w:rsid w:val="00F3741E"/>
    <w:rsid w:val="00F374AD"/>
    <w:rsid w:val="00F41113"/>
    <w:rsid w:val="00F4183E"/>
    <w:rsid w:val="00F4250B"/>
    <w:rsid w:val="00F42602"/>
    <w:rsid w:val="00F429F1"/>
    <w:rsid w:val="00F435A2"/>
    <w:rsid w:val="00F4578F"/>
    <w:rsid w:val="00F45B98"/>
    <w:rsid w:val="00F45BC5"/>
    <w:rsid w:val="00F45EEC"/>
    <w:rsid w:val="00F46D85"/>
    <w:rsid w:val="00F474D6"/>
    <w:rsid w:val="00F47D18"/>
    <w:rsid w:val="00F50C67"/>
    <w:rsid w:val="00F5225C"/>
    <w:rsid w:val="00F52809"/>
    <w:rsid w:val="00F52A25"/>
    <w:rsid w:val="00F5327A"/>
    <w:rsid w:val="00F55E3A"/>
    <w:rsid w:val="00F55EAD"/>
    <w:rsid w:val="00F567E8"/>
    <w:rsid w:val="00F611AC"/>
    <w:rsid w:val="00F61837"/>
    <w:rsid w:val="00F626F4"/>
    <w:rsid w:val="00F6275C"/>
    <w:rsid w:val="00F65742"/>
    <w:rsid w:val="00F65A8B"/>
    <w:rsid w:val="00F67426"/>
    <w:rsid w:val="00F70D0D"/>
    <w:rsid w:val="00F714AC"/>
    <w:rsid w:val="00F71597"/>
    <w:rsid w:val="00F71966"/>
    <w:rsid w:val="00F71CA6"/>
    <w:rsid w:val="00F71F32"/>
    <w:rsid w:val="00F74085"/>
    <w:rsid w:val="00F74B1E"/>
    <w:rsid w:val="00F750B8"/>
    <w:rsid w:val="00F7520B"/>
    <w:rsid w:val="00F752A6"/>
    <w:rsid w:val="00F75F58"/>
    <w:rsid w:val="00F7647D"/>
    <w:rsid w:val="00F7681D"/>
    <w:rsid w:val="00F77BC8"/>
    <w:rsid w:val="00F82AE6"/>
    <w:rsid w:val="00F83B8C"/>
    <w:rsid w:val="00F83C0A"/>
    <w:rsid w:val="00F83C29"/>
    <w:rsid w:val="00F86676"/>
    <w:rsid w:val="00F86C48"/>
    <w:rsid w:val="00F90241"/>
    <w:rsid w:val="00F90C84"/>
    <w:rsid w:val="00F94357"/>
    <w:rsid w:val="00F95372"/>
    <w:rsid w:val="00F95505"/>
    <w:rsid w:val="00F95E4E"/>
    <w:rsid w:val="00F95E50"/>
    <w:rsid w:val="00F97642"/>
    <w:rsid w:val="00FA021F"/>
    <w:rsid w:val="00FA0536"/>
    <w:rsid w:val="00FA1FA4"/>
    <w:rsid w:val="00FA261B"/>
    <w:rsid w:val="00FA3BB5"/>
    <w:rsid w:val="00FA5931"/>
    <w:rsid w:val="00FA69F6"/>
    <w:rsid w:val="00FB26D4"/>
    <w:rsid w:val="00FB4C4B"/>
    <w:rsid w:val="00FB57A5"/>
    <w:rsid w:val="00FB5C96"/>
    <w:rsid w:val="00FB68D6"/>
    <w:rsid w:val="00FB730A"/>
    <w:rsid w:val="00FC27BF"/>
    <w:rsid w:val="00FC27C0"/>
    <w:rsid w:val="00FC34F9"/>
    <w:rsid w:val="00FC7CFC"/>
    <w:rsid w:val="00FD1A5A"/>
    <w:rsid w:val="00FD21A7"/>
    <w:rsid w:val="00FD22EC"/>
    <w:rsid w:val="00FD466D"/>
    <w:rsid w:val="00FD6D48"/>
    <w:rsid w:val="00FD7CE2"/>
    <w:rsid w:val="00FE0452"/>
    <w:rsid w:val="00FE088B"/>
    <w:rsid w:val="00FE1407"/>
    <w:rsid w:val="00FE17F3"/>
    <w:rsid w:val="00FE1A96"/>
    <w:rsid w:val="00FE1DEA"/>
    <w:rsid w:val="00FE30D6"/>
    <w:rsid w:val="00FE3546"/>
    <w:rsid w:val="00FE4DC9"/>
    <w:rsid w:val="00FE4EBA"/>
    <w:rsid w:val="00FE5CC1"/>
    <w:rsid w:val="00FE75FD"/>
    <w:rsid w:val="00FF1124"/>
    <w:rsid w:val="00FF1535"/>
    <w:rsid w:val="00FF35A5"/>
    <w:rsid w:val="00FF3D29"/>
    <w:rsid w:val="00FF4696"/>
    <w:rsid w:val="00FF50CC"/>
    <w:rsid w:val="00FF58C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3DCC7"/>
  <w15:docId w15:val="{564247E8-B657-4023-944D-B1E11CB1E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157FB"/>
    <w:rPr>
      <w:sz w:val="22"/>
      <w:szCs w:val="22"/>
      <w:lang w:val="el-GR"/>
    </w:rPr>
  </w:style>
  <w:style w:type="paragraph" w:styleId="Heading1">
    <w:name w:val="heading 1"/>
    <w:basedOn w:val="Normal"/>
    <w:next w:val="Normal"/>
    <w:link w:val="Heading1Char"/>
    <w:uiPriority w:val="9"/>
    <w:qFormat/>
    <w:rsid w:val="00C310B7"/>
    <w:pPr>
      <w:keepNext/>
      <w:spacing w:before="240" w:after="60"/>
      <w:outlineLvl w:val="0"/>
    </w:pPr>
    <w:rPr>
      <w:rFonts w:eastAsia="Times New Roman"/>
      <w:b/>
      <w:bCs/>
      <w:color w:val="000000"/>
      <w:kern w:val="32"/>
      <w:sz w:val="28"/>
      <w:szCs w:val="32"/>
      <w:lang w:val="en-US"/>
    </w:rPr>
  </w:style>
  <w:style w:type="paragraph" w:styleId="Heading2">
    <w:name w:val="heading 2"/>
    <w:basedOn w:val="Normal"/>
    <w:next w:val="Normal"/>
    <w:link w:val="Heading2Char"/>
    <w:uiPriority w:val="9"/>
    <w:unhideWhenUsed/>
    <w:qFormat/>
    <w:rsid w:val="00805F9E"/>
    <w:pPr>
      <w:keepNext/>
      <w:outlineLvl w:val="1"/>
    </w:pPr>
    <w:rPr>
      <w:rFonts w:eastAsia="Times New Roman"/>
      <w:b/>
      <w:bCs/>
      <w:i/>
      <w:iCs/>
      <w:color w:val="000000"/>
      <w:sz w:val="24"/>
      <w:szCs w:val="28"/>
      <w:lang w:val="en-US"/>
    </w:rPr>
  </w:style>
  <w:style w:type="paragraph" w:styleId="Heading3">
    <w:name w:val="heading 3"/>
    <w:basedOn w:val="Normal"/>
    <w:next w:val="Normal"/>
    <w:link w:val="Heading3Char"/>
    <w:uiPriority w:val="9"/>
    <w:unhideWhenUsed/>
    <w:qFormat/>
    <w:rsid w:val="00F00101"/>
    <w:pPr>
      <w:keepNext/>
      <w:jc w:val="both"/>
      <w:outlineLvl w:val="2"/>
    </w:pPr>
    <w:rPr>
      <w:rFonts w:ascii="Arial" w:eastAsia="Times New Roman" w:hAnsi="Arial"/>
      <w:b/>
      <w:bCs/>
      <w:i/>
      <w:szCs w:val="26"/>
    </w:rPr>
  </w:style>
  <w:style w:type="paragraph" w:styleId="Heading4">
    <w:name w:val="heading 4"/>
    <w:basedOn w:val="Normal"/>
    <w:next w:val="Normal"/>
    <w:link w:val="Heading4Char"/>
    <w:uiPriority w:val="9"/>
    <w:unhideWhenUsed/>
    <w:qFormat/>
    <w:rsid w:val="00A05C6F"/>
    <w:pPr>
      <w:keepNext/>
      <w:jc w:val="both"/>
      <w:outlineLvl w:val="3"/>
    </w:pPr>
    <w:rPr>
      <w:rFonts w:eastAsia="Times New Roman"/>
      <w:b/>
      <w:bCs/>
      <w:i/>
      <w:szCs w:val="28"/>
    </w:rPr>
  </w:style>
  <w:style w:type="paragraph" w:styleId="Heading5">
    <w:name w:val="heading 5"/>
    <w:basedOn w:val="Normal"/>
    <w:next w:val="Normal"/>
    <w:link w:val="Heading5Char"/>
    <w:uiPriority w:val="9"/>
    <w:semiHidden/>
    <w:unhideWhenUsed/>
    <w:qFormat/>
    <w:rsid w:val="007C79D6"/>
    <w:pPr>
      <w:spacing w:before="240" w:after="60"/>
      <w:outlineLvl w:val="4"/>
    </w:pPr>
    <w:rPr>
      <w:rFonts w:eastAsia="Times New Roman"/>
      <w:b/>
      <w:bCs/>
      <w:i/>
      <w:iCs/>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CDMRange1">
    <w:name w:val="CDM Range 1"/>
    <w:basedOn w:val="TableNormal"/>
    <w:next w:val="TableNormal"/>
    <w:uiPriority w:val="99"/>
    <w:semiHidden/>
    <w:unhideWhenUsed/>
    <w:tblPr/>
  </w:style>
  <w:style w:type="table" w:customStyle="1" w:styleId="CDMRange2">
    <w:name w:val="CDM Range 2"/>
    <w:basedOn w:val="TableNormal"/>
    <w:next w:val="TableNormal"/>
    <w:uiPriority w:val="99"/>
    <w:semiHidden/>
    <w:unhideWhenUsed/>
    <w:tblPr/>
  </w:style>
  <w:style w:type="character" w:styleId="Hyperlink">
    <w:name w:val="Hyperlink"/>
    <w:basedOn w:val="DefaultParagraphFont"/>
    <w:uiPriority w:val="99"/>
    <w:unhideWhenUsed/>
    <w:rsid w:val="007D0C78"/>
    <w:rPr>
      <w:color w:val="0000FF" w:themeColor="hyperlink"/>
      <w:u w:val="single"/>
    </w:rPr>
  </w:style>
  <w:style w:type="table" w:styleId="TableGrid">
    <w:name w:val="Table Grid"/>
    <w:basedOn w:val="TableNormal"/>
    <w:uiPriority w:val="59"/>
    <w:rsid w:val="00B12F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rsid w:val="006B5B54"/>
    <w:pPr>
      <w:spacing w:after="200" w:line="276" w:lineRule="auto"/>
    </w:pPr>
    <w:rPr>
      <w:rFonts w:ascii="Times New Roman" w:eastAsia="Times New Roman" w:hAnsi="Times New Roman"/>
      <w:sz w:val="22"/>
      <w:szCs w:val="22"/>
    </w:rPr>
  </w:style>
  <w:style w:type="paragraph" w:styleId="Title">
    <w:name w:val="Title"/>
    <w:basedOn w:val="Normal0"/>
    <w:next w:val="Normal0"/>
    <w:link w:val="TitleChar"/>
    <w:uiPriority w:val="10"/>
    <w:qFormat/>
    <w:rsid w:val="006B5B54"/>
    <w:pPr>
      <w:spacing w:before="240" w:after="60"/>
      <w:jc w:val="center"/>
      <w:outlineLvl w:val="0"/>
    </w:pPr>
    <w:rPr>
      <w:b/>
      <w:bCs/>
      <w:kern w:val="28"/>
      <w:szCs w:val="32"/>
    </w:rPr>
  </w:style>
  <w:style w:type="character" w:customStyle="1" w:styleId="TitleChar">
    <w:name w:val="Title Char"/>
    <w:link w:val="Title"/>
    <w:uiPriority w:val="10"/>
    <w:rsid w:val="006B5B54"/>
    <w:rPr>
      <w:rFonts w:ascii="Times New Roman" w:eastAsia="Times New Roman" w:hAnsi="Times New Roman"/>
      <w:b/>
      <w:bCs/>
      <w:kern w:val="28"/>
      <w:sz w:val="22"/>
      <w:szCs w:val="32"/>
    </w:rPr>
  </w:style>
  <w:style w:type="paragraph" w:styleId="ListParagraph">
    <w:name w:val="List Paragraph"/>
    <w:basedOn w:val="Normal"/>
    <w:uiPriority w:val="34"/>
    <w:qFormat/>
    <w:rsid w:val="005B4A7F"/>
    <w:pPr>
      <w:ind w:left="720"/>
      <w:contextualSpacing/>
    </w:pPr>
  </w:style>
  <w:style w:type="character" w:customStyle="1" w:styleId="Heading1Char">
    <w:name w:val="Heading 1 Char"/>
    <w:basedOn w:val="DefaultParagraphFont"/>
    <w:link w:val="Heading1"/>
    <w:uiPriority w:val="9"/>
    <w:rsid w:val="00C310B7"/>
    <w:rPr>
      <w:rFonts w:eastAsia="Times New Roman"/>
      <w:b/>
      <w:bCs/>
      <w:color w:val="000000"/>
      <w:kern w:val="32"/>
      <w:sz w:val="28"/>
      <w:szCs w:val="32"/>
    </w:rPr>
  </w:style>
  <w:style w:type="character" w:customStyle="1" w:styleId="Heading2Char">
    <w:name w:val="Heading 2 Char"/>
    <w:basedOn w:val="DefaultParagraphFont"/>
    <w:link w:val="Heading2"/>
    <w:uiPriority w:val="9"/>
    <w:rsid w:val="008E73AE"/>
    <w:rPr>
      <w:rFonts w:eastAsia="Times New Roman"/>
      <w:b/>
      <w:bCs/>
      <w:i/>
      <w:iCs/>
      <w:color w:val="000000"/>
      <w:sz w:val="24"/>
      <w:szCs w:val="28"/>
    </w:rPr>
  </w:style>
  <w:style w:type="paragraph" w:customStyle="1" w:styleId="Char1">
    <w:name w:val="Char1"/>
    <w:basedOn w:val="Normal"/>
    <w:rsid w:val="00F97642"/>
    <w:pPr>
      <w:widowControl w:val="0"/>
      <w:autoSpaceDE w:val="0"/>
      <w:autoSpaceDN w:val="0"/>
      <w:spacing w:before="120" w:after="120"/>
      <w:jc w:val="both"/>
    </w:pPr>
    <w:rPr>
      <w:rFonts w:ascii="Times" w:eastAsia="Times New Roman" w:hAnsi="Times"/>
      <w:color w:val="000000"/>
      <w:lang w:val="en-US" w:eastAsia="el-GR"/>
    </w:rPr>
  </w:style>
  <w:style w:type="paragraph" w:customStyle="1" w:styleId="Char10">
    <w:name w:val="Char1_0"/>
    <w:basedOn w:val="Normal"/>
    <w:rsid w:val="008263A8"/>
    <w:pPr>
      <w:widowControl w:val="0"/>
      <w:autoSpaceDE w:val="0"/>
      <w:autoSpaceDN w:val="0"/>
      <w:spacing w:before="120" w:after="120"/>
      <w:jc w:val="both"/>
    </w:pPr>
    <w:rPr>
      <w:rFonts w:cs="Calibri"/>
      <w:color w:val="000000"/>
      <w:lang w:val="en-US" w:eastAsia="el-GR"/>
    </w:rPr>
  </w:style>
  <w:style w:type="character" w:customStyle="1" w:styleId="Heading3Char">
    <w:name w:val="Heading 3 Char"/>
    <w:link w:val="Heading3"/>
    <w:uiPriority w:val="9"/>
    <w:rsid w:val="00F00101"/>
    <w:rPr>
      <w:rFonts w:ascii="Arial" w:eastAsia="Times New Roman" w:hAnsi="Arial"/>
      <w:b/>
      <w:bCs/>
      <w:i/>
      <w:sz w:val="22"/>
      <w:szCs w:val="26"/>
      <w:lang w:val="el-GR"/>
    </w:rPr>
  </w:style>
  <w:style w:type="paragraph" w:customStyle="1" w:styleId="Normal15">
    <w:name w:val="Normal_15"/>
    <w:rsid w:val="00F626F4"/>
    <w:pPr>
      <w:jc w:val="both"/>
    </w:pPr>
    <w:rPr>
      <w:rFonts w:cs="Calibri"/>
      <w:sz w:val="22"/>
      <w:szCs w:val="22"/>
      <w:lang w:val="el-GR"/>
    </w:rPr>
  </w:style>
  <w:style w:type="character" w:customStyle="1" w:styleId="Heading4Char">
    <w:name w:val="Heading 4 Char"/>
    <w:link w:val="Heading4"/>
    <w:uiPriority w:val="9"/>
    <w:rsid w:val="00A05C6F"/>
    <w:rPr>
      <w:rFonts w:eastAsia="Times New Roman"/>
      <w:b/>
      <w:bCs/>
      <w:i/>
      <w:sz w:val="22"/>
      <w:szCs w:val="28"/>
      <w:lang w:val="el-GR"/>
    </w:rPr>
  </w:style>
  <w:style w:type="paragraph" w:customStyle="1" w:styleId="Normal14">
    <w:name w:val="Normal_14"/>
    <w:rsid w:val="00C2294D"/>
    <w:rPr>
      <w:rFonts w:eastAsia="Times New Roman" w:cs="Calibri"/>
      <w:sz w:val="22"/>
      <w:szCs w:val="22"/>
      <w:lang w:val="el-GR"/>
    </w:rPr>
  </w:style>
  <w:style w:type="paragraph" w:customStyle="1" w:styleId="Heading40">
    <w:name w:val="Heading 4_0"/>
    <w:basedOn w:val="Normal14"/>
    <w:next w:val="Normal14"/>
    <w:link w:val="Heading4Char0"/>
    <w:uiPriority w:val="9"/>
    <w:qFormat/>
    <w:rsid w:val="00866957"/>
    <w:pPr>
      <w:keepNext/>
      <w:jc w:val="both"/>
      <w:outlineLvl w:val="3"/>
    </w:pPr>
    <w:rPr>
      <w:b/>
      <w:bCs/>
      <w:i/>
      <w:szCs w:val="28"/>
    </w:rPr>
  </w:style>
  <w:style w:type="character" w:customStyle="1" w:styleId="Heading4Char0">
    <w:name w:val="Heading 4 Char_0"/>
    <w:link w:val="Heading40"/>
    <w:uiPriority w:val="9"/>
    <w:locked/>
    <w:rsid w:val="00866957"/>
    <w:rPr>
      <w:rFonts w:eastAsia="Times New Roman" w:cs="Calibri"/>
      <w:b/>
      <w:bCs/>
      <w:i/>
      <w:sz w:val="22"/>
      <w:szCs w:val="28"/>
    </w:rPr>
  </w:style>
  <w:style w:type="paragraph" w:styleId="ListBullet">
    <w:name w:val="List Bullet"/>
    <w:basedOn w:val="Normal"/>
    <w:link w:val="ListBulletChar"/>
    <w:unhideWhenUsed/>
    <w:rsid w:val="00A44EEE"/>
    <w:pPr>
      <w:widowControl w:val="0"/>
      <w:tabs>
        <w:tab w:val="num" w:pos="360"/>
      </w:tabs>
      <w:autoSpaceDE w:val="0"/>
      <w:autoSpaceDN w:val="0"/>
      <w:ind w:left="360" w:hanging="360"/>
      <w:jc w:val="both"/>
    </w:pPr>
    <w:rPr>
      <w:rFonts w:ascii="Times New Roman" w:eastAsia="Times New Roman" w:hAnsi="Times New Roman"/>
      <w:sz w:val="20"/>
      <w:szCs w:val="20"/>
      <w:lang w:val="en-US" w:eastAsia="el-GR"/>
    </w:rPr>
  </w:style>
  <w:style w:type="character" w:customStyle="1" w:styleId="ListBulletChar">
    <w:name w:val="List Bullet Char"/>
    <w:link w:val="ListBullet"/>
    <w:rsid w:val="00A05C6F"/>
    <w:rPr>
      <w:rFonts w:ascii="Times New Roman" w:eastAsia="Times New Roman" w:hAnsi="Times New Roman"/>
      <w:lang w:eastAsia="el-GR"/>
    </w:rPr>
  </w:style>
  <w:style w:type="paragraph" w:customStyle="1" w:styleId="ReadbackBulletStyle">
    <w:name w:val="ReadbackBulletStyle"/>
    <w:basedOn w:val="ListBullet"/>
    <w:link w:val="ReadbackBulletStyleChar"/>
    <w:rsid w:val="00A44EEE"/>
    <w:pPr>
      <w:widowControl/>
      <w:tabs>
        <w:tab w:val="clear" w:pos="360"/>
        <w:tab w:val="num" w:pos="540"/>
        <w:tab w:val="left" w:pos="1080"/>
      </w:tabs>
      <w:adjustRightInd w:val="0"/>
      <w:ind w:left="1080"/>
    </w:pPr>
    <w:rPr>
      <w:bCs/>
      <w:spacing w:val="-2"/>
      <w:szCs w:val="22"/>
      <w:lang w:eastAsia="en-US"/>
    </w:rPr>
  </w:style>
  <w:style w:type="character" w:customStyle="1" w:styleId="ReadbackBulletStyleChar">
    <w:name w:val="ReadbackBulletStyle Char"/>
    <w:link w:val="ReadbackBulletStyle"/>
    <w:rsid w:val="00A05C6F"/>
    <w:rPr>
      <w:rFonts w:ascii="Times New Roman" w:eastAsia="Times New Roman" w:hAnsi="Times New Roman"/>
      <w:bCs/>
      <w:spacing w:val="-2"/>
      <w:szCs w:val="22"/>
      <w:lang w:eastAsia="el-GR"/>
    </w:rPr>
  </w:style>
  <w:style w:type="paragraph" w:customStyle="1" w:styleId="ListBullet1">
    <w:name w:val="List Bullet1"/>
    <w:basedOn w:val="ReadbackBulletStyle"/>
    <w:link w:val="ListbulletChar0"/>
    <w:qFormat/>
    <w:rsid w:val="00A05C6F"/>
    <w:pPr>
      <w:numPr>
        <w:numId w:val="8"/>
      </w:numPr>
      <w:tabs>
        <w:tab w:val="clear" w:pos="360"/>
      </w:tabs>
      <w:ind w:left="1080"/>
    </w:pPr>
    <w:rPr>
      <w:rFonts w:ascii="Calibri" w:hAnsi="Calibri"/>
      <w:spacing w:val="0"/>
      <w:sz w:val="22"/>
    </w:rPr>
  </w:style>
  <w:style w:type="character" w:customStyle="1" w:styleId="ListbulletChar0">
    <w:name w:val="List bullet Char"/>
    <w:basedOn w:val="ReadbackBulletStyleChar"/>
    <w:link w:val="ListBullet1"/>
    <w:rsid w:val="00A05C6F"/>
    <w:rPr>
      <w:rFonts w:ascii="Times New Roman" w:eastAsia="Times New Roman" w:hAnsi="Times New Roman"/>
      <w:bCs/>
      <w:spacing w:val="-2"/>
      <w:szCs w:val="22"/>
      <w:lang w:eastAsia="el-GR"/>
    </w:rPr>
  </w:style>
  <w:style w:type="paragraph" w:customStyle="1" w:styleId="Normal16">
    <w:name w:val="Normal_16"/>
    <w:rsid w:val="003028E4"/>
    <w:pPr>
      <w:jc w:val="both"/>
    </w:pPr>
    <w:rPr>
      <w:rFonts w:cs="Calibri"/>
      <w:sz w:val="22"/>
      <w:szCs w:val="22"/>
      <w:lang w:val="el-GR"/>
    </w:rPr>
  </w:style>
  <w:style w:type="paragraph" w:customStyle="1" w:styleId="Numberedbody-notes40">
    <w:name w:val="Numbered body -  notes_4_0"/>
    <w:basedOn w:val="Normal"/>
    <w:link w:val="Numberedbody-notesChar40"/>
    <w:semiHidden/>
    <w:qFormat/>
    <w:rsid w:val="00015D08"/>
    <w:pPr>
      <w:widowControl w:val="0"/>
      <w:numPr>
        <w:numId w:val="12"/>
      </w:numPr>
      <w:tabs>
        <w:tab w:val="left" w:pos="0"/>
      </w:tabs>
      <w:autoSpaceDE w:val="0"/>
      <w:autoSpaceDN w:val="0"/>
      <w:spacing w:before="120" w:after="120"/>
      <w:jc w:val="both"/>
    </w:pPr>
    <w:rPr>
      <w:rFonts w:cs="Calibri"/>
      <w:color w:val="000000"/>
      <w:szCs w:val="20"/>
      <w:lang w:val="en-GB" w:bidi="en-US"/>
    </w:rPr>
  </w:style>
  <w:style w:type="character" w:customStyle="1" w:styleId="Numberedbody-notesChar40">
    <w:name w:val="Numbered body -  notes Char_4_0"/>
    <w:link w:val="Numberedbody-notes40"/>
    <w:semiHidden/>
    <w:locked/>
    <w:rsid w:val="00015D08"/>
    <w:rPr>
      <w:rFonts w:cs="Calibri"/>
      <w:color w:val="000000"/>
      <w:sz w:val="22"/>
      <w:lang w:val="en-GB" w:bidi="en-US"/>
    </w:rPr>
  </w:style>
  <w:style w:type="paragraph" w:customStyle="1" w:styleId="Notesbody">
    <w:name w:val="Notes body"/>
    <w:basedOn w:val="Normal"/>
    <w:link w:val="NotesbodyChar"/>
    <w:qFormat/>
    <w:rsid w:val="003E376D"/>
    <w:pPr>
      <w:jc w:val="both"/>
    </w:pPr>
    <w:rPr>
      <w:color w:val="000000"/>
      <w:lang w:val="en-US"/>
    </w:rPr>
  </w:style>
  <w:style w:type="character" w:customStyle="1" w:styleId="NotesbodyChar">
    <w:name w:val="Notes body Char"/>
    <w:link w:val="Notesbody"/>
    <w:rsid w:val="003E376D"/>
    <w:rPr>
      <w:color w:val="000000"/>
      <w:sz w:val="22"/>
      <w:szCs w:val="22"/>
    </w:rPr>
  </w:style>
  <w:style w:type="paragraph" w:customStyle="1" w:styleId="Normal17">
    <w:name w:val="Normal_17"/>
    <w:rsid w:val="008366DF"/>
    <w:pPr>
      <w:jc w:val="both"/>
    </w:pPr>
    <w:rPr>
      <w:rFonts w:eastAsia="Times New Roman" w:cs="Calibri"/>
      <w:sz w:val="22"/>
      <w:szCs w:val="22"/>
      <w:lang w:val="el-GR"/>
    </w:rPr>
  </w:style>
  <w:style w:type="paragraph" w:customStyle="1" w:styleId="Normal130">
    <w:name w:val="Normal_13_0"/>
    <w:rsid w:val="00813A5C"/>
    <w:pPr>
      <w:autoSpaceDE w:val="0"/>
      <w:autoSpaceDN w:val="0"/>
      <w:adjustRightInd w:val="0"/>
      <w:jc w:val="both"/>
    </w:pPr>
    <w:rPr>
      <w:rFonts w:eastAsia="Times New Roman" w:cs="Calibri"/>
      <w:sz w:val="22"/>
      <w:szCs w:val="22"/>
      <w:lang w:val="el-GR"/>
    </w:rPr>
  </w:style>
  <w:style w:type="paragraph" w:customStyle="1" w:styleId="Normal21">
    <w:name w:val="Normal_21"/>
    <w:rsid w:val="000A31D1"/>
    <w:pPr>
      <w:jc w:val="both"/>
    </w:pPr>
    <w:rPr>
      <w:rFonts w:eastAsia="Times New Roman" w:cs="Calibri"/>
      <w:sz w:val="22"/>
      <w:szCs w:val="24"/>
    </w:rPr>
  </w:style>
  <w:style w:type="paragraph" w:customStyle="1" w:styleId="Normal19">
    <w:name w:val="Normal_19"/>
    <w:rsid w:val="00E92527"/>
    <w:pPr>
      <w:jc w:val="both"/>
    </w:pPr>
    <w:rPr>
      <w:rFonts w:eastAsia="Times New Roman" w:cs="Calibri"/>
      <w:sz w:val="22"/>
      <w:szCs w:val="24"/>
    </w:rPr>
  </w:style>
  <w:style w:type="paragraph" w:customStyle="1" w:styleId="Normal1900">
    <w:name w:val="Normal_19_0_0"/>
    <w:rsid w:val="005674CE"/>
    <w:pPr>
      <w:jc w:val="both"/>
    </w:pPr>
    <w:rPr>
      <w:rFonts w:eastAsia="Times New Roman" w:cs="Calibri"/>
      <w:sz w:val="22"/>
      <w:szCs w:val="24"/>
    </w:rPr>
  </w:style>
  <w:style w:type="paragraph" w:customStyle="1" w:styleId="ListBullet2">
    <w:name w:val="List Bullet_2"/>
    <w:basedOn w:val="Normal"/>
    <w:rsid w:val="00E92527"/>
    <w:pPr>
      <w:widowControl w:val="0"/>
      <w:numPr>
        <w:numId w:val="14"/>
      </w:numPr>
      <w:autoSpaceDE w:val="0"/>
      <w:autoSpaceDN w:val="0"/>
      <w:jc w:val="both"/>
    </w:pPr>
    <w:rPr>
      <w:rFonts w:eastAsia="Times New Roman" w:cs="Calibri"/>
      <w:szCs w:val="20"/>
      <w:lang w:val="en-US" w:eastAsia="el-GR"/>
    </w:rPr>
  </w:style>
  <w:style w:type="character" w:customStyle="1" w:styleId="ui-provider">
    <w:name w:val="ui-provider"/>
    <w:basedOn w:val="DefaultParagraphFont"/>
    <w:rsid w:val="00CA1592"/>
  </w:style>
  <w:style w:type="paragraph" w:customStyle="1" w:styleId="Normal190">
    <w:name w:val="Normal_19_0"/>
    <w:rsid w:val="00285870"/>
    <w:pPr>
      <w:jc w:val="both"/>
    </w:pPr>
    <w:rPr>
      <w:rFonts w:eastAsia="Times New Roman" w:cs="Calibri"/>
      <w:sz w:val="22"/>
      <w:szCs w:val="24"/>
    </w:rPr>
  </w:style>
  <w:style w:type="paragraph" w:styleId="NormalWeb">
    <w:name w:val="Normal (Web)"/>
    <w:basedOn w:val="Normal"/>
    <w:unhideWhenUsed/>
    <w:rsid w:val="00F70700"/>
    <w:pPr>
      <w:spacing w:before="100" w:after="100"/>
    </w:pPr>
    <w:rPr>
      <w:rFonts w:eastAsia="Times New Roman" w:cs="Calibri"/>
      <w:szCs w:val="24"/>
    </w:rPr>
  </w:style>
  <w:style w:type="paragraph" w:customStyle="1" w:styleId="Normal210">
    <w:name w:val="Normal_21_0"/>
    <w:rsid w:val="00F50C67"/>
    <w:pPr>
      <w:jc w:val="both"/>
    </w:pPr>
    <w:rPr>
      <w:rFonts w:cs="Calibri"/>
      <w:sz w:val="22"/>
      <w:szCs w:val="24"/>
    </w:rPr>
  </w:style>
  <w:style w:type="paragraph" w:customStyle="1" w:styleId="Normal24">
    <w:name w:val="Normal_24"/>
    <w:rsid w:val="006C2747"/>
    <w:pPr>
      <w:spacing w:after="200" w:line="276" w:lineRule="auto"/>
    </w:pPr>
    <w:rPr>
      <w:rFonts w:cs="Calibri"/>
      <w:sz w:val="22"/>
      <w:szCs w:val="22"/>
      <w:lang w:val="el-GR"/>
    </w:rPr>
  </w:style>
  <w:style w:type="paragraph" w:customStyle="1" w:styleId="StyleHeading211pt">
    <w:name w:val="Style Heading 2 + 11 pt"/>
    <w:basedOn w:val="Heading2"/>
    <w:rsid w:val="00191B88"/>
    <w:pPr>
      <w:widowControl w:val="0"/>
      <w:autoSpaceDE w:val="0"/>
      <w:autoSpaceDN w:val="0"/>
      <w:spacing w:before="240" w:after="200"/>
    </w:pPr>
    <w:rPr>
      <w:rFonts w:ascii="Times New Roman" w:hAnsi="Times New Roman"/>
      <w:i w:val="0"/>
      <w:iCs w:val="0"/>
      <w:color w:val="auto"/>
      <w:sz w:val="22"/>
      <w:szCs w:val="22"/>
      <w:lang w:eastAsia="el-GR"/>
    </w:rPr>
  </w:style>
  <w:style w:type="paragraph" w:customStyle="1" w:styleId="Listnumbered">
    <w:name w:val="List numbered"/>
    <w:basedOn w:val="Normal"/>
    <w:link w:val="ListnumberedChar"/>
    <w:qFormat/>
    <w:rsid w:val="00D30C94"/>
    <w:pPr>
      <w:numPr>
        <w:numId w:val="18"/>
      </w:numPr>
      <w:autoSpaceDE w:val="0"/>
      <w:autoSpaceDN w:val="0"/>
      <w:jc w:val="both"/>
    </w:pPr>
    <w:rPr>
      <w:rFonts w:cs="Calibri"/>
      <w:color w:val="000000"/>
      <w:lang w:val="en-US"/>
    </w:rPr>
  </w:style>
  <w:style w:type="character" w:customStyle="1" w:styleId="ListnumberedChar">
    <w:name w:val="List numbered Char"/>
    <w:link w:val="Listnumbered"/>
    <w:locked/>
    <w:rsid w:val="00D30C94"/>
    <w:rPr>
      <w:rFonts w:cs="Calibri"/>
      <w:color w:val="000000"/>
      <w:sz w:val="22"/>
      <w:szCs w:val="22"/>
    </w:rPr>
  </w:style>
  <w:style w:type="character" w:customStyle="1" w:styleId="Heading5Char">
    <w:name w:val="Heading 5 Char"/>
    <w:link w:val="Heading5"/>
    <w:uiPriority w:val="9"/>
    <w:semiHidden/>
    <w:rsid w:val="007C79D6"/>
    <w:rPr>
      <w:rFonts w:eastAsia="Times New Roman"/>
      <w:b/>
      <w:bCs/>
      <w:i/>
      <w:iCs/>
      <w:sz w:val="26"/>
      <w:szCs w:val="26"/>
    </w:rPr>
  </w:style>
  <w:style w:type="paragraph" w:customStyle="1" w:styleId="StyleHeading5ItalicBlackBefore6ptAfter3pt">
    <w:name w:val="Style Heading 5 + Italic Black Before:  6 pt After:  3 pt"/>
    <w:basedOn w:val="Heading5"/>
    <w:rsid w:val="007C79D6"/>
    <w:pPr>
      <w:keepNext/>
      <w:widowControl w:val="0"/>
      <w:autoSpaceDE w:val="0"/>
      <w:autoSpaceDN w:val="0"/>
      <w:spacing w:before="120"/>
      <w:ind w:left="720"/>
      <w:jc w:val="both"/>
    </w:pPr>
    <w:rPr>
      <w:rFonts w:ascii="Times New Roman" w:hAnsi="Times New Roman"/>
      <w:color w:val="000000"/>
      <w:sz w:val="20"/>
      <w:szCs w:val="20"/>
      <w:lang w:eastAsia="el-GR"/>
    </w:rPr>
  </w:style>
  <w:style w:type="paragraph" w:customStyle="1" w:styleId="Char12">
    <w:name w:val="Char1_2"/>
    <w:basedOn w:val="Normal"/>
    <w:rsid w:val="00800A28"/>
    <w:pPr>
      <w:widowControl w:val="0"/>
      <w:autoSpaceDE w:val="0"/>
      <w:autoSpaceDN w:val="0"/>
      <w:spacing w:before="120" w:after="120"/>
      <w:jc w:val="both"/>
    </w:pPr>
    <w:rPr>
      <w:rFonts w:cs="Calibri"/>
      <w:color w:val="000000"/>
      <w:lang w:val="en-US" w:eastAsia="el-GR"/>
    </w:rPr>
  </w:style>
  <w:style w:type="paragraph" w:customStyle="1" w:styleId="StyleHeading410ptBefore6ptAfter3pt">
    <w:name w:val="Style Heading 4 + 10 pt Before:  6 pt After:  3 pt"/>
    <w:basedOn w:val="Heading4"/>
    <w:rsid w:val="001A2BBC"/>
    <w:pPr>
      <w:widowControl w:val="0"/>
      <w:autoSpaceDE w:val="0"/>
      <w:autoSpaceDN w:val="0"/>
      <w:spacing w:before="120" w:after="120"/>
    </w:pPr>
    <w:rPr>
      <w:i w:val="0"/>
      <w:sz w:val="20"/>
      <w:szCs w:val="20"/>
      <w:lang w:val="en-US" w:eastAsia="el-GR" w:bidi="en-US"/>
    </w:rPr>
  </w:style>
  <w:style w:type="paragraph" w:customStyle="1" w:styleId="Heading313">
    <w:name w:val="Heading 3_13"/>
    <w:basedOn w:val="Normal"/>
    <w:next w:val="Normal34"/>
    <w:link w:val="Heading3Char13"/>
    <w:uiPriority w:val="9"/>
    <w:qFormat/>
    <w:rsid w:val="00C96080"/>
    <w:pPr>
      <w:keepNext/>
      <w:autoSpaceDE w:val="0"/>
      <w:autoSpaceDN w:val="0"/>
      <w:jc w:val="both"/>
      <w:outlineLvl w:val="2"/>
    </w:pPr>
    <w:rPr>
      <w:rFonts w:cs="Calibri"/>
      <w:b/>
      <w:bCs/>
      <w:lang w:val="en-US" w:eastAsia="el-GR" w:bidi="en-US"/>
    </w:rPr>
  </w:style>
  <w:style w:type="paragraph" w:customStyle="1" w:styleId="Normal34">
    <w:name w:val="Normal_34"/>
    <w:rsid w:val="00C96080"/>
    <w:pPr>
      <w:jc w:val="both"/>
    </w:pPr>
    <w:rPr>
      <w:rFonts w:cs="Calibri"/>
      <w:sz w:val="22"/>
      <w:szCs w:val="24"/>
      <w:lang w:bidi="en-US"/>
    </w:rPr>
  </w:style>
  <w:style w:type="character" w:customStyle="1" w:styleId="Heading3Char13">
    <w:name w:val="Heading 3 Char_13"/>
    <w:link w:val="Heading313"/>
    <w:uiPriority w:val="9"/>
    <w:locked/>
    <w:rsid w:val="00C96080"/>
    <w:rPr>
      <w:rFonts w:cs="Calibri"/>
      <w:b/>
      <w:bCs/>
      <w:sz w:val="22"/>
      <w:szCs w:val="22"/>
      <w:lang w:eastAsia="el-GR" w:bidi="en-US"/>
    </w:rPr>
  </w:style>
  <w:style w:type="paragraph" w:customStyle="1" w:styleId="Notesbody8">
    <w:name w:val="Notes body_8"/>
    <w:basedOn w:val="Normal"/>
    <w:link w:val="NotesbodyChar8"/>
    <w:qFormat/>
    <w:rsid w:val="009919CF"/>
    <w:pPr>
      <w:tabs>
        <w:tab w:val="left" w:pos="0"/>
      </w:tabs>
      <w:autoSpaceDE w:val="0"/>
      <w:autoSpaceDN w:val="0"/>
      <w:spacing w:before="120" w:after="240"/>
      <w:jc w:val="both"/>
    </w:pPr>
    <w:rPr>
      <w:rFonts w:cs="Calibri"/>
      <w:color w:val="000000"/>
      <w:szCs w:val="20"/>
      <w:lang w:val="en-US" w:eastAsia="el-GR" w:bidi="en-US"/>
    </w:rPr>
  </w:style>
  <w:style w:type="character" w:customStyle="1" w:styleId="NotesbodyChar8">
    <w:name w:val="Notes body Char_8"/>
    <w:link w:val="Notesbody8"/>
    <w:rsid w:val="009919CF"/>
    <w:rPr>
      <w:rFonts w:cs="Calibri"/>
      <w:color w:val="000000"/>
      <w:sz w:val="22"/>
      <w:lang w:eastAsia="el-GR" w:bidi="en-US"/>
    </w:rPr>
  </w:style>
  <w:style w:type="paragraph" w:customStyle="1" w:styleId="Notesbody50">
    <w:name w:val="Notes body_5_0"/>
    <w:basedOn w:val="Normal"/>
    <w:link w:val="NotesbodyChar50"/>
    <w:qFormat/>
    <w:rsid w:val="00644384"/>
    <w:pPr>
      <w:tabs>
        <w:tab w:val="left" w:pos="0"/>
      </w:tabs>
      <w:autoSpaceDE w:val="0"/>
      <w:autoSpaceDN w:val="0"/>
      <w:spacing w:before="120" w:after="240"/>
      <w:jc w:val="both"/>
    </w:pPr>
    <w:rPr>
      <w:rFonts w:cs="Calibri"/>
      <w:color w:val="000000"/>
      <w:szCs w:val="20"/>
      <w:lang w:val="en-US" w:eastAsia="el-GR" w:bidi="en-US"/>
    </w:rPr>
  </w:style>
  <w:style w:type="character" w:customStyle="1" w:styleId="NotesbodyChar50">
    <w:name w:val="Notes body Char_5_0"/>
    <w:link w:val="Notesbody50"/>
    <w:rsid w:val="00644384"/>
    <w:rPr>
      <w:rFonts w:cs="Calibri"/>
      <w:color w:val="000000"/>
      <w:sz w:val="22"/>
      <w:lang w:eastAsia="el-GR" w:bidi="en-US"/>
    </w:rPr>
  </w:style>
  <w:style w:type="paragraph" w:customStyle="1" w:styleId="StyleHeading3Before12ptAfter3pt">
    <w:name w:val="Style Heading 3 + Before:  12 pt After:  3 pt"/>
    <w:basedOn w:val="Heading3"/>
    <w:rsid w:val="00C86243"/>
    <w:pPr>
      <w:tabs>
        <w:tab w:val="num" w:pos="540"/>
      </w:tabs>
      <w:autoSpaceDE w:val="0"/>
      <w:autoSpaceDN w:val="0"/>
      <w:spacing w:before="240" w:after="60"/>
      <w:ind w:left="360" w:hanging="360"/>
    </w:pPr>
    <w:rPr>
      <w:rFonts w:ascii="Times New Roman" w:hAnsi="Times New Roman"/>
      <w:iCs/>
      <w:color w:val="000000"/>
      <w:szCs w:val="20"/>
      <w:lang w:val="en-US" w:eastAsia="el-GR" w:bidi="en-US"/>
    </w:rPr>
  </w:style>
  <w:style w:type="table" w:styleId="TableGridLight">
    <w:name w:val="Grid Table Light"/>
    <w:basedOn w:val="TableNormal"/>
    <w:uiPriority w:val="40"/>
    <w:rsid w:val="0075456D"/>
    <w:rPr>
      <w:rFonts w:ascii="Arial" w:hAnsi="Arial"/>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DAEEF3" w:themeFill="accent5" w:themeFillTint="33"/>
    </w:tcPr>
  </w:style>
  <w:style w:type="paragraph" w:customStyle="1" w:styleId="Char110">
    <w:name w:val="Char1_10"/>
    <w:basedOn w:val="Normal"/>
    <w:rsid w:val="00462A73"/>
    <w:pPr>
      <w:widowControl w:val="0"/>
      <w:autoSpaceDE w:val="0"/>
      <w:autoSpaceDN w:val="0"/>
      <w:spacing w:before="120" w:after="120"/>
      <w:jc w:val="both"/>
    </w:pPr>
    <w:rPr>
      <w:rFonts w:eastAsia="Times New Roman" w:cs="Calibri"/>
      <w:color w:val="000000"/>
      <w:szCs w:val="24"/>
      <w:lang w:val="en-US" w:eastAsia="el-GR"/>
    </w:rPr>
  </w:style>
  <w:style w:type="paragraph" w:customStyle="1" w:styleId="Char111">
    <w:name w:val="Char1_11"/>
    <w:basedOn w:val="Normal"/>
    <w:rsid w:val="00A10201"/>
    <w:pPr>
      <w:widowControl w:val="0"/>
      <w:autoSpaceDE w:val="0"/>
      <w:autoSpaceDN w:val="0"/>
      <w:spacing w:before="120" w:after="120"/>
      <w:jc w:val="both"/>
    </w:pPr>
    <w:rPr>
      <w:rFonts w:eastAsia="Times New Roman" w:cs="Calibri"/>
      <w:color w:val="000000"/>
      <w:szCs w:val="24"/>
      <w:lang w:val="en-US" w:eastAsia="el-GR"/>
    </w:rPr>
  </w:style>
  <w:style w:type="paragraph" w:customStyle="1" w:styleId="Normal460">
    <w:name w:val="Normal_46_0"/>
    <w:qFormat/>
    <w:rsid w:val="00A901AC"/>
    <w:rPr>
      <w:rFonts w:cs="Calibri"/>
      <w:sz w:val="24"/>
      <w:szCs w:val="24"/>
      <w:lang w:bidi="en-US"/>
    </w:rPr>
  </w:style>
  <w:style w:type="paragraph" w:customStyle="1" w:styleId="Char115">
    <w:name w:val="Char1_15"/>
    <w:basedOn w:val="Normal"/>
    <w:rsid w:val="00EC5646"/>
    <w:pPr>
      <w:widowControl w:val="0"/>
      <w:autoSpaceDE w:val="0"/>
      <w:autoSpaceDN w:val="0"/>
      <w:spacing w:before="120" w:after="120"/>
      <w:jc w:val="both"/>
    </w:pPr>
    <w:rPr>
      <w:rFonts w:cs="Calibri"/>
      <w:color w:val="000000"/>
      <w:szCs w:val="24"/>
      <w:lang w:val="en-US" w:eastAsia="el-GR" w:bidi="en-US"/>
    </w:rPr>
  </w:style>
  <w:style w:type="paragraph" w:customStyle="1" w:styleId="Heading332">
    <w:name w:val="Heading 3_32"/>
    <w:basedOn w:val="Normal"/>
    <w:link w:val="Heading3Char32"/>
    <w:rsid w:val="006966F5"/>
    <w:pPr>
      <w:jc w:val="both"/>
      <w:outlineLvl w:val="2"/>
    </w:pPr>
    <w:rPr>
      <w:rFonts w:cs="Calibri"/>
      <w:b/>
      <w:bCs/>
      <w:color w:val="000000"/>
      <w:sz w:val="24"/>
      <w:lang w:val="en-US"/>
    </w:rPr>
  </w:style>
  <w:style w:type="character" w:customStyle="1" w:styleId="Heading3Char32">
    <w:name w:val="Heading 3 Char_32"/>
    <w:link w:val="Heading332"/>
    <w:locked/>
    <w:rsid w:val="003C5E2F"/>
    <w:rPr>
      <w:rFonts w:cs="Calibri"/>
      <w:b/>
      <w:bCs/>
      <w:color w:val="000000"/>
      <w:sz w:val="24"/>
      <w:szCs w:val="22"/>
    </w:rPr>
  </w:style>
  <w:style w:type="paragraph" w:customStyle="1" w:styleId="Char120">
    <w:name w:val="Char1_20"/>
    <w:basedOn w:val="Normal"/>
    <w:uiPriority w:val="99"/>
    <w:rsid w:val="00B75D84"/>
    <w:pPr>
      <w:keepNext/>
      <w:keepLines/>
      <w:widowControl w:val="0"/>
      <w:autoSpaceDE w:val="0"/>
      <w:autoSpaceDN w:val="0"/>
      <w:spacing w:before="120" w:after="120"/>
      <w:jc w:val="both"/>
    </w:pPr>
    <w:rPr>
      <w:rFonts w:eastAsia="Times New Roman" w:cs="Calibri"/>
      <w:color w:val="000000"/>
      <w:szCs w:val="24"/>
      <w:lang w:val="en-US" w:eastAsia="el-GR"/>
    </w:rPr>
  </w:style>
  <w:style w:type="paragraph" w:customStyle="1" w:styleId="StyleHeading111pt">
    <w:name w:val="Style Heading 1 + 11 pt"/>
    <w:basedOn w:val="Heading1"/>
    <w:next w:val="Normal"/>
    <w:rsid w:val="00C85733"/>
    <w:pPr>
      <w:tabs>
        <w:tab w:val="num" w:pos="0"/>
      </w:tabs>
      <w:jc w:val="center"/>
    </w:pPr>
    <w:rPr>
      <w:rFonts w:ascii="Times New Roman Bold" w:hAnsi="Times New Roman Bold" w:cs="Times New Roman Bold"/>
      <w:color w:val="auto"/>
      <w:sz w:val="22"/>
      <w:szCs w:val="22"/>
      <w:lang w:bidi="en-US"/>
    </w:rPr>
  </w:style>
  <w:style w:type="paragraph" w:styleId="List">
    <w:name w:val="List"/>
    <w:basedOn w:val="Normal"/>
    <w:semiHidden/>
    <w:unhideWhenUsed/>
    <w:rsid w:val="00566CDA"/>
    <w:pPr>
      <w:widowControl w:val="0"/>
      <w:autoSpaceDE w:val="0"/>
      <w:autoSpaceDN w:val="0"/>
      <w:ind w:left="283" w:hanging="283"/>
    </w:pPr>
    <w:rPr>
      <w:rFonts w:ascii="Times New Roman" w:eastAsia="Times New Roman" w:hAnsi="Times New Roman"/>
      <w:sz w:val="20"/>
      <w:szCs w:val="20"/>
      <w:lang w:val="en-US" w:eastAsia="el-GR" w:bidi="en-US"/>
    </w:rPr>
  </w:style>
  <w:style w:type="character" w:customStyle="1" w:styleId="zzmpTrailerItem">
    <w:name w:val="zzmpTrailerItem"/>
    <w:rsid w:val="00566CDA"/>
    <w:rPr>
      <w:rFonts w:ascii="Times New Roman" w:hAnsi="Times New Roman" w:cs="Times New Roman"/>
      <w:bCs/>
      <w:strike w:val="0"/>
      <w:dstrike w:val="0"/>
      <w:noProof/>
      <w:color w:val="auto"/>
      <w:spacing w:val="0"/>
      <w:position w:val="0"/>
      <w:sz w:val="16"/>
      <w:u w:val="none"/>
      <w:effect w:val="none"/>
      <w:vertAlign w:val="baseline"/>
      <w:lang w:val="en-GB"/>
    </w:rPr>
  </w:style>
  <w:style w:type="paragraph" w:customStyle="1" w:styleId="chartcenter">
    <w:name w:val="chart center"/>
    <w:basedOn w:val="Normal"/>
    <w:rsid w:val="00566CDA"/>
    <w:pPr>
      <w:spacing w:before="240"/>
      <w:jc w:val="center"/>
    </w:pPr>
    <w:rPr>
      <w:rFonts w:ascii="Times New Roman" w:eastAsia="Times New Roman" w:hAnsi="Times New Roman"/>
      <w:szCs w:val="20"/>
      <w:lang w:val="en-US" w:bidi="en-US"/>
    </w:rPr>
  </w:style>
  <w:style w:type="paragraph" w:customStyle="1" w:styleId="Header1notes">
    <w:name w:val="Header 1. notes"/>
    <w:basedOn w:val="Normal"/>
    <w:next w:val="Normal"/>
    <w:link w:val="Header1notesChar"/>
    <w:qFormat/>
    <w:rsid w:val="005E36E7"/>
    <w:pPr>
      <w:keepNext/>
      <w:tabs>
        <w:tab w:val="left" w:pos="0"/>
      </w:tabs>
      <w:suppressAutoHyphens/>
      <w:autoSpaceDE w:val="0"/>
      <w:autoSpaceDN w:val="0"/>
      <w:adjustRightInd w:val="0"/>
      <w:spacing w:before="240" w:after="240"/>
      <w:outlineLvl w:val="0"/>
    </w:pPr>
    <w:rPr>
      <w:rFonts w:eastAsia="Times New Roman"/>
      <w:b/>
      <w:szCs w:val="24"/>
      <w:lang w:val="en-US" w:bidi="en-US"/>
    </w:rPr>
  </w:style>
  <w:style w:type="character" w:customStyle="1" w:styleId="Header1notesChar">
    <w:name w:val="Header 1. notes Char"/>
    <w:link w:val="Header1notes"/>
    <w:locked/>
    <w:rsid w:val="005E36E7"/>
    <w:rPr>
      <w:rFonts w:eastAsia="Times New Roman"/>
      <w:b/>
      <w:sz w:val="24"/>
      <w:szCs w:val="24"/>
      <w:lang w:bidi="en-US"/>
    </w:rPr>
  </w:style>
  <w:style w:type="paragraph" w:styleId="CommentText">
    <w:name w:val="annotation text"/>
    <w:basedOn w:val="Normal"/>
    <w:link w:val="CommentTextChar"/>
    <w:uiPriority w:val="99"/>
    <w:unhideWhenUsed/>
    <w:qFormat/>
    <w:rsid w:val="00F347A6"/>
    <w:rPr>
      <w:rFonts w:asciiTheme="minorHAnsi" w:eastAsiaTheme="minorHAnsi" w:hAnsiTheme="minorHAnsi" w:cstheme="minorBidi"/>
      <w:sz w:val="20"/>
      <w:szCs w:val="20"/>
      <w:lang w:val="en-US"/>
    </w:rPr>
  </w:style>
  <w:style w:type="character" w:customStyle="1" w:styleId="CommentTextChar">
    <w:name w:val="Comment Text Char"/>
    <w:link w:val="CommentText"/>
    <w:uiPriority w:val="99"/>
    <w:rsid w:val="00F347A6"/>
    <w:rPr>
      <w:rFonts w:asciiTheme="minorHAnsi" w:eastAsiaTheme="minorHAnsi" w:hAnsiTheme="minorHAnsi" w:cstheme="minorBidi"/>
      <w:sz w:val="22"/>
      <w:szCs w:val="22"/>
      <w:lang w:bidi="en-US"/>
    </w:rPr>
  </w:style>
  <w:style w:type="paragraph" w:customStyle="1" w:styleId="pf0">
    <w:name w:val="pf0"/>
    <w:basedOn w:val="Normal"/>
    <w:rsid w:val="00B51B7F"/>
    <w:pPr>
      <w:spacing w:before="100" w:beforeAutospacing="1" w:after="100" w:afterAutospacing="1"/>
    </w:pPr>
    <w:rPr>
      <w:rFonts w:ascii="Times New Roman" w:eastAsia="Times New Roman" w:hAnsi="Times New Roman"/>
      <w:sz w:val="24"/>
      <w:szCs w:val="24"/>
      <w:lang w:val="en-US"/>
    </w:rPr>
  </w:style>
  <w:style w:type="paragraph" w:customStyle="1" w:styleId="Style1">
    <w:name w:val="Style1"/>
    <w:basedOn w:val="Header1notes"/>
    <w:rsid w:val="00A42084"/>
    <w:pPr>
      <w:spacing w:before="0" w:after="0"/>
    </w:pPr>
    <w:rPr>
      <w:rFonts w:ascii="Arial" w:hAnsi="Arial"/>
      <w:sz w:val="24"/>
    </w:rPr>
  </w:style>
  <w:style w:type="paragraph" w:styleId="Header">
    <w:name w:val="header"/>
    <w:basedOn w:val="Normal"/>
    <w:link w:val="HeaderChar"/>
    <w:uiPriority w:val="99"/>
    <w:unhideWhenUsed/>
    <w:rsid w:val="003A20A3"/>
    <w:pPr>
      <w:tabs>
        <w:tab w:val="center" w:pos="4153"/>
        <w:tab w:val="right" w:pos="8306"/>
      </w:tabs>
    </w:pPr>
  </w:style>
  <w:style w:type="character" w:customStyle="1" w:styleId="HeaderChar">
    <w:name w:val="Header Char"/>
    <w:basedOn w:val="DefaultParagraphFont"/>
    <w:link w:val="Header"/>
    <w:uiPriority w:val="99"/>
    <w:rsid w:val="003A20A3"/>
    <w:rPr>
      <w:sz w:val="22"/>
      <w:szCs w:val="22"/>
      <w:lang w:val="el-GR"/>
    </w:rPr>
  </w:style>
  <w:style w:type="paragraph" w:styleId="Footer">
    <w:name w:val="footer"/>
    <w:basedOn w:val="Normal"/>
    <w:link w:val="FooterChar"/>
    <w:uiPriority w:val="99"/>
    <w:unhideWhenUsed/>
    <w:rsid w:val="003A20A3"/>
    <w:pPr>
      <w:tabs>
        <w:tab w:val="center" w:pos="4153"/>
        <w:tab w:val="right" w:pos="8306"/>
      </w:tabs>
    </w:pPr>
  </w:style>
  <w:style w:type="character" w:customStyle="1" w:styleId="FooterChar">
    <w:name w:val="Footer Char"/>
    <w:basedOn w:val="DefaultParagraphFont"/>
    <w:link w:val="Footer"/>
    <w:uiPriority w:val="99"/>
    <w:rsid w:val="003A20A3"/>
    <w:rPr>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sec.gov/Archives/edgar/data/1318885/000091957414000976/d1453955_6-k.htm" TargetMode="External"/><Relationship Id="rId21" Type="http://schemas.openxmlformats.org/officeDocument/2006/relationships/footer" Target="footer4.xml"/><Relationship Id="rId42" Type="http://schemas.openxmlformats.org/officeDocument/2006/relationships/hyperlink" Target="https://www.sec.gov/Archives/edgar/data/1318885/000156276225000050/exhibit413.htm" TargetMode="External"/><Relationship Id="rId47" Type="http://schemas.openxmlformats.org/officeDocument/2006/relationships/hyperlink" Target="https://www.sec.gov/Archives/edgar/data/0001318885/000156276223000136/exhibit448.htm" TargetMode="External"/><Relationship Id="rId63" Type="http://schemas.openxmlformats.org/officeDocument/2006/relationships/footer" Target="footer7.xml"/><Relationship Id="rId68" Type="http://schemas.openxmlformats.org/officeDocument/2006/relationships/header" Target="header11.xml"/><Relationship Id="rId84" Type="http://schemas.openxmlformats.org/officeDocument/2006/relationships/footer" Target="footer18.xml"/><Relationship Id="rId89" Type="http://schemas.openxmlformats.org/officeDocument/2006/relationships/header" Target="header21.xml"/><Relationship Id="rId16" Type="http://schemas.openxmlformats.org/officeDocument/2006/relationships/header" Target="header3.xml"/><Relationship Id="rId11" Type="http://schemas.openxmlformats.org/officeDocument/2006/relationships/endnotes" Target="endnotes.xml"/><Relationship Id="rId32" Type="http://schemas.openxmlformats.org/officeDocument/2006/relationships/hyperlink" Target="http://www.sec.gov/Archives/edgar/data/1318885/000091957414000979/d1454019_ex3-3.htm" TargetMode="External"/><Relationship Id="rId37" Type="http://schemas.openxmlformats.org/officeDocument/2006/relationships/hyperlink" Target="https://www.sec.gov/Archives/edgar/data/1318885/000091957423006732/d10906444_6-k.htm" TargetMode="External"/><Relationship Id="rId53" Type="http://schemas.openxmlformats.org/officeDocument/2006/relationships/hyperlink" Target="file:///C:\Users\kntounis\OneDrive%20-%20Diana%20Shipping\Desktop\DSI,%202025%2020F%20Form%202026-03-16T125526\exhibit112.docx" TargetMode="External"/><Relationship Id="rId58" Type="http://schemas.openxmlformats.org/officeDocument/2006/relationships/hyperlink" Target="file:///C:\Users\kntounis\OneDrive%20-%20Diana%20Shipping\Desktop\DSI,%202025%2020F%20Form%202026-03-16T125526\exhibit151.docx" TargetMode="External"/><Relationship Id="rId74" Type="http://schemas.openxmlformats.org/officeDocument/2006/relationships/header" Target="header14.xml"/><Relationship Id="rId79" Type="http://schemas.openxmlformats.org/officeDocument/2006/relationships/header" Target="header16.xml"/><Relationship Id="rId5" Type="http://schemas.openxmlformats.org/officeDocument/2006/relationships/customXml" Target="../customXml/item5.xml"/><Relationship Id="rId90" Type="http://schemas.openxmlformats.org/officeDocument/2006/relationships/footer" Target="footer21.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yperlink" Target="http://www.sec.gov/Archives/edgar/data/1318885/000091957421003095/d8845712_6-k.htm" TargetMode="External"/><Relationship Id="rId30" Type="http://schemas.openxmlformats.org/officeDocument/2006/relationships/hyperlink" Target="http://www.sec.gov/Archives/edgar/data/1318885/000091957416012194/d7069400_ex2-1.htm" TargetMode="External"/><Relationship Id="rId35" Type="http://schemas.openxmlformats.org/officeDocument/2006/relationships/hyperlink" Target="file:///C:\Users\kntounis\OneDrive%20-%20Diana%20Shipping\Desktop\DSI,%202025%2020F%20Form%202026-03-16T125526\exhibit26.docx" TargetMode="External"/><Relationship Id="rId43" Type="http://schemas.openxmlformats.org/officeDocument/2006/relationships/hyperlink" Target="file:///C:\Users\kntounis\OneDrive%20-%20Diana%20Shipping\Desktop\DSI,%202025%2020F%20Form%202026-03-16T125526\exhibit414.docx" TargetMode="External"/><Relationship Id="rId48" Type="http://schemas.openxmlformats.org/officeDocument/2006/relationships/hyperlink" Target="https://www.sec.gov/Archives/edgar/data/1318885/000156276224000080/exhibit450.htm" TargetMode="External"/><Relationship Id="rId56" Type="http://schemas.openxmlformats.org/officeDocument/2006/relationships/hyperlink" Target="file:///C:\Users\kntounis\OneDrive%20-%20Diana%20Shipping\Desktop\DSI,%202025%2020F%20Form%202026-03-16T125526\exhibit131.docx" TargetMode="External"/><Relationship Id="rId64" Type="http://schemas.openxmlformats.org/officeDocument/2006/relationships/footer" Target="footer8.xml"/><Relationship Id="rId69" Type="http://schemas.openxmlformats.org/officeDocument/2006/relationships/footer" Target="footer10.xml"/><Relationship Id="rId77" Type="http://schemas.openxmlformats.org/officeDocument/2006/relationships/header" Target="header15.xml"/><Relationship Id="rId8" Type="http://schemas.openxmlformats.org/officeDocument/2006/relationships/settings" Target="settings.xml"/><Relationship Id="rId51" Type="http://schemas.openxmlformats.org/officeDocument/2006/relationships/hyperlink" Target="http://www.sec.gov/Archives/edgar/data/1318885/000104746905006514/a2153732zex-10_5.htm" TargetMode="External"/><Relationship Id="rId72" Type="http://schemas.openxmlformats.org/officeDocument/2006/relationships/footer" Target="footer12.xml"/><Relationship Id="rId80" Type="http://schemas.openxmlformats.org/officeDocument/2006/relationships/header" Target="header17.xml"/><Relationship Id="rId85" Type="http://schemas.openxmlformats.org/officeDocument/2006/relationships/header" Target="header1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sec.gov/Archives/edgar/data/1318885/000091957423006430/d10881815_6-k.htm" TargetMode="External"/><Relationship Id="rId33" Type="http://schemas.openxmlformats.org/officeDocument/2006/relationships/hyperlink" Target="http://www.sec.gov/Archives/edgar/data/1318885/000091957416009392/d7000560_ex3-1.htm" TargetMode="External"/><Relationship Id="rId38" Type="http://schemas.openxmlformats.org/officeDocument/2006/relationships/hyperlink" Target="https://www.sec.gov/Archives/edgar/data/1318885/000091957424000656/d10971754_ex4-1.htm" TargetMode="External"/><Relationship Id="rId46" Type="http://schemas.openxmlformats.org/officeDocument/2006/relationships/hyperlink" Target="https://www.sec.gov/Archives/edgar/data/0001318885/000156276223000136/exhibit447.htm" TargetMode="External"/><Relationship Id="rId59" Type="http://schemas.openxmlformats.org/officeDocument/2006/relationships/hyperlink" Target="file:///C:\Users\kntounis\OneDrive%20-%20Diana%20Shipping\Desktop\DSI,%202025%2020F%20Form%202026-03-16T125526\exhibit152.docx" TargetMode="External"/><Relationship Id="rId67" Type="http://schemas.openxmlformats.org/officeDocument/2006/relationships/header" Target="header10.xml"/><Relationship Id="rId20" Type="http://schemas.openxmlformats.org/officeDocument/2006/relationships/header" Target="header5.xml"/><Relationship Id="rId41" Type="http://schemas.openxmlformats.org/officeDocument/2006/relationships/hyperlink" Target="https://www.sec.gov/Archives/edgar/data/1318885/000156276225000050/exhibit412.htm" TargetMode="External"/><Relationship Id="rId54" Type="http://schemas.openxmlformats.org/officeDocument/2006/relationships/hyperlink" Target="file:///C:\Users\kntounis\OneDrive%20-%20Diana%20Shipping\Desktop\DSI,%202025%2020F%20Form%202026-03-16T125526\exhibit121.docx" TargetMode="External"/><Relationship Id="rId62" Type="http://schemas.openxmlformats.org/officeDocument/2006/relationships/header" Target="header8.xml"/><Relationship Id="rId70" Type="http://schemas.openxmlformats.org/officeDocument/2006/relationships/footer" Target="footer11.xml"/><Relationship Id="rId75" Type="http://schemas.openxmlformats.org/officeDocument/2006/relationships/footer" Target="footer13.xml"/><Relationship Id="rId83" Type="http://schemas.openxmlformats.org/officeDocument/2006/relationships/header" Target="header18.xml"/><Relationship Id="rId88" Type="http://schemas.openxmlformats.org/officeDocument/2006/relationships/footer" Target="footer20.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yperlink" Target="https://www.sec.gov/Archives/edgar/data/1318885/000091957421004480/d8883930_ex1-1.htm" TargetMode="External"/><Relationship Id="rId36" Type="http://schemas.openxmlformats.org/officeDocument/2006/relationships/hyperlink" Target="https://www.sec.gov/Archives/edgar/data/1318885/000091957423005195/d10808804_6-k.htm" TargetMode="External"/><Relationship Id="rId49" Type="http://schemas.openxmlformats.org/officeDocument/2006/relationships/hyperlink" Target="https://www.sec.gov/Archives/edgar/data/1318885/000156276224000080/exhibit452.htm" TargetMode="External"/><Relationship Id="rId57" Type="http://schemas.openxmlformats.org/officeDocument/2006/relationships/hyperlink" Target="file:///C:\Users\kntounis\OneDrive%20-%20Diana%20Shipping\Desktop\DSI,%202025%2020F%20Form%202026-03-16T125526\exhibit132.docx" TargetMode="External"/><Relationship Id="rId10" Type="http://schemas.openxmlformats.org/officeDocument/2006/relationships/footnotes" Target="footnotes.xml"/><Relationship Id="rId31" Type="http://schemas.openxmlformats.org/officeDocument/2006/relationships/hyperlink" Target="http://www.sec.gov/Archives/edgar/data/1318885/000091957414000979/d1453587_ex4-1.htm" TargetMode="External"/><Relationship Id="rId44" Type="http://schemas.openxmlformats.org/officeDocument/2006/relationships/hyperlink" Target="http://www.sec.gov/Archives/edgar/data/1318885/000091957414002437/d1464858_ex4-21.htm" TargetMode="External"/><Relationship Id="rId52" Type="http://schemas.openxmlformats.org/officeDocument/2006/relationships/hyperlink" Target="https://www.sec.gov/Archives/edgar/data/1318885/000156276225000050/exhibit111.htm" TargetMode="External"/><Relationship Id="rId60" Type="http://schemas.openxmlformats.org/officeDocument/2006/relationships/hyperlink" Target="http://www.sec.gov/Archives/edgar/data/1318885/000156276224000080/Exhibit971.htm" TargetMode="External"/><Relationship Id="rId65" Type="http://schemas.openxmlformats.org/officeDocument/2006/relationships/header" Target="header9.xml"/><Relationship Id="rId73" Type="http://schemas.openxmlformats.org/officeDocument/2006/relationships/header" Target="header13.xml"/><Relationship Id="rId78" Type="http://schemas.openxmlformats.org/officeDocument/2006/relationships/footer" Target="footer15.xml"/><Relationship Id="rId81" Type="http://schemas.openxmlformats.org/officeDocument/2006/relationships/footer" Target="footer16.xml"/><Relationship Id="rId86" Type="http://schemas.openxmlformats.org/officeDocument/2006/relationships/header" Target="header2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file:///C:\Users\kntounis\AppData\Local\Temp\CDM\217FBCDDBE373A3169203AD6BF802A7A9BC76E7CEA3080AB8368EFDDB11E7107\part2item16d" TargetMode="External"/><Relationship Id="rId39" Type="http://schemas.openxmlformats.org/officeDocument/2006/relationships/hyperlink" Target="http://www.sec.gov/Archives/edgar/data/1318885/000091957421002400/exhibit42.htm" TargetMode="External"/><Relationship Id="rId34" Type="http://schemas.openxmlformats.org/officeDocument/2006/relationships/hyperlink" Target="http://www.sec.gov/Archives/edgar/data/1318885/000091957419000811/d8183574_6-k.htm" TargetMode="External"/><Relationship Id="rId50" Type="http://schemas.openxmlformats.org/officeDocument/2006/relationships/hyperlink" Target="file:///C:\Users\kntounis\OneDrive%20-%20Diana%20Shipping\Desktop\DSI,%202025%2020F%20Form%202026-03-16T125526\exhibit81.docx" TargetMode="External"/><Relationship Id="rId55" Type="http://schemas.openxmlformats.org/officeDocument/2006/relationships/hyperlink" Target="file:///C:\Users\kntounis\OneDrive%20-%20Diana%20Shipping\Desktop\DSI,%202025%2020F%20Form%202026-03-16T125526\exhibit122.docx" TargetMode="External"/><Relationship Id="rId76" Type="http://schemas.openxmlformats.org/officeDocument/2006/relationships/footer" Target="footer14.xml"/><Relationship Id="rId7" Type="http://schemas.openxmlformats.org/officeDocument/2006/relationships/styles" Target="styles.xml"/><Relationship Id="rId71" Type="http://schemas.openxmlformats.org/officeDocument/2006/relationships/header" Target="header12.xml"/><Relationship Id="rId9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s://www.sec.gov/Archives/edgar/data/1318885/000091957424005451/d11435911_ex1-1.htm" TargetMode="External"/><Relationship Id="rId24" Type="http://schemas.openxmlformats.org/officeDocument/2006/relationships/footer" Target="footer6.xml"/><Relationship Id="rId40" Type="http://schemas.openxmlformats.org/officeDocument/2006/relationships/hyperlink" Target="file:///C:\Users\kntounis\OneDrive%20-%20Diana%20Shipping\Desktop\DSI,%202025%2020F%20Form%202026-03-16T125526\exhibit48.docx" TargetMode="External"/><Relationship Id="rId45" Type="http://schemas.openxmlformats.org/officeDocument/2006/relationships/hyperlink" Target="http://www.sec.gov/Archives/edgar/data/1318885/000091957416012194/d7077442_ex4-22.htm" TargetMode="External"/><Relationship Id="rId66" Type="http://schemas.openxmlformats.org/officeDocument/2006/relationships/footer" Target="footer9.xml"/><Relationship Id="rId87" Type="http://schemas.openxmlformats.org/officeDocument/2006/relationships/footer" Target="footer19.xml"/><Relationship Id="rId61" Type="http://schemas.openxmlformats.org/officeDocument/2006/relationships/header" Target="header7.xml"/><Relationship Id="rId82" Type="http://schemas.openxmlformats.org/officeDocument/2006/relationships/footer" Target="footer17.xml"/><Relationship Id="rId1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FA733C5E787F4388D36027B8B3F580" ma:contentTypeVersion="16" ma:contentTypeDescription="Create a new document." ma:contentTypeScope="" ma:versionID="c18356521fe85017574228b327f61266">
  <xsd:schema xmlns:xsd="http://www.w3.org/2001/XMLSchema" xmlns:xs="http://www.w3.org/2001/XMLSchema" xmlns:p="http://schemas.microsoft.com/office/2006/metadata/properties" xmlns:ns2="53cb2b13-866f-4bce-8bf8-3b8f0f31ea7c" xmlns:ns3="d4b1a2a4-7bb6-48e5-b601-499946a572d3" targetNamespace="http://schemas.microsoft.com/office/2006/metadata/properties" ma:root="true" ma:fieldsID="a3b1afa15e9f71a4ff9e0ac61d53eafc" ns2:_="" ns3:_="">
    <xsd:import namespace="53cb2b13-866f-4bce-8bf8-3b8f0f31ea7c"/>
    <xsd:import namespace="d4b1a2a4-7bb6-48e5-b601-499946a572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cb2b13-866f-4bce-8bf8-3b8f0f31ea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2d8da86-e95c-43f0-baa4-734c3ba8f8bb"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b1a2a4-7bb6-48e5-b601-499946a572d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04c8d15-49d0-46bd-bea6-e5063764353c}" ma:internalName="TaxCatchAll" ma:showField="CatchAllData" ma:web="d4b1a2a4-7bb6-48e5-b601-499946a572d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entControlRegistry xmlns="cdm://schemas.certent.com/registry/content-control">
  <Registrations>
    <Registration>
      <Id>355985518</Id>
      <Name>CORE_RO_22956</Name>
    </Registration>
    <Registration>
      <Id>1218849807</Id>
      <Name>CORE_RO_22971</Name>
    </Registration>
    <Registration>
      <Id>1801005168</Id>
      <Name>CORE_RO_23102</Name>
    </Registration>
    <Registration>
      <Id>1081213234</Id>
      <Name>CORE_RO_22960</Name>
    </Registration>
    <Registration>
      <Id>2010031944</Id>
      <Name>CORE_RO_22959</Name>
    </Registration>
    <Registration>
      <Id>710281776</Id>
      <Name>CORE_RO_22961</Name>
    </Registration>
    <Registration>
      <Id>2110945752</Id>
      <Name>CORE_RO_22974</Name>
    </Registration>
    <Registration>
      <Id>1234840879</Id>
      <Name>CORE_RO_23044</Name>
    </Registration>
    <Registration>
      <Id>1948008963</Id>
      <Name>CORE_RO_23045</Name>
    </Registration>
    <Registration>
      <Id>1383865104</Id>
      <Name>CORE_RO_23055</Name>
    </Registration>
    <Registration>
      <Id>714456362</Id>
      <Name>CORE_RO_23072</Name>
    </Registration>
    <Registration>
      <Id>956368909</Id>
      <Name>CORE_RO_23046</Name>
    </Registration>
    <Registration>
      <Id>1967933155</Id>
      <Name>CORE_RO_23047</Name>
    </Registration>
    <Registration>
      <Id>1342427094</Id>
      <Name>CORE_RO_23048</Name>
    </Registration>
    <Registration>
      <Id>167310762</Id>
      <Name>CORE_RO_23056</Name>
    </Registration>
    <Registration>
      <Id>741291443</Id>
      <Name>CORE_RO_23051</Name>
    </Registration>
    <Registration>
      <Id>2056877866</Id>
      <Name>CORE_RO_23352</Name>
    </Registration>
    <Registration>
      <Id>2043746428</Id>
      <Name>CORE_RO_23052</Name>
    </Registration>
    <Registration>
      <Id>79620580</Id>
      <Name>CORE_RO_23053</Name>
    </Registration>
    <Registration>
      <Id>1977081812</Id>
      <Name>CORE_RO_23054</Name>
    </Registration>
    <Registration>
      <Id>796166972</Id>
      <Name>CORE_RO_23202</Name>
    </Registration>
    <Registration>
      <Id>492082397</Id>
      <Name>CORE_RO_22972</Name>
    </Registration>
    <Registration>
      <Id>404706939</Id>
      <Name>CORE_RO_23063</Name>
    </Registration>
    <Registration>
      <Id>394610771</Id>
      <Name>CORE_RO_22978</Name>
    </Registration>
    <Registration>
      <Id>1114420137</Id>
      <Name>CORE_RO_22979</Name>
    </Registration>
    <Registration>
      <Id>1408321173</Id>
      <Name>CORE_RO_22980</Name>
    </Registration>
    <Registration>
      <Id>368490560</Id>
      <Name>CORE_RO_22981</Name>
    </Registration>
    <Registration>
      <Id>901918076</Id>
      <Name>CORE_RO_23065</Name>
    </Registration>
    <Registration>
      <Id>2030691770</Id>
      <Name>CORE_RO_23064</Name>
    </Registration>
    <Registration>
      <Id>1104051495</Id>
      <Name>CORE_RO_23066</Name>
    </Registration>
    <Registration>
      <Id>399612789</Id>
      <Name>CORE_RO_23080</Name>
    </Registration>
    <Registration>
      <Id>461016977</Id>
      <Name>CORE_RO_22975</Name>
    </Registration>
    <Registration>
      <Id>1058726272</Id>
      <Name>CORE_RO_23057</Name>
    </Registration>
    <Registration>
      <Id>1761410565</Id>
      <Name>CORE_RO_22976</Name>
    </Registration>
    <Registration>
      <Id>409550563</Id>
      <Name>CORE_RO_22977</Name>
    </Registration>
    <Registration>
      <Id>1355719865</Id>
      <Name>CORE_RO_23079</Name>
    </Registration>
    <Registration>
      <Id>1096135958</Id>
      <Name>CORE_RO_22982</Name>
    </Registration>
    <Registration>
      <Id>774290542</Id>
      <Name>CORE_RO_22983</Name>
    </Registration>
    <Registration>
      <Id>1604334565</Id>
      <Name>CORE_RO_23067</Name>
    </Registration>
    <Registration>
      <Id>648436929</Id>
      <Name>CORE_RO_23068</Name>
    </Registration>
    <Registration>
      <Id>1745113757</Id>
      <Name>CORE_RO_23069</Name>
    </Registration>
    <Registration>
      <Id>739532198</Id>
      <Name>CORE_RO_23070</Name>
    </Registration>
    <Registration>
      <Id>1221004993</Id>
      <Name>CORE_RO_23071</Name>
    </Registration>
    <Registration>
      <Id>687791482</Id>
      <Name>CORE_RO_23122</Name>
    </Registration>
    <Registration>
      <Id>1379420285</Id>
      <Name>CORE_RO_23076</Name>
    </Registration>
    <Registration>
      <Id>1356625366</Id>
      <Name>CORE_RO_23245</Name>
    </Registration>
    <Registration>
      <Id>742831734</Id>
      <Name>CORE_RO_23373</Name>
    </Registration>
    <Registration>
      <Id>1540851400</Id>
      <Name>CORE_RO_23077</Name>
    </Registration>
    <Registration>
      <Id>638561966</Id>
      <Name>CORE_RO_23078</Name>
    </Registration>
    <Registration>
      <Id>1862466388</Id>
      <Name>CORE_RO_22984</Name>
    </Registration>
    <Registration>
      <Id>1659839041</Id>
      <Name>CORE_RO_22985</Name>
    </Registration>
    <Registration>
      <Id>409728319</Id>
      <Name>CORE_RO_22986</Name>
    </Registration>
    <Registration>
      <Id>2113930678</Id>
      <Name>CORE_RO_22988</Name>
    </Registration>
    <Registration>
      <Id>1561113334</Id>
      <Name>CORE_RO_23151</Name>
    </Registration>
    <Registration>
      <Id>527267243</Id>
      <Name>CORE_RO_22990</Name>
    </Registration>
    <Registration>
      <Id>135416765</Id>
      <Name>CORE_RO_22991</Name>
    </Registration>
    <Registration>
      <Id>86906767</Id>
      <Name>CORE_RO_22992</Name>
    </Registration>
    <Registration>
      <Id>1134550803</Id>
      <Name>CORE_RO_22993</Name>
    </Registration>
    <Registration>
      <Id>1430703832</Id>
      <Name>CORE_RO_22994</Name>
    </Registration>
    <Registration>
      <Id>534047842</Id>
      <Name>CORE_RO_22995</Name>
    </Registration>
    <Registration>
      <Id>1469145003</Id>
      <Name>CORE_RO_22996</Name>
    </Registration>
    <Registration>
      <Id>1178054229</Id>
      <Name>CORE_RO_22997</Name>
    </Registration>
    <Registration>
      <Id>73551990</Id>
      <Name>CORE_RO_22998</Name>
    </Registration>
    <Registration>
      <Id>1276161508</Id>
      <Name>CORE_RO_22999</Name>
    </Registration>
    <Registration>
      <Id>107752937</Id>
      <Name>CORE_RO_23123</Name>
    </Registration>
    <Registration>
      <Id>1406686024</Id>
      <Name>CORE_RO_23001</Name>
    </Registration>
    <Registration>
      <Id>101847119</Id>
      <Name>CORE_RO_23003</Name>
    </Registration>
    <Registration>
      <Id>1014638851</Id>
      <Name>CORE_RO_23005</Name>
    </Registration>
    <Registration>
      <Id>938956243</Id>
      <Name>CORE_RO_23007</Name>
    </Registration>
    <Registration>
      <Id>975125634</Id>
      <Name>CORE_RO_23009</Name>
    </Registration>
    <Registration>
      <Id>1180040125</Id>
      <Name>CORE_RO_23011</Name>
    </Registration>
    <Registration>
      <Id>262968835</Id>
      <Name>CORE_RO_23013</Name>
    </Registration>
    <Registration>
      <Id>1534437738</Id>
      <Name>CORE_RO_23015</Name>
    </Registration>
    <Registration>
      <Id>867861239</Id>
      <Name>CORE_RO_23017</Name>
    </Registration>
    <Registration>
      <Id>1269421715</Id>
      <Name>CORE_RO_23020</Name>
    </Registration>
    <Registration>
      <Id>713405403</Id>
      <Name>CORE_RO_23022</Name>
    </Registration>
    <Registration>
      <Id>266129330</Id>
      <Name>CORE_RO_23024</Name>
    </Registration>
    <Registration>
      <Id>2146237126</Id>
      <Name>CORE_RO_23026</Name>
    </Registration>
    <Registration>
      <Id>1199662118</Id>
      <Name>CORE_RO_23030</Name>
    </Registration>
    <Registration>
      <Id>938630402</Id>
      <Name>CORE_RO_23029</Name>
    </Registration>
    <Registration>
      <Id>331336692</Id>
      <Name>CORE_RO_23153</Name>
    </Registration>
    <Registration>
      <Id>1882753565</Id>
      <Name>CORE_RO_23155</Name>
    </Registration>
    <Registration>
      <Id>1254884182</Id>
      <Name>CORE_RO_23032</Name>
    </Registration>
    <Registration>
      <Id>942359590</Id>
      <Name>CORE_RO_23034</Name>
    </Registration>
    <Registration>
      <Id>914598435</Id>
      <Name>CORE_RO_23036</Name>
    </Registration>
    <Registration>
      <Id>1714827706</Id>
      <Name>CORE_RO_23038</Name>
    </Registration>
    <Registration>
      <Id>108948244</Id>
      <Name>CORE_RO_23039</Name>
    </Registration>
    <Registration>
      <Id>341016789</Id>
      <Name>CORE_RO_22966</Name>
    </Registration>
    <Registration>
      <Id>986535746</Id>
      <Name>CORE_RO_22965</Name>
    </Registration>
    <Registration>
      <Id>759173779</Id>
      <Name>CORE_RO_22964</Name>
    </Registration>
    <Registration>
      <Id>1635540458</Id>
      <Name>CORE_RO_23211</Name>
    </Registration>
    <Registration>
      <Id>1543224764</Id>
      <Name>CORE_RO_23347</Name>
    </Registration>
    <Registration>
      <Id>1494106062</Id>
      <Name>CORE_RO_23346</Name>
    </Registration>
    <Registration>
      <Id>274685689</Id>
      <Name>CORE_RO_22957</Name>
    </Registration>
    <Registration>
      <Id>1213878169</Id>
      <Name>CORE_RO_22973</Name>
    </Registration>
    <Registration>
      <Id>1786716555</Id>
      <Name>CORE_RO_23119</Name>
    </Registration>
    <Registration>
      <Id>104141153</Id>
      <Name>CORE_RO_23073</Name>
    </Registration>
    <Registration>
      <Id>2122720673</Id>
      <Name>CORE_RO_23074</Name>
    </Registration>
    <Registration>
      <Id>1711076302</Id>
      <Name>CORE_RO_23103</Name>
    </Registration>
    <Registration>
      <Id>593640503</Id>
      <Name>CORE_RO_23148</Name>
    </Registration>
    <Registration>
      <Id>1824617954</Id>
      <Name>CORE_RO_23322</Name>
    </Registration>
    <Registration>
      <Id>531889234</Id>
      <Name>CORE_RO_23082</Name>
    </Registration>
    <Registration>
      <Id>1999250723</Id>
      <Name>CORE_RO_23116</Name>
    </Registration>
    <Registration>
      <Id>1183740938</Id>
      <Name>CORE_RO_22954</Name>
    </Registration>
    <Registration>
      <Id>1261353186</Id>
      <Name>CORE_RO_23199</Name>
    </Registration>
    <Registration>
      <Id>2048970361</Id>
      <Name>CORE_RO_23104</Name>
    </Registration>
    <Registration>
      <Id>258826580</Id>
      <Name>CORE_RO_23083</Name>
    </Registration>
    <Registration>
      <Id>616776897</Id>
      <Name>CORE_RO_23085</Name>
    </Registration>
    <Registration>
      <Id>618560583</Id>
      <Name>CORE_RO_23087</Name>
    </Registration>
    <Registration>
      <Id>795203764</Id>
      <Name>CORE_RO_23121</Name>
    </Registration>
    <Registration>
      <Id>281491782</Id>
      <Name>CORE_RO_23086</Name>
    </Registration>
    <Registration>
      <Id>1570958453</Id>
      <Name>CORE_RO_23088</Name>
    </Registration>
    <Registration>
      <Id>615199502</Id>
      <Name>CORE_RO_23203</Name>
    </Registration>
    <Registration>
      <Id>1252937969</Id>
      <Name>CORE_RO_23204</Name>
    </Registration>
    <Registration>
      <Id>2115688048</Id>
      <Name>CORE_RO_23089</Name>
    </Registration>
    <Registration>
      <Id>168637482</Id>
      <Name>CORE_RO_23092</Name>
    </Registration>
    <Registration>
      <Id>711540344</Id>
      <Name>CORE_RO_23117</Name>
    </Registration>
    <Registration>
      <Id>1591667451</Id>
      <Name>CORE_RO_23118</Name>
    </Registration>
    <Registration>
      <Id>133609737</Id>
      <Name>CORE_RO_23097</Name>
    </Registration>
    <Registration>
      <Id>1781519384</Id>
      <Name>CORE_RO_23098</Name>
    </Registration>
    <Registration>
      <Id>1478099873</Id>
      <Name>CORE_RO_23106</Name>
    </Registration>
    <Registration>
      <Id>1190559238</Id>
      <Name>CORE_RO_23107</Name>
    </Registration>
    <Registration>
      <Id>1920965967</Id>
      <Name>CORE_RO_23109</Name>
    </Registration>
    <Registration>
      <Id>1201388942</Id>
      <Name>CORE_RO_23112</Name>
    </Registration>
    <Registration>
      <Id>674725710</Id>
      <Name>CORE_RO_23113</Name>
    </Registration>
    <Registration>
      <Id>257355034</Id>
      <Name>CORE_RO_23114</Name>
    </Registration>
    <Registration>
      <Id>583603894</Id>
      <Name>CORE_RO_23198</Name>
    </Registration>
    <Registration>
      <Id>706617946</Id>
      <Name>CORE_RO_23101</Name>
    </Registration>
  </Registrations>
</ContentControlRegistry>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3cb2b13-866f-4bce-8bf8-3b8f0f31ea7c">
      <Terms xmlns="http://schemas.microsoft.com/office/infopath/2007/PartnerControls"/>
    </lcf76f155ced4ddcb4097134ff3c332f>
    <TaxCatchAll xmlns="d4b1a2a4-7bb6-48e5-b601-499946a572d3"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960F5-70A2-449C-9C1B-C030CEB329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cb2b13-866f-4bce-8bf8-3b8f0f31ea7c"/>
    <ds:schemaRef ds:uri="d4b1a2a4-7bb6-48e5-b601-499946a572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549C59-3204-4E6F-9510-3B5C92EE59D9}">
  <ds:schemaRefs>
    <ds:schemaRef ds:uri="http://schemas.microsoft.com/sharepoint/v3/contenttype/forms"/>
  </ds:schemaRefs>
</ds:datastoreItem>
</file>

<file path=customXml/itemProps3.xml><?xml version="1.0" encoding="utf-8"?>
<ds:datastoreItem xmlns:ds="http://schemas.openxmlformats.org/officeDocument/2006/customXml" ds:itemID="{1214AC49-BB91-439F-B87F-5B06BFC57966}">
  <ds:schemaRefs>
    <ds:schemaRef ds:uri="cdm://schemas.certent.com/registry/content-control"/>
  </ds:schemaRefs>
</ds:datastoreItem>
</file>

<file path=customXml/itemProps4.xml><?xml version="1.0" encoding="utf-8"?>
<ds:datastoreItem xmlns:ds="http://schemas.openxmlformats.org/officeDocument/2006/customXml" ds:itemID="{FA031267-4439-4F12-961A-36222DED69BA}">
  <ds:schemaRefs>
    <ds:schemaRef ds:uri="http://schemas.microsoft.com/office/2006/metadata/properties"/>
    <ds:schemaRef ds:uri="http://schemas.microsoft.com/office/infopath/2007/PartnerControls"/>
    <ds:schemaRef ds:uri="53cb2b13-866f-4bce-8bf8-3b8f0f31ea7c"/>
    <ds:schemaRef ds:uri="d4b1a2a4-7bb6-48e5-b601-499946a572d3"/>
  </ds:schemaRefs>
</ds:datastoreItem>
</file>

<file path=customXml/itemProps5.xml><?xml version="1.0" encoding="utf-8"?>
<ds:datastoreItem xmlns:ds="http://schemas.openxmlformats.org/officeDocument/2006/customXml" ds:itemID="{65AA28B5-BD26-46A4-AC58-F08661F91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85459</Words>
  <Characters>459276</Characters>
  <Application>Microsoft Office Word</Application>
  <DocSecurity>0</DocSecurity>
  <Lines>11615</Lines>
  <Paragraphs>3781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eleontar</dc:creator>
  <cp:lastModifiedBy>Fotini Blouna</cp:lastModifiedBy>
  <cp:revision>4</cp:revision>
  <cp:lastPrinted>2026-03-16T11:14:00Z</cp:lastPrinted>
  <dcterms:created xsi:type="dcterms:W3CDTF">2026-03-16T10:55:00Z</dcterms:created>
  <dcterms:modified xsi:type="dcterms:W3CDTF">2026-03-16T11:15:00Z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0x0101002EFA733C5E787F4388D36027B8B3F580</vt:lpwstr>
  </property>
  <property fmtid="{D5CDD505-2E9C-101B-9397-08002B2CF9AE}" pid="3" name="MediaServiceImageTags">
    <vt:lpwstr/>
  </property>
</Properties>
</file>